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622846CA" w:rsidR="00193533" w:rsidRPr="00193533" w:rsidRDefault="00D22224" w:rsidP="002F4591">
      <w:pPr>
        <w:pStyle w:val="CoverTitle"/>
        <w:spacing w:before="2640"/>
        <w:jc w:val="center"/>
      </w:pPr>
      <w:r>
        <w:t xml:space="preserve">Final </w:t>
      </w:r>
      <w:r w:rsidR="00CC1E20">
        <w:t>m</w:t>
      </w:r>
      <w:r w:rsidR="00B446FD">
        <w:t>olinate Review Technical Report</w:t>
      </w:r>
    </w:p>
    <w:p w14:paraId="4E4C9BC9" w14:textId="0C72338E" w:rsidR="00193533" w:rsidRPr="00E41FED" w:rsidRDefault="00D22224" w:rsidP="008B550C">
      <w:pPr>
        <w:pStyle w:val="Coverdate"/>
        <w:sectPr w:rsidR="00193533" w:rsidRPr="00E41FED" w:rsidSect="008C5C0D">
          <w:headerReference w:type="even" r:id="rId11"/>
          <w:headerReference w:type="default" r:id="rId12"/>
          <w:footerReference w:type="even" r:id="rId13"/>
          <w:footerReference w:type="default" r:id="rId14"/>
          <w:headerReference w:type="first" r:id="rId15"/>
          <w:footerReference w:type="first" r:id="rId16"/>
          <w:pgSz w:w="11906" w:h="16838" w:code="9"/>
          <w:pgMar w:top="2127" w:right="1134" w:bottom="1134" w:left="1134" w:header="1701" w:footer="450" w:gutter="0"/>
          <w:pgNumType w:fmt="lowerRoman"/>
          <w:cols w:space="708"/>
          <w:docGrid w:linePitch="360"/>
        </w:sectPr>
      </w:pPr>
      <w:r>
        <w:t>February</w:t>
      </w:r>
      <w:r w:rsidR="00E424AB">
        <w:t xml:space="preserve"> 2022</w:t>
      </w:r>
    </w:p>
    <w:p w14:paraId="6C014289" w14:textId="2DD87EA6" w:rsidR="00862E63" w:rsidRPr="005C0ACC" w:rsidRDefault="00862E63" w:rsidP="008B550C">
      <w:pPr>
        <w:rPr>
          <w:lang w:eastAsia="en-AU"/>
        </w:rPr>
      </w:pPr>
      <w:r w:rsidRPr="005C0ACC">
        <w:rPr>
          <w:lang w:eastAsia="en-AU"/>
        </w:rPr>
        <w:lastRenderedPageBreak/>
        <w:t>© Australian Pesticides and Veterinary Medicines Authority</w:t>
      </w:r>
      <w:r w:rsidR="00B446FD">
        <w:rPr>
          <w:lang w:eastAsia="en-AU"/>
        </w:rPr>
        <w:t xml:space="preserve"> 202</w:t>
      </w:r>
      <w:r w:rsidR="001F014C">
        <w:rPr>
          <w:lang w:eastAsia="en-AU"/>
        </w:rPr>
        <w:t>2</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63A5934" w:rsidR="008366A3" w:rsidRPr="005C0ACC" w:rsidRDefault="008366A3" w:rsidP="008B550C">
      <w:pPr>
        <w:rPr>
          <w:rFonts w:cs="Arial"/>
          <w:szCs w:val="16"/>
          <w:lang w:eastAsia="en-AU"/>
        </w:rPr>
      </w:pPr>
      <w:r w:rsidRPr="005C0ACC">
        <w:rPr>
          <w:rFonts w:cs="Arial"/>
          <w:szCs w:val="16"/>
          <w:lang w:eastAsia="en-AU"/>
        </w:rPr>
        <w:t xml:space="preserve">A </w:t>
      </w:r>
      <w:hyperlink r:id="rId19" w:history="1">
        <w:r w:rsidRPr="001F014C">
          <w:rPr>
            <w:rStyle w:val="Hyperlink"/>
          </w:rPr>
          <w:t>summary of</w:t>
        </w:r>
        <w:r w:rsidR="008545E1" w:rsidRPr="001F014C">
          <w:rPr>
            <w:rStyle w:val="Hyperlink"/>
          </w:rPr>
          <w:t xml:space="preserve"> the licence terms</w:t>
        </w:r>
      </w:hyperlink>
      <w:r w:rsidR="008545E1">
        <w:rPr>
          <w:rFonts w:cs="Arial"/>
          <w:szCs w:val="16"/>
          <w:lang w:eastAsia="en-AU"/>
        </w:rPr>
        <w:t xml:space="preserve"> and </w:t>
      </w:r>
      <w:hyperlink r:id="rId20" w:history="1">
        <w:r w:rsidR="008545E1" w:rsidRPr="001F014C">
          <w:rPr>
            <w:rStyle w:val="Hyperlink"/>
          </w:rPr>
          <w:t>full</w:t>
        </w:r>
        <w:r w:rsidRPr="001F014C">
          <w:rPr>
            <w:rStyle w:val="Hyperlink"/>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676B1181" w14:textId="377D15D4" w:rsidR="00CC1E20" w:rsidRPr="005C0ACC" w:rsidRDefault="00CC1E20" w:rsidP="00CC1E20">
      <w:pPr>
        <w:rPr>
          <w:rFonts w:cs="Arial"/>
          <w:b/>
          <w:bCs/>
          <w:szCs w:val="16"/>
          <w:lang w:eastAsia="en-AU"/>
        </w:rPr>
      </w:pPr>
      <w:r w:rsidRPr="005C0ACC">
        <w:rPr>
          <w:rFonts w:cs="Arial"/>
          <w:b/>
          <w:bCs/>
          <w:szCs w:val="16"/>
          <w:lang w:eastAsia="en-AU"/>
        </w:rPr>
        <w:t>Photographic credits</w:t>
      </w:r>
    </w:p>
    <w:p w14:paraId="6A3204DD" w14:textId="0E97EAD9"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6B7DBA73" w:rsidR="00862E63" w:rsidRPr="005C0ACC" w:rsidRDefault="00862E63" w:rsidP="008B550C">
      <w:pPr>
        <w:rPr>
          <w:rFonts w:cs="Arial"/>
          <w:bCs/>
          <w:szCs w:val="16"/>
          <w:lang w:eastAsia="en-AU"/>
        </w:rPr>
      </w:pPr>
      <w:r w:rsidRPr="005C0ACC">
        <w:rPr>
          <w:rFonts w:cs="Arial"/>
          <w:bCs/>
          <w:szCs w:val="16"/>
          <w:lang w:eastAsia="en-AU"/>
        </w:rPr>
        <w:t>iStockphoto images are not covered by this Creative Commons licence.</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21" w:history="1">
        <w:r w:rsidRPr="001F014C">
          <w:rPr>
            <w:rStyle w:val="Hyperlink"/>
          </w:rPr>
          <w:t xml:space="preserve">Department of the Prime Minister and </w:t>
        </w:r>
        <w:r w:rsidR="008545E1" w:rsidRPr="001F014C">
          <w:rPr>
            <w:rStyle w:val="Hyperlink"/>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CC1E20" w:rsidRDefault="00862E63" w:rsidP="008B550C">
      <w:pPr>
        <w:rPr>
          <w:rFonts w:cs="Arial"/>
          <w:color w:val="auto"/>
          <w:szCs w:val="16"/>
          <w:lang w:eastAsia="en-AU"/>
        </w:rPr>
      </w:pPr>
      <w:r w:rsidRPr="005C0ACC">
        <w:rPr>
          <w:rFonts w:cs="Arial"/>
          <w:szCs w:val="16"/>
          <w:lang w:eastAsia="en-AU"/>
        </w:rPr>
        <w:t xml:space="preserve">Email: </w:t>
      </w:r>
      <w:hyperlink r:id="rId22" w:history="1">
        <w:r w:rsidRPr="001F014C">
          <w:rPr>
            <w:rStyle w:val="Hyperlink"/>
          </w:rPr>
          <w:t>communications@apvma.gov.au</w:t>
        </w:r>
      </w:hyperlink>
      <w:r w:rsidRPr="00CC1E20">
        <w:rPr>
          <w:rFonts w:cs="Arial"/>
          <w:color w:val="auto"/>
          <w:szCs w:val="16"/>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23" w:history="1">
        <w:r w:rsidRPr="001F014C">
          <w:rPr>
            <w:rStyle w:val="Hyperlink"/>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50796472" w14:textId="64E81181" w:rsidR="00CE54B4"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96334677" w:history="1">
        <w:r w:rsidR="00CE54B4" w:rsidRPr="00876F25">
          <w:rPr>
            <w:rStyle w:val="Hyperlink"/>
          </w:rPr>
          <w:t>Preface</w:t>
        </w:r>
        <w:r w:rsidR="00CE54B4">
          <w:rPr>
            <w:webHidden/>
          </w:rPr>
          <w:tab/>
        </w:r>
        <w:r w:rsidR="00CE54B4">
          <w:rPr>
            <w:webHidden/>
          </w:rPr>
          <w:fldChar w:fldCharType="begin"/>
        </w:r>
        <w:r w:rsidR="00CE54B4">
          <w:rPr>
            <w:webHidden/>
          </w:rPr>
          <w:instrText xml:space="preserve"> PAGEREF _Toc96334677 \h </w:instrText>
        </w:r>
        <w:r w:rsidR="00CE54B4">
          <w:rPr>
            <w:webHidden/>
          </w:rPr>
        </w:r>
        <w:r w:rsidR="00CE54B4">
          <w:rPr>
            <w:webHidden/>
          </w:rPr>
          <w:fldChar w:fldCharType="separate"/>
        </w:r>
        <w:r w:rsidR="00CE54B4">
          <w:rPr>
            <w:webHidden/>
          </w:rPr>
          <w:t>1</w:t>
        </w:r>
        <w:r w:rsidR="00CE54B4">
          <w:rPr>
            <w:webHidden/>
          </w:rPr>
          <w:fldChar w:fldCharType="end"/>
        </w:r>
      </w:hyperlink>
    </w:p>
    <w:p w14:paraId="5C0F5443" w14:textId="789B10CD" w:rsidR="00CE54B4" w:rsidRDefault="003F713B">
      <w:pPr>
        <w:pStyle w:val="TOC2"/>
        <w:rPr>
          <w:rFonts w:asciiTheme="minorHAnsi" w:eastAsiaTheme="minorEastAsia" w:hAnsiTheme="minorHAnsi" w:cstheme="minorBidi"/>
          <w:b w:val="0"/>
          <w:color w:val="auto"/>
          <w:sz w:val="22"/>
          <w:szCs w:val="22"/>
          <w:lang w:eastAsia="en-AU"/>
        </w:rPr>
      </w:pPr>
      <w:hyperlink w:anchor="_Toc96334678" w:history="1">
        <w:r w:rsidR="00CE54B4" w:rsidRPr="00876F25">
          <w:rPr>
            <w:rStyle w:val="Hyperlink"/>
          </w:rPr>
          <w:t>About this document</w:t>
        </w:r>
        <w:r w:rsidR="00CE54B4">
          <w:rPr>
            <w:webHidden/>
          </w:rPr>
          <w:tab/>
        </w:r>
        <w:r w:rsidR="00CE54B4">
          <w:rPr>
            <w:webHidden/>
          </w:rPr>
          <w:fldChar w:fldCharType="begin"/>
        </w:r>
        <w:r w:rsidR="00CE54B4">
          <w:rPr>
            <w:webHidden/>
          </w:rPr>
          <w:instrText xml:space="preserve"> PAGEREF _Toc96334678 \h </w:instrText>
        </w:r>
        <w:r w:rsidR="00CE54B4">
          <w:rPr>
            <w:webHidden/>
          </w:rPr>
        </w:r>
        <w:r w:rsidR="00CE54B4">
          <w:rPr>
            <w:webHidden/>
          </w:rPr>
          <w:fldChar w:fldCharType="separate"/>
        </w:r>
        <w:r w:rsidR="00CE54B4">
          <w:rPr>
            <w:webHidden/>
          </w:rPr>
          <w:t>1</w:t>
        </w:r>
        <w:r w:rsidR="00CE54B4">
          <w:rPr>
            <w:webHidden/>
          </w:rPr>
          <w:fldChar w:fldCharType="end"/>
        </w:r>
      </w:hyperlink>
    </w:p>
    <w:p w14:paraId="532068ED" w14:textId="076A08AC"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679" w:history="1">
        <w:r w:rsidR="00CE54B4" w:rsidRPr="00876F25">
          <w:rPr>
            <w:rStyle w:val="Hyperlink"/>
          </w:rPr>
          <w:t>Summary</w:t>
        </w:r>
        <w:r w:rsidR="00CE54B4">
          <w:rPr>
            <w:webHidden/>
          </w:rPr>
          <w:tab/>
        </w:r>
        <w:r w:rsidR="00CE54B4">
          <w:rPr>
            <w:webHidden/>
          </w:rPr>
          <w:fldChar w:fldCharType="begin"/>
        </w:r>
        <w:r w:rsidR="00CE54B4">
          <w:rPr>
            <w:webHidden/>
          </w:rPr>
          <w:instrText xml:space="preserve"> PAGEREF _Toc96334679 \h </w:instrText>
        </w:r>
        <w:r w:rsidR="00CE54B4">
          <w:rPr>
            <w:webHidden/>
          </w:rPr>
        </w:r>
        <w:r w:rsidR="00CE54B4">
          <w:rPr>
            <w:webHidden/>
          </w:rPr>
          <w:fldChar w:fldCharType="separate"/>
        </w:r>
        <w:r w:rsidR="00CE54B4">
          <w:rPr>
            <w:webHidden/>
          </w:rPr>
          <w:t>2</w:t>
        </w:r>
        <w:r w:rsidR="00CE54B4">
          <w:rPr>
            <w:webHidden/>
          </w:rPr>
          <w:fldChar w:fldCharType="end"/>
        </w:r>
      </w:hyperlink>
    </w:p>
    <w:p w14:paraId="1D663D18" w14:textId="39B7ABBB" w:rsidR="00CE54B4" w:rsidRDefault="003F713B">
      <w:pPr>
        <w:pStyle w:val="TOC2"/>
        <w:rPr>
          <w:rFonts w:asciiTheme="minorHAnsi" w:eastAsiaTheme="minorEastAsia" w:hAnsiTheme="minorHAnsi" w:cstheme="minorBidi"/>
          <w:b w:val="0"/>
          <w:color w:val="auto"/>
          <w:sz w:val="22"/>
          <w:szCs w:val="22"/>
          <w:lang w:eastAsia="en-AU"/>
        </w:rPr>
      </w:pPr>
      <w:hyperlink w:anchor="_Toc96334680" w:history="1">
        <w:r w:rsidR="00CE54B4" w:rsidRPr="00876F25">
          <w:rPr>
            <w:rStyle w:val="Hyperlink"/>
          </w:rPr>
          <w:t>Introduction</w:t>
        </w:r>
        <w:r w:rsidR="00CE54B4">
          <w:rPr>
            <w:webHidden/>
          </w:rPr>
          <w:tab/>
        </w:r>
        <w:r w:rsidR="00CE54B4">
          <w:rPr>
            <w:webHidden/>
          </w:rPr>
          <w:fldChar w:fldCharType="begin"/>
        </w:r>
        <w:r w:rsidR="00CE54B4">
          <w:rPr>
            <w:webHidden/>
          </w:rPr>
          <w:instrText xml:space="preserve"> PAGEREF _Toc96334680 \h </w:instrText>
        </w:r>
        <w:r w:rsidR="00CE54B4">
          <w:rPr>
            <w:webHidden/>
          </w:rPr>
        </w:r>
        <w:r w:rsidR="00CE54B4">
          <w:rPr>
            <w:webHidden/>
          </w:rPr>
          <w:fldChar w:fldCharType="separate"/>
        </w:r>
        <w:r w:rsidR="00CE54B4">
          <w:rPr>
            <w:webHidden/>
          </w:rPr>
          <w:t>2</w:t>
        </w:r>
        <w:r w:rsidR="00CE54B4">
          <w:rPr>
            <w:webHidden/>
          </w:rPr>
          <w:fldChar w:fldCharType="end"/>
        </w:r>
      </w:hyperlink>
    </w:p>
    <w:p w14:paraId="764271E5" w14:textId="74E092A4" w:rsidR="00CE54B4" w:rsidRDefault="003F713B">
      <w:pPr>
        <w:pStyle w:val="TOC2"/>
        <w:rPr>
          <w:rFonts w:asciiTheme="minorHAnsi" w:eastAsiaTheme="minorEastAsia" w:hAnsiTheme="minorHAnsi" w:cstheme="minorBidi"/>
          <w:b w:val="0"/>
          <w:color w:val="auto"/>
          <w:sz w:val="22"/>
          <w:szCs w:val="22"/>
          <w:lang w:eastAsia="en-AU"/>
        </w:rPr>
      </w:pPr>
      <w:hyperlink w:anchor="_Toc96334681" w:history="1">
        <w:r w:rsidR="00CE54B4" w:rsidRPr="00876F25">
          <w:rPr>
            <w:rStyle w:val="Hyperlink"/>
          </w:rPr>
          <w:t>Submissions received in response to the molinate preliminary review findings report</w:t>
        </w:r>
        <w:r w:rsidR="00CE54B4">
          <w:rPr>
            <w:webHidden/>
          </w:rPr>
          <w:tab/>
        </w:r>
        <w:r w:rsidR="00CE54B4">
          <w:rPr>
            <w:webHidden/>
          </w:rPr>
          <w:fldChar w:fldCharType="begin"/>
        </w:r>
        <w:r w:rsidR="00CE54B4">
          <w:rPr>
            <w:webHidden/>
          </w:rPr>
          <w:instrText xml:space="preserve"> PAGEREF _Toc96334681 \h </w:instrText>
        </w:r>
        <w:r w:rsidR="00CE54B4">
          <w:rPr>
            <w:webHidden/>
          </w:rPr>
        </w:r>
        <w:r w:rsidR="00CE54B4">
          <w:rPr>
            <w:webHidden/>
          </w:rPr>
          <w:fldChar w:fldCharType="separate"/>
        </w:r>
        <w:r w:rsidR="00CE54B4">
          <w:rPr>
            <w:webHidden/>
          </w:rPr>
          <w:t>2</w:t>
        </w:r>
        <w:r w:rsidR="00CE54B4">
          <w:rPr>
            <w:webHidden/>
          </w:rPr>
          <w:fldChar w:fldCharType="end"/>
        </w:r>
      </w:hyperlink>
    </w:p>
    <w:p w14:paraId="6E185686" w14:textId="3CFF71C6"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682" w:history="1">
        <w:r w:rsidR="00CE54B4" w:rsidRPr="00876F25">
          <w:rPr>
            <w:rStyle w:val="Hyperlink"/>
          </w:rPr>
          <w:t>Chemistry</w:t>
        </w:r>
        <w:r w:rsidR="00CE54B4">
          <w:rPr>
            <w:webHidden/>
          </w:rPr>
          <w:tab/>
        </w:r>
        <w:r w:rsidR="00CE54B4">
          <w:rPr>
            <w:webHidden/>
          </w:rPr>
          <w:fldChar w:fldCharType="begin"/>
        </w:r>
        <w:r w:rsidR="00CE54B4">
          <w:rPr>
            <w:webHidden/>
          </w:rPr>
          <w:instrText xml:space="preserve"> PAGEREF _Toc96334682 \h </w:instrText>
        </w:r>
        <w:r w:rsidR="00CE54B4">
          <w:rPr>
            <w:webHidden/>
          </w:rPr>
        </w:r>
        <w:r w:rsidR="00CE54B4">
          <w:rPr>
            <w:webHidden/>
          </w:rPr>
          <w:fldChar w:fldCharType="separate"/>
        </w:r>
        <w:r w:rsidR="00CE54B4">
          <w:rPr>
            <w:webHidden/>
          </w:rPr>
          <w:t>5</w:t>
        </w:r>
        <w:r w:rsidR="00CE54B4">
          <w:rPr>
            <w:webHidden/>
          </w:rPr>
          <w:fldChar w:fldCharType="end"/>
        </w:r>
      </w:hyperlink>
    </w:p>
    <w:p w14:paraId="36BC4818" w14:textId="386F98F5" w:rsidR="00CE54B4" w:rsidRDefault="003F713B">
      <w:pPr>
        <w:pStyle w:val="TOC2"/>
        <w:rPr>
          <w:rFonts w:asciiTheme="minorHAnsi" w:eastAsiaTheme="minorEastAsia" w:hAnsiTheme="minorHAnsi" w:cstheme="minorBidi"/>
          <w:b w:val="0"/>
          <w:color w:val="auto"/>
          <w:sz w:val="22"/>
          <w:szCs w:val="22"/>
          <w:lang w:eastAsia="en-AU"/>
        </w:rPr>
      </w:pPr>
      <w:hyperlink w:anchor="_Toc96334683" w:history="1">
        <w:r w:rsidR="00CE54B4" w:rsidRPr="00876F25">
          <w:rPr>
            <w:rStyle w:val="Hyperlink"/>
          </w:rPr>
          <w:t>Active constituent</w:t>
        </w:r>
        <w:r w:rsidR="00CE54B4">
          <w:rPr>
            <w:webHidden/>
          </w:rPr>
          <w:tab/>
        </w:r>
        <w:r w:rsidR="00CE54B4">
          <w:rPr>
            <w:webHidden/>
          </w:rPr>
          <w:fldChar w:fldCharType="begin"/>
        </w:r>
        <w:r w:rsidR="00CE54B4">
          <w:rPr>
            <w:webHidden/>
          </w:rPr>
          <w:instrText xml:space="preserve"> PAGEREF _Toc96334683 \h </w:instrText>
        </w:r>
        <w:r w:rsidR="00CE54B4">
          <w:rPr>
            <w:webHidden/>
          </w:rPr>
        </w:r>
        <w:r w:rsidR="00CE54B4">
          <w:rPr>
            <w:webHidden/>
          </w:rPr>
          <w:fldChar w:fldCharType="separate"/>
        </w:r>
        <w:r w:rsidR="00CE54B4">
          <w:rPr>
            <w:webHidden/>
          </w:rPr>
          <w:t>5</w:t>
        </w:r>
        <w:r w:rsidR="00CE54B4">
          <w:rPr>
            <w:webHidden/>
          </w:rPr>
          <w:fldChar w:fldCharType="end"/>
        </w:r>
      </w:hyperlink>
    </w:p>
    <w:p w14:paraId="70268C78" w14:textId="0C109441" w:rsidR="00CE54B4" w:rsidRDefault="003F713B">
      <w:pPr>
        <w:pStyle w:val="TOC2"/>
        <w:rPr>
          <w:rFonts w:asciiTheme="minorHAnsi" w:eastAsiaTheme="minorEastAsia" w:hAnsiTheme="minorHAnsi" w:cstheme="minorBidi"/>
          <w:b w:val="0"/>
          <w:color w:val="auto"/>
          <w:sz w:val="22"/>
          <w:szCs w:val="22"/>
          <w:lang w:eastAsia="en-AU"/>
        </w:rPr>
      </w:pPr>
      <w:hyperlink w:anchor="_Toc96334684" w:history="1">
        <w:r w:rsidR="00CE54B4" w:rsidRPr="00876F25">
          <w:rPr>
            <w:rStyle w:val="Hyperlink"/>
          </w:rPr>
          <w:t>Formulated products</w:t>
        </w:r>
        <w:r w:rsidR="00CE54B4">
          <w:rPr>
            <w:webHidden/>
          </w:rPr>
          <w:tab/>
        </w:r>
        <w:r w:rsidR="00CE54B4">
          <w:rPr>
            <w:webHidden/>
          </w:rPr>
          <w:fldChar w:fldCharType="begin"/>
        </w:r>
        <w:r w:rsidR="00CE54B4">
          <w:rPr>
            <w:webHidden/>
          </w:rPr>
          <w:instrText xml:space="preserve"> PAGEREF _Toc96334684 \h </w:instrText>
        </w:r>
        <w:r w:rsidR="00CE54B4">
          <w:rPr>
            <w:webHidden/>
          </w:rPr>
        </w:r>
        <w:r w:rsidR="00CE54B4">
          <w:rPr>
            <w:webHidden/>
          </w:rPr>
          <w:fldChar w:fldCharType="separate"/>
        </w:r>
        <w:r w:rsidR="00CE54B4">
          <w:rPr>
            <w:webHidden/>
          </w:rPr>
          <w:t>6</w:t>
        </w:r>
        <w:r w:rsidR="00CE54B4">
          <w:rPr>
            <w:webHidden/>
          </w:rPr>
          <w:fldChar w:fldCharType="end"/>
        </w:r>
      </w:hyperlink>
    </w:p>
    <w:p w14:paraId="11E7C9F0" w14:textId="135F2C2F"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685" w:history="1">
        <w:r w:rsidR="00CE54B4" w:rsidRPr="00876F25">
          <w:rPr>
            <w:rStyle w:val="Hyperlink"/>
          </w:rPr>
          <w:t>Toxicology</w:t>
        </w:r>
        <w:r w:rsidR="00CE54B4">
          <w:rPr>
            <w:webHidden/>
          </w:rPr>
          <w:tab/>
        </w:r>
        <w:r w:rsidR="00CE54B4">
          <w:rPr>
            <w:webHidden/>
          </w:rPr>
          <w:fldChar w:fldCharType="begin"/>
        </w:r>
        <w:r w:rsidR="00CE54B4">
          <w:rPr>
            <w:webHidden/>
          </w:rPr>
          <w:instrText xml:space="preserve"> PAGEREF _Toc96334685 \h </w:instrText>
        </w:r>
        <w:r w:rsidR="00CE54B4">
          <w:rPr>
            <w:webHidden/>
          </w:rPr>
        </w:r>
        <w:r w:rsidR="00CE54B4">
          <w:rPr>
            <w:webHidden/>
          </w:rPr>
          <w:fldChar w:fldCharType="separate"/>
        </w:r>
        <w:r w:rsidR="00CE54B4">
          <w:rPr>
            <w:webHidden/>
          </w:rPr>
          <w:t>7</w:t>
        </w:r>
        <w:r w:rsidR="00CE54B4">
          <w:rPr>
            <w:webHidden/>
          </w:rPr>
          <w:fldChar w:fldCharType="end"/>
        </w:r>
      </w:hyperlink>
    </w:p>
    <w:p w14:paraId="043AB6DC" w14:textId="691F3E62" w:rsidR="00CE54B4" w:rsidRDefault="003F713B">
      <w:pPr>
        <w:pStyle w:val="TOC2"/>
        <w:rPr>
          <w:rFonts w:asciiTheme="minorHAnsi" w:eastAsiaTheme="minorEastAsia" w:hAnsiTheme="minorHAnsi" w:cstheme="minorBidi"/>
          <w:b w:val="0"/>
          <w:color w:val="auto"/>
          <w:sz w:val="22"/>
          <w:szCs w:val="22"/>
          <w:lang w:eastAsia="en-AU"/>
        </w:rPr>
      </w:pPr>
      <w:hyperlink w:anchor="_Toc96334686" w:history="1">
        <w:r w:rsidR="00CE54B4" w:rsidRPr="00876F25">
          <w:rPr>
            <w:rStyle w:val="Hyperlink"/>
          </w:rPr>
          <w:t>Metabolism and toxicokinetics</w:t>
        </w:r>
        <w:r w:rsidR="00CE54B4">
          <w:rPr>
            <w:webHidden/>
          </w:rPr>
          <w:tab/>
        </w:r>
        <w:r w:rsidR="00CE54B4">
          <w:rPr>
            <w:webHidden/>
          </w:rPr>
          <w:fldChar w:fldCharType="begin"/>
        </w:r>
        <w:r w:rsidR="00CE54B4">
          <w:rPr>
            <w:webHidden/>
          </w:rPr>
          <w:instrText xml:space="preserve"> PAGEREF _Toc96334686 \h </w:instrText>
        </w:r>
        <w:r w:rsidR="00CE54B4">
          <w:rPr>
            <w:webHidden/>
          </w:rPr>
        </w:r>
        <w:r w:rsidR="00CE54B4">
          <w:rPr>
            <w:webHidden/>
          </w:rPr>
          <w:fldChar w:fldCharType="separate"/>
        </w:r>
        <w:r w:rsidR="00CE54B4">
          <w:rPr>
            <w:webHidden/>
          </w:rPr>
          <w:t>7</w:t>
        </w:r>
        <w:r w:rsidR="00CE54B4">
          <w:rPr>
            <w:webHidden/>
          </w:rPr>
          <w:fldChar w:fldCharType="end"/>
        </w:r>
      </w:hyperlink>
    </w:p>
    <w:p w14:paraId="5B85D203" w14:textId="477AF7B6" w:rsidR="00CE54B4" w:rsidRDefault="003F713B">
      <w:pPr>
        <w:pStyle w:val="TOC2"/>
        <w:rPr>
          <w:rFonts w:asciiTheme="minorHAnsi" w:eastAsiaTheme="minorEastAsia" w:hAnsiTheme="minorHAnsi" w:cstheme="minorBidi"/>
          <w:b w:val="0"/>
          <w:color w:val="auto"/>
          <w:sz w:val="22"/>
          <w:szCs w:val="22"/>
          <w:lang w:eastAsia="en-AU"/>
        </w:rPr>
      </w:pPr>
      <w:hyperlink w:anchor="_Toc96334687" w:history="1">
        <w:r w:rsidR="00CE54B4" w:rsidRPr="00876F25">
          <w:rPr>
            <w:rStyle w:val="Hyperlink"/>
          </w:rPr>
          <w:t>Acute toxicology</w:t>
        </w:r>
        <w:r w:rsidR="00CE54B4">
          <w:rPr>
            <w:webHidden/>
          </w:rPr>
          <w:tab/>
        </w:r>
        <w:r w:rsidR="00CE54B4">
          <w:rPr>
            <w:webHidden/>
          </w:rPr>
          <w:fldChar w:fldCharType="begin"/>
        </w:r>
        <w:r w:rsidR="00CE54B4">
          <w:rPr>
            <w:webHidden/>
          </w:rPr>
          <w:instrText xml:space="preserve"> PAGEREF _Toc96334687 \h </w:instrText>
        </w:r>
        <w:r w:rsidR="00CE54B4">
          <w:rPr>
            <w:webHidden/>
          </w:rPr>
        </w:r>
        <w:r w:rsidR="00CE54B4">
          <w:rPr>
            <w:webHidden/>
          </w:rPr>
          <w:fldChar w:fldCharType="separate"/>
        </w:r>
        <w:r w:rsidR="00CE54B4">
          <w:rPr>
            <w:webHidden/>
          </w:rPr>
          <w:t>7</w:t>
        </w:r>
        <w:r w:rsidR="00CE54B4">
          <w:rPr>
            <w:webHidden/>
          </w:rPr>
          <w:fldChar w:fldCharType="end"/>
        </w:r>
      </w:hyperlink>
    </w:p>
    <w:p w14:paraId="37D6B0DB" w14:textId="506BFC37" w:rsidR="00CE54B4" w:rsidRDefault="003F713B">
      <w:pPr>
        <w:pStyle w:val="TOC2"/>
        <w:rPr>
          <w:rFonts w:asciiTheme="minorHAnsi" w:eastAsiaTheme="minorEastAsia" w:hAnsiTheme="minorHAnsi" w:cstheme="minorBidi"/>
          <w:b w:val="0"/>
          <w:color w:val="auto"/>
          <w:sz w:val="22"/>
          <w:szCs w:val="22"/>
          <w:lang w:eastAsia="en-AU"/>
        </w:rPr>
      </w:pPr>
      <w:hyperlink w:anchor="_Toc96334688" w:history="1">
        <w:r w:rsidR="00CE54B4" w:rsidRPr="00876F25">
          <w:rPr>
            <w:rStyle w:val="Hyperlink"/>
          </w:rPr>
          <w:t>Repeat dose toxicology</w:t>
        </w:r>
        <w:r w:rsidR="00CE54B4">
          <w:rPr>
            <w:webHidden/>
          </w:rPr>
          <w:tab/>
        </w:r>
        <w:r w:rsidR="00CE54B4">
          <w:rPr>
            <w:webHidden/>
          </w:rPr>
          <w:fldChar w:fldCharType="begin"/>
        </w:r>
        <w:r w:rsidR="00CE54B4">
          <w:rPr>
            <w:webHidden/>
          </w:rPr>
          <w:instrText xml:space="preserve"> PAGEREF _Toc96334688 \h </w:instrText>
        </w:r>
        <w:r w:rsidR="00CE54B4">
          <w:rPr>
            <w:webHidden/>
          </w:rPr>
        </w:r>
        <w:r w:rsidR="00CE54B4">
          <w:rPr>
            <w:webHidden/>
          </w:rPr>
          <w:fldChar w:fldCharType="separate"/>
        </w:r>
        <w:r w:rsidR="00CE54B4">
          <w:rPr>
            <w:webHidden/>
          </w:rPr>
          <w:t>8</w:t>
        </w:r>
        <w:r w:rsidR="00CE54B4">
          <w:rPr>
            <w:webHidden/>
          </w:rPr>
          <w:fldChar w:fldCharType="end"/>
        </w:r>
      </w:hyperlink>
    </w:p>
    <w:p w14:paraId="424B8D63" w14:textId="463FAD4E" w:rsidR="00CE54B4" w:rsidRDefault="003F713B">
      <w:pPr>
        <w:pStyle w:val="TOC2"/>
        <w:rPr>
          <w:rFonts w:asciiTheme="minorHAnsi" w:eastAsiaTheme="minorEastAsia" w:hAnsiTheme="minorHAnsi" w:cstheme="minorBidi"/>
          <w:b w:val="0"/>
          <w:color w:val="auto"/>
          <w:sz w:val="22"/>
          <w:szCs w:val="22"/>
          <w:lang w:eastAsia="en-AU"/>
        </w:rPr>
      </w:pPr>
      <w:hyperlink w:anchor="_Toc96334689" w:history="1">
        <w:r w:rsidR="00CE54B4" w:rsidRPr="00876F25">
          <w:rPr>
            <w:rStyle w:val="Hyperlink"/>
          </w:rPr>
          <w:t>Genotoxicity studies</w:t>
        </w:r>
        <w:r w:rsidR="00CE54B4">
          <w:rPr>
            <w:webHidden/>
          </w:rPr>
          <w:tab/>
        </w:r>
        <w:r w:rsidR="00CE54B4">
          <w:rPr>
            <w:webHidden/>
          </w:rPr>
          <w:fldChar w:fldCharType="begin"/>
        </w:r>
        <w:r w:rsidR="00CE54B4">
          <w:rPr>
            <w:webHidden/>
          </w:rPr>
          <w:instrText xml:space="preserve"> PAGEREF _Toc96334689 \h </w:instrText>
        </w:r>
        <w:r w:rsidR="00CE54B4">
          <w:rPr>
            <w:webHidden/>
          </w:rPr>
        </w:r>
        <w:r w:rsidR="00CE54B4">
          <w:rPr>
            <w:webHidden/>
          </w:rPr>
          <w:fldChar w:fldCharType="separate"/>
        </w:r>
        <w:r w:rsidR="00CE54B4">
          <w:rPr>
            <w:webHidden/>
          </w:rPr>
          <w:t>9</w:t>
        </w:r>
        <w:r w:rsidR="00CE54B4">
          <w:rPr>
            <w:webHidden/>
          </w:rPr>
          <w:fldChar w:fldCharType="end"/>
        </w:r>
      </w:hyperlink>
    </w:p>
    <w:p w14:paraId="677BE1E9" w14:textId="548F255A" w:rsidR="00CE54B4" w:rsidRDefault="003F713B">
      <w:pPr>
        <w:pStyle w:val="TOC2"/>
        <w:rPr>
          <w:rFonts w:asciiTheme="minorHAnsi" w:eastAsiaTheme="minorEastAsia" w:hAnsiTheme="minorHAnsi" w:cstheme="minorBidi"/>
          <w:b w:val="0"/>
          <w:color w:val="auto"/>
          <w:sz w:val="22"/>
          <w:szCs w:val="22"/>
          <w:lang w:eastAsia="en-AU"/>
        </w:rPr>
      </w:pPr>
      <w:hyperlink w:anchor="_Toc96334690" w:history="1">
        <w:r w:rsidR="00CE54B4" w:rsidRPr="00876F25">
          <w:rPr>
            <w:rStyle w:val="Hyperlink"/>
          </w:rPr>
          <w:t>Carcinogenicity studies</w:t>
        </w:r>
        <w:r w:rsidR="00CE54B4">
          <w:rPr>
            <w:webHidden/>
          </w:rPr>
          <w:tab/>
        </w:r>
        <w:r w:rsidR="00CE54B4">
          <w:rPr>
            <w:webHidden/>
          </w:rPr>
          <w:fldChar w:fldCharType="begin"/>
        </w:r>
        <w:r w:rsidR="00CE54B4">
          <w:rPr>
            <w:webHidden/>
          </w:rPr>
          <w:instrText xml:space="preserve"> PAGEREF _Toc96334690 \h </w:instrText>
        </w:r>
        <w:r w:rsidR="00CE54B4">
          <w:rPr>
            <w:webHidden/>
          </w:rPr>
        </w:r>
        <w:r w:rsidR="00CE54B4">
          <w:rPr>
            <w:webHidden/>
          </w:rPr>
          <w:fldChar w:fldCharType="separate"/>
        </w:r>
        <w:r w:rsidR="00CE54B4">
          <w:rPr>
            <w:webHidden/>
          </w:rPr>
          <w:t>9</w:t>
        </w:r>
        <w:r w:rsidR="00CE54B4">
          <w:rPr>
            <w:webHidden/>
          </w:rPr>
          <w:fldChar w:fldCharType="end"/>
        </w:r>
      </w:hyperlink>
    </w:p>
    <w:p w14:paraId="16968469" w14:textId="2A64A28F" w:rsidR="00CE54B4" w:rsidRDefault="003F713B">
      <w:pPr>
        <w:pStyle w:val="TOC2"/>
        <w:rPr>
          <w:rFonts w:asciiTheme="minorHAnsi" w:eastAsiaTheme="minorEastAsia" w:hAnsiTheme="minorHAnsi" w:cstheme="minorBidi"/>
          <w:b w:val="0"/>
          <w:color w:val="auto"/>
          <w:sz w:val="22"/>
          <w:szCs w:val="22"/>
          <w:lang w:eastAsia="en-AU"/>
        </w:rPr>
      </w:pPr>
      <w:hyperlink w:anchor="_Toc96334691" w:history="1">
        <w:r w:rsidR="00CE54B4" w:rsidRPr="00876F25">
          <w:rPr>
            <w:rStyle w:val="Hyperlink"/>
          </w:rPr>
          <w:t>Reproductive and developmental toxicology studies</w:t>
        </w:r>
        <w:r w:rsidR="00CE54B4">
          <w:rPr>
            <w:webHidden/>
          </w:rPr>
          <w:tab/>
        </w:r>
        <w:r w:rsidR="00CE54B4">
          <w:rPr>
            <w:webHidden/>
          </w:rPr>
          <w:fldChar w:fldCharType="begin"/>
        </w:r>
        <w:r w:rsidR="00CE54B4">
          <w:rPr>
            <w:webHidden/>
          </w:rPr>
          <w:instrText xml:space="preserve"> PAGEREF _Toc96334691 \h </w:instrText>
        </w:r>
        <w:r w:rsidR="00CE54B4">
          <w:rPr>
            <w:webHidden/>
          </w:rPr>
        </w:r>
        <w:r w:rsidR="00CE54B4">
          <w:rPr>
            <w:webHidden/>
          </w:rPr>
          <w:fldChar w:fldCharType="separate"/>
        </w:r>
        <w:r w:rsidR="00CE54B4">
          <w:rPr>
            <w:webHidden/>
          </w:rPr>
          <w:t>9</w:t>
        </w:r>
        <w:r w:rsidR="00CE54B4">
          <w:rPr>
            <w:webHidden/>
          </w:rPr>
          <w:fldChar w:fldCharType="end"/>
        </w:r>
      </w:hyperlink>
    </w:p>
    <w:p w14:paraId="27625EAD" w14:textId="7CFBEE43" w:rsidR="00CE54B4" w:rsidRDefault="003F713B">
      <w:pPr>
        <w:pStyle w:val="TOC2"/>
        <w:rPr>
          <w:rFonts w:asciiTheme="minorHAnsi" w:eastAsiaTheme="minorEastAsia" w:hAnsiTheme="minorHAnsi" w:cstheme="minorBidi"/>
          <w:b w:val="0"/>
          <w:color w:val="auto"/>
          <w:sz w:val="22"/>
          <w:szCs w:val="22"/>
          <w:lang w:eastAsia="en-AU"/>
        </w:rPr>
      </w:pPr>
      <w:hyperlink w:anchor="_Toc96334692" w:history="1">
        <w:r w:rsidR="00CE54B4" w:rsidRPr="00876F25">
          <w:rPr>
            <w:rStyle w:val="Hyperlink"/>
          </w:rPr>
          <w:t>Neurotoxicology studies</w:t>
        </w:r>
        <w:r w:rsidR="00CE54B4">
          <w:rPr>
            <w:webHidden/>
          </w:rPr>
          <w:tab/>
        </w:r>
        <w:r w:rsidR="00CE54B4">
          <w:rPr>
            <w:webHidden/>
          </w:rPr>
          <w:fldChar w:fldCharType="begin"/>
        </w:r>
        <w:r w:rsidR="00CE54B4">
          <w:rPr>
            <w:webHidden/>
          </w:rPr>
          <w:instrText xml:space="preserve"> PAGEREF _Toc96334692 \h </w:instrText>
        </w:r>
        <w:r w:rsidR="00CE54B4">
          <w:rPr>
            <w:webHidden/>
          </w:rPr>
        </w:r>
        <w:r w:rsidR="00CE54B4">
          <w:rPr>
            <w:webHidden/>
          </w:rPr>
          <w:fldChar w:fldCharType="separate"/>
        </w:r>
        <w:r w:rsidR="00CE54B4">
          <w:rPr>
            <w:webHidden/>
          </w:rPr>
          <w:t>10</w:t>
        </w:r>
        <w:r w:rsidR="00CE54B4">
          <w:rPr>
            <w:webHidden/>
          </w:rPr>
          <w:fldChar w:fldCharType="end"/>
        </w:r>
      </w:hyperlink>
    </w:p>
    <w:p w14:paraId="03D6E4F9" w14:textId="26931C2A" w:rsidR="00CE54B4" w:rsidRDefault="003F713B">
      <w:pPr>
        <w:pStyle w:val="TOC2"/>
        <w:rPr>
          <w:rFonts w:asciiTheme="minorHAnsi" w:eastAsiaTheme="minorEastAsia" w:hAnsiTheme="minorHAnsi" w:cstheme="minorBidi"/>
          <w:b w:val="0"/>
          <w:color w:val="auto"/>
          <w:sz w:val="22"/>
          <w:szCs w:val="22"/>
          <w:lang w:eastAsia="en-AU"/>
        </w:rPr>
      </w:pPr>
      <w:hyperlink w:anchor="_Toc96334693" w:history="1">
        <w:r w:rsidR="00CE54B4" w:rsidRPr="00876F25">
          <w:rPr>
            <w:rStyle w:val="Hyperlink"/>
          </w:rPr>
          <w:t>Health based guidance values and points of departure for human health risk assessment</w:t>
        </w:r>
        <w:r w:rsidR="00CE54B4">
          <w:rPr>
            <w:webHidden/>
          </w:rPr>
          <w:tab/>
        </w:r>
        <w:r w:rsidR="00CE54B4">
          <w:rPr>
            <w:webHidden/>
          </w:rPr>
          <w:fldChar w:fldCharType="begin"/>
        </w:r>
        <w:r w:rsidR="00CE54B4">
          <w:rPr>
            <w:webHidden/>
          </w:rPr>
          <w:instrText xml:space="preserve"> PAGEREF _Toc96334693 \h </w:instrText>
        </w:r>
        <w:r w:rsidR="00CE54B4">
          <w:rPr>
            <w:webHidden/>
          </w:rPr>
        </w:r>
        <w:r w:rsidR="00CE54B4">
          <w:rPr>
            <w:webHidden/>
          </w:rPr>
          <w:fldChar w:fldCharType="separate"/>
        </w:r>
        <w:r w:rsidR="00CE54B4">
          <w:rPr>
            <w:webHidden/>
          </w:rPr>
          <w:t>11</w:t>
        </w:r>
        <w:r w:rsidR="00CE54B4">
          <w:rPr>
            <w:webHidden/>
          </w:rPr>
          <w:fldChar w:fldCharType="end"/>
        </w:r>
      </w:hyperlink>
    </w:p>
    <w:p w14:paraId="661ADAEE" w14:textId="216DD394" w:rsidR="00CE54B4" w:rsidRDefault="003F713B">
      <w:pPr>
        <w:pStyle w:val="TOC3"/>
        <w:rPr>
          <w:rFonts w:asciiTheme="minorHAnsi" w:eastAsiaTheme="minorEastAsia" w:hAnsiTheme="minorHAnsi" w:cstheme="minorBidi"/>
          <w:color w:val="auto"/>
          <w:sz w:val="22"/>
          <w:szCs w:val="22"/>
          <w:lang w:eastAsia="en-AU"/>
        </w:rPr>
      </w:pPr>
      <w:hyperlink w:anchor="_Toc96334694" w:history="1">
        <w:r w:rsidR="00CE54B4" w:rsidRPr="00876F25">
          <w:rPr>
            <w:rStyle w:val="Hyperlink"/>
          </w:rPr>
          <w:t>Acceptable daily intake</w:t>
        </w:r>
        <w:r w:rsidR="00CE54B4">
          <w:rPr>
            <w:webHidden/>
          </w:rPr>
          <w:tab/>
        </w:r>
        <w:r w:rsidR="00CE54B4">
          <w:rPr>
            <w:webHidden/>
          </w:rPr>
          <w:fldChar w:fldCharType="begin"/>
        </w:r>
        <w:r w:rsidR="00CE54B4">
          <w:rPr>
            <w:webHidden/>
          </w:rPr>
          <w:instrText xml:space="preserve"> PAGEREF _Toc96334694 \h </w:instrText>
        </w:r>
        <w:r w:rsidR="00CE54B4">
          <w:rPr>
            <w:webHidden/>
          </w:rPr>
        </w:r>
        <w:r w:rsidR="00CE54B4">
          <w:rPr>
            <w:webHidden/>
          </w:rPr>
          <w:fldChar w:fldCharType="separate"/>
        </w:r>
        <w:r w:rsidR="00CE54B4">
          <w:rPr>
            <w:webHidden/>
          </w:rPr>
          <w:t>11</w:t>
        </w:r>
        <w:r w:rsidR="00CE54B4">
          <w:rPr>
            <w:webHidden/>
          </w:rPr>
          <w:fldChar w:fldCharType="end"/>
        </w:r>
      </w:hyperlink>
    </w:p>
    <w:p w14:paraId="2F4DB853" w14:textId="7ED4F670" w:rsidR="00CE54B4" w:rsidRDefault="003F713B">
      <w:pPr>
        <w:pStyle w:val="TOC3"/>
        <w:rPr>
          <w:rFonts w:asciiTheme="minorHAnsi" w:eastAsiaTheme="minorEastAsia" w:hAnsiTheme="minorHAnsi" w:cstheme="minorBidi"/>
          <w:color w:val="auto"/>
          <w:sz w:val="22"/>
          <w:szCs w:val="22"/>
          <w:lang w:eastAsia="en-AU"/>
        </w:rPr>
      </w:pPr>
      <w:hyperlink w:anchor="_Toc96334695" w:history="1">
        <w:r w:rsidR="00CE54B4" w:rsidRPr="00876F25">
          <w:rPr>
            <w:rStyle w:val="Hyperlink"/>
          </w:rPr>
          <w:t>Acute reference dose</w:t>
        </w:r>
        <w:r w:rsidR="00CE54B4">
          <w:rPr>
            <w:webHidden/>
          </w:rPr>
          <w:tab/>
        </w:r>
        <w:r w:rsidR="00CE54B4">
          <w:rPr>
            <w:webHidden/>
          </w:rPr>
          <w:fldChar w:fldCharType="begin"/>
        </w:r>
        <w:r w:rsidR="00CE54B4">
          <w:rPr>
            <w:webHidden/>
          </w:rPr>
          <w:instrText xml:space="preserve"> PAGEREF _Toc96334695 \h </w:instrText>
        </w:r>
        <w:r w:rsidR="00CE54B4">
          <w:rPr>
            <w:webHidden/>
          </w:rPr>
        </w:r>
        <w:r w:rsidR="00CE54B4">
          <w:rPr>
            <w:webHidden/>
          </w:rPr>
          <w:fldChar w:fldCharType="separate"/>
        </w:r>
        <w:r w:rsidR="00CE54B4">
          <w:rPr>
            <w:webHidden/>
          </w:rPr>
          <w:t>11</w:t>
        </w:r>
        <w:r w:rsidR="00CE54B4">
          <w:rPr>
            <w:webHidden/>
          </w:rPr>
          <w:fldChar w:fldCharType="end"/>
        </w:r>
      </w:hyperlink>
    </w:p>
    <w:p w14:paraId="53A51627" w14:textId="05DB7FB0" w:rsidR="00CE54B4" w:rsidRDefault="003F713B">
      <w:pPr>
        <w:pStyle w:val="TOC3"/>
        <w:rPr>
          <w:rFonts w:asciiTheme="minorHAnsi" w:eastAsiaTheme="minorEastAsia" w:hAnsiTheme="minorHAnsi" w:cstheme="minorBidi"/>
          <w:color w:val="auto"/>
          <w:sz w:val="22"/>
          <w:szCs w:val="22"/>
          <w:lang w:eastAsia="en-AU"/>
        </w:rPr>
      </w:pPr>
      <w:hyperlink w:anchor="_Toc96334696" w:history="1">
        <w:r w:rsidR="00CE54B4" w:rsidRPr="00876F25">
          <w:rPr>
            <w:rStyle w:val="Hyperlink"/>
          </w:rPr>
          <w:t>Short-term exposure points of departure for work health and safety risk assessment</w:t>
        </w:r>
        <w:r w:rsidR="00CE54B4">
          <w:rPr>
            <w:webHidden/>
          </w:rPr>
          <w:tab/>
        </w:r>
        <w:r w:rsidR="00CE54B4">
          <w:rPr>
            <w:webHidden/>
          </w:rPr>
          <w:fldChar w:fldCharType="begin"/>
        </w:r>
        <w:r w:rsidR="00CE54B4">
          <w:rPr>
            <w:webHidden/>
          </w:rPr>
          <w:instrText xml:space="preserve"> PAGEREF _Toc96334696 \h </w:instrText>
        </w:r>
        <w:r w:rsidR="00CE54B4">
          <w:rPr>
            <w:webHidden/>
          </w:rPr>
        </w:r>
        <w:r w:rsidR="00CE54B4">
          <w:rPr>
            <w:webHidden/>
          </w:rPr>
          <w:fldChar w:fldCharType="separate"/>
        </w:r>
        <w:r w:rsidR="00CE54B4">
          <w:rPr>
            <w:webHidden/>
          </w:rPr>
          <w:t>12</w:t>
        </w:r>
        <w:r w:rsidR="00CE54B4">
          <w:rPr>
            <w:webHidden/>
          </w:rPr>
          <w:fldChar w:fldCharType="end"/>
        </w:r>
      </w:hyperlink>
    </w:p>
    <w:p w14:paraId="7F4FB360" w14:textId="6EEF4056" w:rsidR="00CE54B4" w:rsidRDefault="003F713B">
      <w:pPr>
        <w:pStyle w:val="TOC3"/>
        <w:rPr>
          <w:rFonts w:asciiTheme="minorHAnsi" w:eastAsiaTheme="minorEastAsia" w:hAnsiTheme="minorHAnsi" w:cstheme="minorBidi"/>
          <w:color w:val="auto"/>
          <w:sz w:val="22"/>
          <w:szCs w:val="22"/>
          <w:lang w:eastAsia="en-AU"/>
        </w:rPr>
      </w:pPr>
      <w:hyperlink w:anchor="_Toc96334697" w:history="1">
        <w:r w:rsidR="00CE54B4" w:rsidRPr="00876F25">
          <w:rPr>
            <w:rStyle w:val="Hyperlink"/>
          </w:rPr>
          <w:t>Intermediate term exposure points of departure for work health and safety risk assessment</w:t>
        </w:r>
        <w:r w:rsidR="00CE54B4">
          <w:rPr>
            <w:webHidden/>
          </w:rPr>
          <w:tab/>
        </w:r>
        <w:r w:rsidR="00CE54B4">
          <w:rPr>
            <w:webHidden/>
          </w:rPr>
          <w:fldChar w:fldCharType="begin"/>
        </w:r>
        <w:r w:rsidR="00CE54B4">
          <w:rPr>
            <w:webHidden/>
          </w:rPr>
          <w:instrText xml:space="preserve"> PAGEREF _Toc96334697 \h </w:instrText>
        </w:r>
        <w:r w:rsidR="00CE54B4">
          <w:rPr>
            <w:webHidden/>
          </w:rPr>
        </w:r>
        <w:r w:rsidR="00CE54B4">
          <w:rPr>
            <w:webHidden/>
          </w:rPr>
          <w:fldChar w:fldCharType="separate"/>
        </w:r>
        <w:r w:rsidR="00CE54B4">
          <w:rPr>
            <w:webHidden/>
          </w:rPr>
          <w:t>12</w:t>
        </w:r>
        <w:r w:rsidR="00CE54B4">
          <w:rPr>
            <w:webHidden/>
          </w:rPr>
          <w:fldChar w:fldCharType="end"/>
        </w:r>
      </w:hyperlink>
    </w:p>
    <w:p w14:paraId="2FA16894" w14:textId="3E5F0130" w:rsidR="00CE54B4" w:rsidRDefault="003F713B">
      <w:pPr>
        <w:pStyle w:val="TOC3"/>
        <w:rPr>
          <w:rFonts w:asciiTheme="minorHAnsi" w:eastAsiaTheme="minorEastAsia" w:hAnsiTheme="minorHAnsi" w:cstheme="minorBidi"/>
          <w:color w:val="auto"/>
          <w:sz w:val="22"/>
          <w:szCs w:val="22"/>
          <w:lang w:eastAsia="en-AU"/>
        </w:rPr>
      </w:pPr>
      <w:hyperlink w:anchor="_Toc96334698" w:history="1">
        <w:r w:rsidR="00CE54B4" w:rsidRPr="00876F25">
          <w:rPr>
            <w:rStyle w:val="Hyperlink"/>
          </w:rPr>
          <w:t>Long-term exposure points of departure for work health and safety risk assessment</w:t>
        </w:r>
        <w:r w:rsidR="00CE54B4">
          <w:rPr>
            <w:webHidden/>
          </w:rPr>
          <w:tab/>
        </w:r>
        <w:r w:rsidR="00CE54B4">
          <w:rPr>
            <w:webHidden/>
          </w:rPr>
          <w:fldChar w:fldCharType="begin"/>
        </w:r>
        <w:r w:rsidR="00CE54B4">
          <w:rPr>
            <w:webHidden/>
          </w:rPr>
          <w:instrText xml:space="preserve"> PAGEREF _Toc96334698 \h </w:instrText>
        </w:r>
        <w:r w:rsidR="00CE54B4">
          <w:rPr>
            <w:webHidden/>
          </w:rPr>
        </w:r>
        <w:r w:rsidR="00CE54B4">
          <w:rPr>
            <w:webHidden/>
          </w:rPr>
          <w:fldChar w:fldCharType="separate"/>
        </w:r>
        <w:r w:rsidR="00CE54B4">
          <w:rPr>
            <w:webHidden/>
          </w:rPr>
          <w:t>12</w:t>
        </w:r>
        <w:r w:rsidR="00CE54B4">
          <w:rPr>
            <w:webHidden/>
          </w:rPr>
          <w:fldChar w:fldCharType="end"/>
        </w:r>
      </w:hyperlink>
    </w:p>
    <w:p w14:paraId="5E35D599" w14:textId="76F5D18B" w:rsidR="00CE54B4" w:rsidRDefault="003F713B">
      <w:pPr>
        <w:pStyle w:val="TOC2"/>
        <w:rPr>
          <w:rFonts w:asciiTheme="minorHAnsi" w:eastAsiaTheme="minorEastAsia" w:hAnsiTheme="minorHAnsi" w:cstheme="minorBidi"/>
          <w:b w:val="0"/>
          <w:color w:val="auto"/>
          <w:sz w:val="22"/>
          <w:szCs w:val="22"/>
          <w:lang w:eastAsia="en-AU"/>
        </w:rPr>
      </w:pPr>
      <w:hyperlink w:anchor="_Toc96334699" w:history="1">
        <w:r w:rsidR="00CE54B4" w:rsidRPr="00876F25">
          <w:rPr>
            <w:rStyle w:val="Hyperlink"/>
          </w:rPr>
          <w:t>Poisons scheduling</w:t>
        </w:r>
        <w:r w:rsidR="00CE54B4">
          <w:rPr>
            <w:webHidden/>
          </w:rPr>
          <w:tab/>
        </w:r>
        <w:r w:rsidR="00CE54B4">
          <w:rPr>
            <w:webHidden/>
          </w:rPr>
          <w:fldChar w:fldCharType="begin"/>
        </w:r>
        <w:r w:rsidR="00CE54B4">
          <w:rPr>
            <w:webHidden/>
          </w:rPr>
          <w:instrText xml:space="preserve"> PAGEREF _Toc96334699 \h </w:instrText>
        </w:r>
        <w:r w:rsidR="00CE54B4">
          <w:rPr>
            <w:webHidden/>
          </w:rPr>
        </w:r>
        <w:r w:rsidR="00CE54B4">
          <w:rPr>
            <w:webHidden/>
          </w:rPr>
          <w:fldChar w:fldCharType="separate"/>
        </w:r>
        <w:r w:rsidR="00CE54B4">
          <w:rPr>
            <w:webHidden/>
          </w:rPr>
          <w:t>12</w:t>
        </w:r>
        <w:r w:rsidR="00CE54B4">
          <w:rPr>
            <w:webHidden/>
          </w:rPr>
          <w:fldChar w:fldCharType="end"/>
        </w:r>
      </w:hyperlink>
    </w:p>
    <w:p w14:paraId="525034A2" w14:textId="08C881FE" w:rsidR="00CE54B4" w:rsidRDefault="003F713B">
      <w:pPr>
        <w:pStyle w:val="TOC2"/>
        <w:rPr>
          <w:rFonts w:asciiTheme="minorHAnsi" w:eastAsiaTheme="minorEastAsia" w:hAnsiTheme="minorHAnsi" w:cstheme="minorBidi"/>
          <w:b w:val="0"/>
          <w:color w:val="auto"/>
          <w:sz w:val="22"/>
          <w:szCs w:val="22"/>
          <w:lang w:eastAsia="en-AU"/>
        </w:rPr>
      </w:pPr>
      <w:hyperlink w:anchor="_Toc96334700" w:history="1">
        <w:r w:rsidR="00CE54B4" w:rsidRPr="00876F25">
          <w:rPr>
            <w:rStyle w:val="Hyperlink"/>
          </w:rPr>
          <w:t>Recommendations</w:t>
        </w:r>
        <w:r w:rsidR="00CE54B4">
          <w:rPr>
            <w:webHidden/>
          </w:rPr>
          <w:tab/>
        </w:r>
        <w:r w:rsidR="00CE54B4">
          <w:rPr>
            <w:webHidden/>
          </w:rPr>
          <w:fldChar w:fldCharType="begin"/>
        </w:r>
        <w:r w:rsidR="00CE54B4">
          <w:rPr>
            <w:webHidden/>
          </w:rPr>
          <w:instrText xml:space="preserve"> PAGEREF _Toc96334700 \h </w:instrText>
        </w:r>
        <w:r w:rsidR="00CE54B4">
          <w:rPr>
            <w:webHidden/>
          </w:rPr>
        </w:r>
        <w:r w:rsidR="00CE54B4">
          <w:rPr>
            <w:webHidden/>
          </w:rPr>
          <w:fldChar w:fldCharType="separate"/>
        </w:r>
        <w:r w:rsidR="00CE54B4">
          <w:rPr>
            <w:webHidden/>
          </w:rPr>
          <w:t>12</w:t>
        </w:r>
        <w:r w:rsidR="00CE54B4">
          <w:rPr>
            <w:webHidden/>
          </w:rPr>
          <w:fldChar w:fldCharType="end"/>
        </w:r>
      </w:hyperlink>
    </w:p>
    <w:p w14:paraId="6A0013D3" w14:textId="784F7AAD"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701" w:history="1">
        <w:r w:rsidR="00CE54B4" w:rsidRPr="00876F25">
          <w:rPr>
            <w:rStyle w:val="Hyperlink"/>
          </w:rPr>
          <w:t>Work health and safety</w:t>
        </w:r>
        <w:r w:rsidR="00CE54B4">
          <w:rPr>
            <w:webHidden/>
          </w:rPr>
          <w:tab/>
        </w:r>
        <w:r w:rsidR="00CE54B4">
          <w:rPr>
            <w:webHidden/>
          </w:rPr>
          <w:fldChar w:fldCharType="begin"/>
        </w:r>
        <w:r w:rsidR="00CE54B4">
          <w:rPr>
            <w:webHidden/>
          </w:rPr>
          <w:instrText xml:space="preserve"> PAGEREF _Toc96334701 \h </w:instrText>
        </w:r>
        <w:r w:rsidR="00CE54B4">
          <w:rPr>
            <w:webHidden/>
          </w:rPr>
        </w:r>
        <w:r w:rsidR="00CE54B4">
          <w:rPr>
            <w:webHidden/>
          </w:rPr>
          <w:fldChar w:fldCharType="separate"/>
        </w:r>
        <w:r w:rsidR="00CE54B4">
          <w:rPr>
            <w:webHidden/>
          </w:rPr>
          <w:t>14</w:t>
        </w:r>
        <w:r w:rsidR="00CE54B4">
          <w:rPr>
            <w:webHidden/>
          </w:rPr>
          <w:fldChar w:fldCharType="end"/>
        </w:r>
      </w:hyperlink>
    </w:p>
    <w:p w14:paraId="200571DA" w14:textId="0FE536DA" w:rsidR="00CE54B4" w:rsidRDefault="003F713B">
      <w:pPr>
        <w:pStyle w:val="TOC2"/>
        <w:rPr>
          <w:rFonts w:asciiTheme="minorHAnsi" w:eastAsiaTheme="minorEastAsia" w:hAnsiTheme="minorHAnsi" w:cstheme="minorBidi"/>
          <w:b w:val="0"/>
          <w:color w:val="auto"/>
          <w:sz w:val="22"/>
          <w:szCs w:val="22"/>
          <w:lang w:eastAsia="en-AU"/>
        </w:rPr>
      </w:pPr>
      <w:hyperlink w:anchor="_Toc96334702" w:history="1">
        <w:r w:rsidR="00CE54B4" w:rsidRPr="00876F25">
          <w:rPr>
            <w:rStyle w:val="Hyperlink"/>
          </w:rPr>
          <w:t>Recommendations</w:t>
        </w:r>
        <w:r w:rsidR="00CE54B4">
          <w:rPr>
            <w:webHidden/>
          </w:rPr>
          <w:tab/>
        </w:r>
        <w:r w:rsidR="00CE54B4">
          <w:rPr>
            <w:webHidden/>
          </w:rPr>
          <w:fldChar w:fldCharType="begin"/>
        </w:r>
        <w:r w:rsidR="00CE54B4">
          <w:rPr>
            <w:webHidden/>
          </w:rPr>
          <w:instrText xml:space="preserve"> PAGEREF _Toc96334702 \h </w:instrText>
        </w:r>
        <w:r w:rsidR="00CE54B4">
          <w:rPr>
            <w:webHidden/>
          </w:rPr>
        </w:r>
        <w:r w:rsidR="00CE54B4">
          <w:rPr>
            <w:webHidden/>
          </w:rPr>
          <w:fldChar w:fldCharType="separate"/>
        </w:r>
        <w:r w:rsidR="00CE54B4">
          <w:rPr>
            <w:webHidden/>
          </w:rPr>
          <w:t>16</w:t>
        </w:r>
        <w:r w:rsidR="00CE54B4">
          <w:rPr>
            <w:webHidden/>
          </w:rPr>
          <w:fldChar w:fldCharType="end"/>
        </w:r>
      </w:hyperlink>
    </w:p>
    <w:p w14:paraId="0BED76C4" w14:textId="64DE0132"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703" w:history="1">
        <w:r w:rsidR="00CE54B4" w:rsidRPr="00876F25">
          <w:rPr>
            <w:rStyle w:val="Hyperlink"/>
          </w:rPr>
          <w:t>Environment</w:t>
        </w:r>
        <w:r w:rsidR="00CE54B4">
          <w:rPr>
            <w:webHidden/>
          </w:rPr>
          <w:tab/>
        </w:r>
        <w:r w:rsidR="00CE54B4">
          <w:rPr>
            <w:webHidden/>
          </w:rPr>
          <w:fldChar w:fldCharType="begin"/>
        </w:r>
        <w:r w:rsidR="00CE54B4">
          <w:rPr>
            <w:webHidden/>
          </w:rPr>
          <w:instrText xml:space="preserve"> PAGEREF _Toc96334703 \h </w:instrText>
        </w:r>
        <w:r w:rsidR="00CE54B4">
          <w:rPr>
            <w:webHidden/>
          </w:rPr>
        </w:r>
        <w:r w:rsidR="00CE54B4">
          <w:rPr>
            <w:webHidden/>
          </w:rPr>
          <w:fldChar w:fldCharType="separate"/>
        </w:r>
        <w:r w:rsidR="00CE54B4">
          <w:rPr>
            <w:webHidden/>
          </w:rPr>
          <w:t>18</w:t>
        </w:r>
        <w:r w:rsidR="00CE54B4">
          <w:rPr>
            <w:webHidden/>
          </w:rPr>
          <w:fldChar w:fldCharType="end"/>
        </w:r>
      </w:hyperlink>
    </w:p>
    <w:p w14:paraId="2FF1E404" w14:textId="42854429" w:rsidR="00CE54B4" w:rsidRDefault="003F713B">
      <w:pPr>
        <w:pStyle w:val="TOC2"/>
        <w:rPr>
          <w:rFonts w:asciiTheme="minorHAnsi" w:eastAsiaTheme="minorEastAsia" w:hAnsiTheme="minorHAnsi" w:cstheme="minorBidi"/>
          <w:b w:val="0"/>
          <w:color w:val="auto"/>
          <w:sz w:val="22"/>
          <w:szCs w:val="22"/>
          <w:lang w:eastAsia="en-AU"/>
        </w:rPr>
      </w:pPr>
      <w:hyperlink w:anchor="_Toc96334704" w:history="1">
        <w:r w:rsidR="00CE54B4" w:rsidRPr="00876F25">
          <w:rPr>
            <w:rStyle w:val="Hyperlink"/>
          </w:rPr>
          <w:t>Recommendations</w:t>
        </w:r>
        <w:r w:rsidR="00CE54B4">
          <w:rPr>
            <w:webHidden/>
          </w:rPr>
          <w:tab/>
        </w:r>
        <w:r w:rsidR="00CE54B4">
          <w:rPr>
            <w:webHidden/>
          </w:rPr>
          <w:fldChar w:fldCharType="begin"/>
        </w:r>
        <w:r w:rsidR="00CE54B4">
          <w:rPr>
            <w:webHidden/>
          </w:rPr>
          <w:instrText xml:space="preserve"> PAGEREF _Toc96334704 \h </w:instrText>
        </w:r>
        <w:r w:rsidR="00CE54B4">
          <w:rPr>
            <w:webHidden/>
          </w:rPr>
        </w:r>
        <w:r w:rsidR="00CE54B4">
          <w:rPr>
            <w:webHidden/>
          </w:rPr>
          <w:fldChar w:fldCharType="separate"/>
        </w:r>
        <w:r w:rsidR="00CE54B4">
          <w:rPr>
            <w:webHidden/>
          </w:rPr>
          <w:t>19</w:t>
        </w:r>
        <w:r w:rsidR="00CE54B4">
          <w:rPr>
            <w:webHidden/>
          </w:rPr>
          <w:fldChar w:fldCharType="end"/>
        </w:r>
      </w:hyperlink>
    </w:p>
    <w:p w14:paraId="6DC54ABD" w14:textId="17AB6887"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705" w:history="1">
        <w:r w:rsidR="00CE54B4" w:rsidRPr="00876F25">
          <w:rPr>
            <w:rStyle w:val="Hyperlink"/>
          </w:rPr>
          <w:t>Residues and trade</w:t>
        </w:r>
        <w:r w:rsidR="00CE54B4">
          <w:rPr>
            <w:webHidden/>
          </w:rPr>
          <w:tab/>
        </w:r>
        <w:r w:rsidR="00CE54B4">
          <w:rPr>
            <w:webHidden/>
          </w:rPr>
          <w:fldChar w:fldCharType="begin"/>
        </w:r>
        <w:r w:rsidR="00CE54B4">
          <w:rPr>
            <w:webHidden/>
          </w:rPr>
          <w:instrText xml:space="preserve"> PAGEREF _Toc96334705 \h </w:instrText>
        </w:r>
        <w:r w:rsidR="00CE54B4">
          <w:rPr>
            <w:webHidden/>
          </w:rPr>
        </w:r>
        <w:r w:rsidR="00CE54B4">
          <w:rPr>
            <w:webHidden/>
          </w:rPr>
          <w:fldChar w:fldCharType="separate"/>
        </w:r>
        <w:r w:rsidR="00CE54B4">
          <w:rPr>
            <w:webHidden/>
          </w:rPr>
          <w:t>20</w:t>
        </w:r>
        <w:r w:rsidR="00CE54B4">
          <w:rPr>
            <w:webHidden/>
          </w:rPr>
          <w:fldChar w:fldCharType="end"/>
        </w:r>
      </w:hyperlink>
    </w:p>
    <w:p w14:paraId="44D113F8" w14:textId="3ACBF311"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706" w:history="1">
        <w:r w:rsidR="00CE54B4" w:rsidRPr="00876F25">
          <w:rPr>
            <w:rStyle w:val="Hyperlink"/>
          </w:rPr>
          <w:t>Efficacy and target crop safety</w:t>
        </w:r>
        <w:r w:rsidR="00CE54B4">
          <w:rPr>
            <w:webHidden/>
          </w:rPr>
          <w:tab/>
        </w:r>
        <w:r w:rsidR="00CE54B4">
          <w:rPr>
            <w:webHidden/>
          </w:rPr>
          <w:fldChar w:fldCharType="begin"/>
        </w:r>
        <w:r w:rsidR="00CE54B4">
          <w:rPr>
            <w:webHidden/>
          </w:rPr>
          <w:instrText xml:space="preserve"> PAGEREF _Toc96334706 \h </w:instrText>
        </w:r>
        <w:r w:rsidR="00CE54B4">
          <w:rPr>
            <w:webHidden/>
          </w:rPr>
        </w:r>
        <w:r w:rsidR="00CE54B4">
          <w:rPr>
            <w:webHidden/>
          </w:rPr>
          <w:fldChar w:fldCharType="separate"/>
        </w:r>
        <w:r w:rsidR="00CE54B4">
          <w:rPr>
            <w:webHidden/>
          </w:rPr>
          <w:t>21</w:t>
        </w:r>
        <w:r w:rsidR="00CE54B4">
          <w:rPr>
            <w:webHidden/>
          </w:rPr>
          <w:fldChar w:fldCharType="end"/>
        </w:r>
      </w:hyperlink>
    </w:p>
    <w:p w14:paraId="23F7ECBC" w14:textId="67255795" w:rsidR="00CE54B4" w:rsidRDefault="003F713B">
      <w:pPr>
        <w:pStyle w:val="TOC2"/>
        <w:rPr>
          <w:rFonts w:asciiTheme="minorHAnsi" w:eastAsiaTheme="minorEastAsia" w:hAnsiTheme="minorHAnsi" w:cstheme="minorBidi"/>
          <w:b w:val="0"/>
          <w:color w:val="auto"/>
          <w:sz w:val="22"/>
          <w:szCs w:val="22"/>
          <w:lang w:eastAsia="en-AU"/>
        </w:rPr>
      </w:pPr>
      <w:hyperlink w:anchor="_Toc96334707" w:history="1">
        <w:r w:rsidR="00CE54B4" w:rsidRPr="00876F25">
          <w:rPr>
            <w:rStyle w:val="Hyperlink"/>
          </w:rPr>
          <w:t>Efficacy</w:t>
        </w:r>
        <w:r w:rsidR="00CE54B4">
          <w:rPr>
            <w:webHidden/>
          </w:rPr>
          <w:tab/>
        </w:r>
        <w:r w:rsidR="00CE54B4">
          <w:rPr>
            <w:webHidden/>
          </w:rPr>
          <w:fldChar w:fldCharType="begin"/>
        </w:r>
        <w:r w:rsidR="00CE54B4">
          <w:rPr>
            <w:webHidden/>
          </w:rPr>
          <w:instrText xml:space="preserve"> PAGEREF _Toc96334707 \h </w:instrText>
        </w:r>
        <w:r w:rsidR="00CE54B4">
          <w:rPr>
            <w:webHidden/>
          </w:rPr>
        </w:r>
        <w:r w:rsidR="00CE54B4">
          <w:rPr>
            <w:webHidden/>
          </w:rPr>
          <w:fldChar w:fldCharType="separate"/>
        </w:r>
        <w:r w:rsidR="00CE54B4">
          <w:rPr>
            <w:webHidden/>
          </w:rPr>
          <w:t>21</w:t>
        </w:r>
        <w:r w:rsidR="00CE54B4">
          <w:rPr>
            <w:webHidden/>
          </w:rPr>
          <w:fldChar w:fldCharType="end"/>
        </w:r>
      </w:hyperlink>
    </w:p>
    <w:p w14:paraId="7941A164" w14:textId="02853620" w:rsidR="00CE54B4" w:rsidRDefault="003F713B">
      <w:pPr>
        <w:pStyle w:val="TOC2"/>
        <w:rPr>
          <w:rFonts w:asciiTheme="minorHAnsi" w:eastAsiaTheme="minorEastAsia" w:hAnsiTheme="minorHAnsi" w:cstheme="minorBidi"/>
          <w:b w:val="0"/>
          <w:color w:val="auto"/>
          <w:sz w:val="22"/>
          <w:szCs w:val="22"/>
          <w:lang w:eastAsia="en-AU"/>
        </w:rPr>
      </w:pPr>
      <w:hyperlink w:anchor="_Toc96334708" w:history="1">
        <w:r w:rsidR="00CE54B4" w:rsidRPr="00876F25">
          <w:rPr>
            <w:rStyle w:val="Hyperlink"/>
          </w:rPr>
          <w:t>Target crop safety</w:t>
        </w:r>
        <w:r w:rsidR="00CE54B4">
          <w:rPr>
            <w:webHidden/>
          </w:rPr>
          <w:tab/>
        </w:r>
        <w:r w:rsidR="00CE54B4">
          <w:rPr>
            <w:webHidden/>
          </w:rPr>
          <w:fldChar w:fldCharType="begin"/>
        </w:r>
        <w:r w:rsidR="00CE54B4">
          <w:rPr>
            <w:webHidden/>
          </w:rPr>
          <w:instrText xml:space="preserve"> PAGEREF _Toc96334708 \h </w:instrText>
        </w:r>
        <w:r w:rsidR="00CE54B4">
          <w:rPr>
            <w:webHidden/>
          </w:rPr>
        </w:r>
        <w:r w:rsidR="00CE54B4">
          <w:rPr>
            <w:webHidden/>
          </w:rPr>
          <w:fldChar w:fldCharType="separate"/>
        </w:r>
        <w:r w:rsidR="00CE54B4">
          <w:rPr>
            <w:webHidden/>
          </w:rPr>
          <w:t>21</w:t>
        </w:r>
        <w:r w:rsidR="00CE54B4">
          <w:rPr>
            <w:webHidden/>
          </w:rPr>
          <w:fldChar w:fldCharType="end"/>
        </w:r>
      </w:hyperlink>
    </w:p>
    <w:p w14:paraId="65D962E6" w14:textId="014421A6"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709" w:history="1">
        <w:r w:rsidR="00CE54B4" w:rsidRPr="00876F25">
          <w:rPr>
            <w:rStyle w:val="Hyperlink"/>
          </w:rPr>
          <w:t>Spray drift assessment</w:t>
        </w:r>
        <w:r w:rsidR="00CE54B4">
          <w:rPr>
            <w:webHidden/>
          </w:rPr>
          <w:tab/>
        </w:r>
        <w:r w:rsidR="00CE54B4">
          <w:rPr>
            <w:webHidden/>
          </w:rPr>
          <w:fldChar w:fldCharType="begin"/>
        </w:r>
        <w:r w:rsidR="00CE54B4">
          <w:rPr>
            <w:webHidden/>
          </w:rPr>
          <w:instrText xml:space="preserve"> PAGEREF _Toc96334709 \h </w:instrText>
        </w:r>
        <w:r w:rsidR="00CE54B4">
          <w:rPr>
            <w:webHidden/>
          </w:rPr>
        </w:r>
        <w:r w:rsidR="00CE54B4">
          <w:rPr>
            <w:webHidden/>
          </w:rPr>
          <w:fldChar w:fldCharType="separate"/>
        </w:r>
        <w:r w:rsidR="00CE54B4">
          <w:rPr>
            <w:webHidden/>
          </w:rPr>
          <w:t>22</w:t>
        </w:r>
        <w:r w:rsidR="00CE54B4">
          <w:rPr>
            <w:webHidden/>
          </w:rPr>
          <w:fldChar w:fldCharType="end"/>
        </w:r>
      </w:hyperlink>
    </w:p>
    <w:p w14:paraId="5FB40F35" w14:textId="5176D0F7" w:rsidR="00CE54B4" w:rsidRDefault="003F713B">
      <w:pPr>
        <w:pStyle w:val="TOC2"/>
        <w:rPr>
          <w:rFonts w:asciiTheme="minorHAnsi" w:eastAsiaTheme="minorEastAsia" w:hAnsiTheme="minorHAnsi" w:cstheme="minorBidi"/>
          <w:b w:val="0"/>
          <w:color w:val="auto"/>
          <w:sz w:val="22"/>
          <w:szCs w:val="22"/>
          <w:lang w:eastAsia="en-AU"/>
        </w:rPr>
      </w:pPr>
      <w:hyperlink w:anchor="_Toc96334710" w:history="1">
        <w:r w:rsidR="00CE54B4" w:rsidRPr="00876F25">
          <w:rPr>
            <w:rStyle w:val="Hyperlink"/>
          </w:rPr>
          <w:t>Regulatory acceptable levels considered</w:t>
        </w:r>
        <w:r w:rsidR="00CE54B4">
          <w:rPr>
            <w:webHidden/>
          </w:rPr>
          <w:tab/>
        </w:r>
        <w:r w:rsidR="00CE54B4">
          <w:rPr>
            <w:webHidden/>
          </w:rPr>
          <w:fldChar w:fldCharType="begin"/>
        </w:r>
        <w:r w:rsidR="00CE54B4">
          <w:rPr>
            <w:webHidden/>
          </w:rPr>
          <w:instrText xml:space="preserve"> PAGEREF _Toc96334710 \h </w:instrText>
        </w:r>
        <w:r w:rsidR="00CE54B4">
          <w:rPr>
            <w:webHidden/>
          </w:rPr>
        </w:r>
        <w:r w:rsidR="00CE54B4">
          <w:rPr>
            <w:webHidden/>
          </w:rPr>
          <w:fldChar w:fldCharType="separate"/>
        </w:r>
        <w:r w:rsidR="00CE54B4">
          <w:rPr>
            <w:webHidden/>
          </w:rPr>
          <w:t>22</w:t>
        </w:r>
        <w:r w:rsidR="00CE54B4">
          <w:rPr>
            <w:webHidden/>
          </w:rPr>
          <w:fldChar w:fldCharType="end"/>
        </w:r>
      </w:hyperlink>
    </w:p>
    <w:p w14:paraId="19B8558C" w14:textId="33550400" w:rsidR="00CE54B4" w:rsidRDefault="003F713B">
      <w:pPr>
        <w:pStyle w:val="TOC3"/>
        <w:rPr>
          <w:rFonts w:asciiTheme="minorHAnsi" w:eastAsiaTheme="minorEastAsia" w:hAnsiTheme="minorHAnsi" w:cstheme="minorBidi"/>
          <w:color w:val="auto"/>
          <w:sz w:val="22"/>
          <w:szCs w:val="22"/>
          <w:lang w:eastAsia="en-AU"/>
        </w:rPr>
      </w:pPr>
      <w:hyperlink w:anchor="_Toc96334711" w:history="1">
        <w:r w:rsidR="00CE54B4" w:rsidRPr="00876F25">
          <w:rPr>
            <w:rStyle w:val="Hyperlink"/>
          </w:rPr>
          <w:t>Bystander areas</w:t>
        </w:r>
        <w:r w:rsidR="00CE54B4">
          <w:rPr>
            <w:webHidden/>
          </w:rPr>
          <w:tab/>
        </w:r>
        <w:r w:rsidR="00CE54B4">
          <w:rPr>
            <w:webHidden/>
          </w:rPr>
          <w:fldChar w:fldCharType="begin"/>
        </w:r>
        <w:r w:rsidR="00CE54B4">
          <w:rPr>
            <w:webHidden/>
          </w:rPr>
          <w:instrText xml:space="preserve"> PAGEREF _Toc96334711 \h </w:instrText>
        </w:r>
        <w:r w:rsidR="00CE54B4">
          <w:rPr>
            <w:webHidden/>
          </w:rPr>
        </w:r>
        <w:r w:rsidR="00CE54B4">
          <w:rPr>
            <w:webHidden/>
          </w:rPr>
          <w:fldChar w:fldCharType="separate"/>
        </w:r>
        <w:r w:rsidR="00CE54B4">
          <w:rPr>
            <w:webHidden/>
          </w:rPr>
          <w:t>22</w:t>
        </w:r>
        <w:r w:rsidR="00CE54B4">
          <w:rPr>
            <w:webHidden/>
          </w:rPr>
          <w:fldChar w:fldCharType="end"/>
        </w:r>
      </w:hyperlink>
    </w:p>
    <w:p w14:paraId="4FB6A7E9" w14:textId="58385F3A" w:rsidR="00CE54B4" w:rsidRDefault="003F713B">
      <w:pPr>
        <w:pStyle w:val="TOC3"/>
        <w:rPr>
          <w:rFonts w:asciiTheme="minorHAnsi" w:eastAsiaTheme="minorEastAsia" w:hAnsiTheme="minorHAnsi" w:cstheme="minorBidi"/>
          <w:color w:val="auto"/>
          <w:sz w:val="22"/>
          <w:szCs w:val="22"/>
          <w:lang w:eastAsia="en-AU"/>
        </w:rPr>
      </w:pPr>
      <w:hyperlink w:anchor="_Toc96334712" w:history="1">
        <w:r w:rsidR="00CE54B4" w:rsidRPr="00876F25">
          <w:rPr>
            <w:rStyle w:val="Hyperlink"/>
          </w:rPr>
          <w:t>Livestock areas</w:t>
        </w:r>
        <w:r w:rsidR="00CE54B4">
          <w:rPr>
            <w:webHidden/>
          </w:rPr>
          <w:tab/>
        </w:r>
        <w:r w:rsidR="00CE54B4">
          <w:rPr>
            <w:webHidden/>
          </w:rPr>
          <w:fldChar w:fldCharType="begin"/>
        </w:r>
        <w:r w:rsidR="00CE54B4">
          <w:rPr>
            <w:webHidden/>
          </w:rPr>
          <w:instrText xml:space="preserve"> PAGEREF _Toc96334712 \h </w:instrText>
        </w:r>
        <w:r w:rsidR="00CE54B4">
          <w:rPr>
            <w:webHidden/>
          </w:rPr>
        </w:r>
        <w:r w:rsidR="00CE54B4">
          <w:rPr>
            <w:webHidden/>
          </w:rPr>
          <w:fldChar w:fldCharType="separate"/>
        </w:r>
        <w:r w:rsidR="00CE54B4">
          <w:rPr>
            <w:webHidden/>
          </w:rPr>
          <w:t>22</w:t>
        </w:r>
        <w:r w:rsidR="00CE54B4">
          <w:rPr>
            <w:webHidden/>
          </w:rPr>
          <w:fldChar w:fldCharType="end"/>
        </w:r>
      </w:hyperlink>
    </w:p>
    <w:p w14:paraId="2D547D7F" w14:textId="4C3689D2" w:rsidR="00CE54B4" w:rsidRDefault="003F713B">
      <w:pPr>
        <w:pStyle w:val="TOC3"/>
        <w:rPr>
          <w:rFonts w:asciiTheme="minorHAnsi" w:eastAsiaTheme="minorEastAsia" w:hAnsiTheme="minorHAnsi" w:cstheme="minorBidi"/>
          <w:color w:val="auto"/>
          <w:sz w:val="22"/>
          <w:szCs w:val="22"/>
          <w:lang w:eastAsia="en-AU"/>
        </w:rPr>
      </w:pPr>
      <w:hyperlink w:anchor="_Toc96334713" w:history="1">
        <w:r w:rsidR="00CE54B4" w:rsidRPr="00876F25">
          <w:rPr>
            <w:rStyle w:val="Hyperlink"/>
          </w:rPr>
          <w:t>Natural aquatic areas</w:t>
        </w:r>
        <w:r w:rsidR="00CE54B4">
          <w:rPr>
            <w:webHidden/>
          </w:rPr>
          <w:tab/>
        </w:r>
        <w:r w:rsidR="00CE54B4">
          <w:rPr>
            <w:webHidden/>
          </w:rPr>
          <w:fldChar w:fldCharType="begin"/>
        </w:r>
        <w:r w:rsidR="00CE54B4">
          <w:rPr>
            <w:webHidden/>
          </w:rPr>
          <w:instrText xml:space="preserve"> PAGEREF _Toc96334713 \h </w:instrText>
        </w:r>
        <w:r w:rsidR="00CE54B4">
          <w:rPr>
            <w:webHidden/>
          </w:rPr>
        </w:r>
        <w:r w:rsidR="00CE54B4">
          <w:rPr>
            <w:webHidden/>
          </w:rPr>
          <w:fldChar w:fldCharType="separate"/>
        </w:r>
        <w:r w:rsidR="00CE54B4">
          <w:rPr>
            <w:webHidden/>
          </w:rPr>
          <w:t>22</w:t>
        </w:r>
        <w:r w:rsidR="00CE54B4">
          <w:rPr>
            <w:webHidden/>
          </w:rPr>
          <w:fldChar w:fldCharType="end"/>
        </w:r>
      </w:hyperlink>
    </w:p>
    <w:p w14:paraId="1D5F418A" w14:textId="5BA92E5B" w:rsidR="00CE54B4" w:rsidRDefault="003F713B">
      <w:pPr>
        <w:pStyle w:val="TOC3"/>
        <w:rPr>
          <w:rFonts w:asciiTheme="minorHAnsi" w:eastAsiaTheme="minorEastAsia" w:hAnsiTheme="minorHAnsi" w:cstheme="minorBidi"/>
          <w:color w:val="auto"/>
          <w:sz w:val="22"/>
          <w:szCs w:val="22"/>
          <w:lang w:eastAsia="en-AU"/>
        </w:rPr>
      </w:pPr>
      <w:hyperlink w:anchor="_Toc96334714" w:history="1">
        <w:r w:rsidR="00CE54B4" w:rsidRPr="00876F25">
          <w:rPr>
            <w:rStyle w:val="Hyperlink"/>
          </w:rPr>
          <w:t>Pollinator areas</w:t>
        </w:r>
        <w:r w:rsidR="00CE54B4">
          <w:rPr>
            <w:webHidden/>
          </w:rPr>
          <w:tab/>
        </w:r>
        <w:r w:rsidR="00CE54B4">
          <w:rPr>
            <w:webHidden/>
          </w:rPr>
          <w:fldChar w:fldCharType="begin"/>
        </w:r>
        <w:r w:rsidR="00CE54B4">
          <w:rPr>
            <w:webHidden/>
          </w:rPr>
          <w:instrText xml:space="preserve"> PAGEREF _Toc96334714 \h </w:instrText>
        </w:r>
        <w:r w:rsidR="00CE54B4">
          <w:rPr>
            <w:webHidden/>
          </w:rPr>
        </w:r>
        <w:r w:rsidR="00CE54B4">
          <w:rPr>
            <w:webHidden/>
          </w:rPr>
          <w:fldChar w:fldCharType="separate"/>
        </w:r>
        <w:r w:rsidR="00CE54B4">
          <w:rPr>
            <w:webHidden/>
          </w:rPr>
          <w:t>22</w:t>
        </w:r>
        <w:r w:rsidR="00CE54B4">
          <w:rPr>
            <w:webHidden/>
          </w:rPr>
          <w:fldChar w:fldCharType="end"/>
        </w:r>
      </w:hyperlink>
    </w:p>
    <w:p w14:paraId="6A61FAC9" w14:textId="103176AD" w:rsidR="00CE54B4" w:rsidRDefault="003F713B">
      <w:pPr>
        <w:pStyle w:val="TOC3"/>
        <w:rPr>
          <w:rFonts w:asciiTheme="minorHAnsi" w:eastAsiaTheme="minorEastAsia" w:hAnsiTheme="minorHAnsi" w:cstheme="minorBidi"/>
          <w:color w:val="auto"/>
          <w:sz w:val="22"/>
          <w:szCs w:val="22"/>
          <w:lang w:eastAsia="en-AU"/>
        </w:rPr>
      </w:pPr>
      <w:hyperlink w:anchor="_Toc96334715" w:history="1">
        <w:r w:rsidR="00CE54B4" w:rsidRPr="00876F25">
          <w:rPr>
            <w:rStyle w:val="Hyperlink"/>
          </w:rPr>
          <w:t>Vegetation areas</w:t>
        </w:r>
        <w:r w:rsidR="00CE54B4">
          <w:rPr>
            <w:webHidden/>
          </w:rPr>
          <w:tab/>
        </w:r>
        <w:r w:rsidR="00CE54B4">
          <w:rPr>
            <w:webHidden/>
          </w:rPr>
          <w:fldChar w:fldCharType="begin"/>
        </w:r>
        <w:r w:rsidR="00CE54B4">
          <w:rPr>
            <w:webHidden/>
          </w:rPr>
          <w:instrText xml:space="preserve"> PAGEREF _Toc96334715 \h </w:instrText>
        </w:r>
        <w:r w:rsidR="00CE54B4">
          <w:rPr>
            <w:webHidden/>
          </w:rPr>
        </w:r>
        <w:r w:rsidR="00CE54B4">
          <w:rPr>
            <w:webHidden/>
          </w:rPr>
          <w:fldChar w:fldCharType="separate"/>
        </w:r>
        <w:r w:rsidR="00CE54B4">
          <w:rPr>
            <w:webHidden/>
          </w:rPr>
          <w:t>22</w:t>
        </w:r>
        <w:r w:rsidR="00CE54B4">
          <w:rPr>
            <w:webHidden/>
          </w:rPr>
          <w:fldChar w:fldCharType="end"/>
        </w:r>
      </w:hyperlink>
    </w:p>
    <w:p w14:paraId="4BDEDEF0" w14:textId="117F3CAD" w:rsidR="00CE54B4" w:rsidRDefault="003F713B">
      <w:pPr>
        <w:pStyle w:val="TOC3"/>
        <w:rPr>
          <w:rFonts w:asciiTheme="minorHAnsi" w:eastAsiaTheme="minorEastAsia" w:hAnsiTheme="minorHAnsi" w:cstheme="minorBidi"/>
          <w:color w:val="auto"/>
          <w:sz w:val="22"/>
          <w:szCs w:val="22"/>
          <w:lang w:eastAsia="en-AU"/>
        </w:rPr>
      </w:pPr>
      <w:hyperlink w:anchor="_Toc96334716" w:history="1">
        <w:r w:rsidR="00CE54B4" w:rsidRPr="00876F25">
          <w:rPr>
            <w:rStyle w:val="Hyperlink"/>
          </w:rPr>
          <w:t>Spray drift buffer zones</w:t>
        </w:r>
        <w:r w:rsidR="00CE54B4">
          <w:rPr>
            <w:webHidden/>
          </w:rPr>
          <w:tab/>
        </w:r>
        <w:r w:rsidR="00CE54B4">
          <w:rPr>
            <w:webHidden/>
          </w:rPr>
          <w:fldChar w:fldCharType="begin"/>
        </w:r>
        <w:r w:rsidR="00CE54B4">
          <w:rPr>
            <w:webHidden/>
          </w:rPr>
          <w:instrText xml:space="preserve"> PAGEREF _Toc96334716 \h </w:instrText>
        </w:r>
        <w:r w:rsidR="00CE54B4">
          <w:rPr>
            <w:webHidden/>
          </w:rPr>
        </w:r>
        <w:r w:rsidR="00CE54B4">
          <w:rPr>
            <w:webHidden/>
          </w:rPr>
          <w:fldChar w:fldCharType="separate"/>
        </w:r>
        <w:r w:rsidR="00CE54B4">
          <w:rPr>
            <w:webHidden/>
          </w:rPr>
          <w:t>23</w:t>
        </w:r>
        <w:r w:rsidR="00CE54B4">
          <w:rPr>
            <w:webHidden/>
          </w:rPr>
          <w:fldChar w:fldCharType="end"/>
        </w:r>
      </w:hyperlink>
    </w:p>
    <w:p w14:paraId="401B88EF" w14:textId="29650A8A"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717" w:history="1">
        <w:r w:rsidR="00CE54B4" w:rsidRPr="00876F25">
          <w:rPr>
            <w:rStyle w:val="Hyperlink"/>
          </w:rPr>
          <w:t>Required label elements</w:t>
        </w:r>
        <w:r w:rsidR="00CE54B4">
          <w:rPr>
            <w:webHidden/>
          </w:rPr>
          <w:tab/>
        </w:r>
        <w:r w:rsidR="00CE54B4">
          <w:rPr>
            <w:webHidden/>
          </w:rPr>
          <w:fldChar w:fldCharType="begin"/>
        </w:r>
        <w:r w:rsidR="00CE54B4">
          <w:rPr>
            <w:webHidden/>
          </w:rPr>
          <w:instrText xml:space="preserve"> PAGEREF _Toc96334717 \h </w:instrText>
        </w:r>
        <w:r w:rsidR="00CE54B4">
          <w:rPr>
            <w:webHidden/>
          </w:rPr>
        </w:r>
        <w:r w:rsidR="00CE54B4">
          <w:rPr>
            <w:webHidden/>
          </w:rPr>
          <w:fldChar w:fldCharType="separate"/>
        </w:r>
        <w:r w:rsidR="00CE54B4">
          <w:rPr>
            <w:webHidden/>
          </w:rPr>
          <w:t>24</w:t>
        </w:r>
        <w:r w:rsidR="00CE54B4">
          <w:rPr>
            <w:webHidden/>
          </w:rPr>
          <w:fldChar w:fldCharType="end"/>
        </w:r>
      </w:hyperlink>
    </w:p>
    <w:p w14:paraId="7B611A4D" w14:textId="3AAA0757"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718" w:history="1">
        <w:r w:rsidR="00CE54B4" w:rsidRPr="00876F25">
          <w:rPr>
            <w:rStyle w:val="Hyperlink"/>
          </w:rPr>
          <w:t>Acronyms and abbreviations</w:t>
        </w:r>
        <w:r w:rsidR="00CE54B4">
          <w:rPr>
            <w:webHidden/>
          </w:rPr>
          <w:tab/>
        </w:r>
        <w:r w:rsidR="00CE54B4">
          <w:rPr>
            <w:webHidden/>
          </w:rPr>
          <w:fldChar w:fldCharType="begin"/>
        </w:r>
        <w:r w:rsidR="00CE54B4">
          <w:rPr>
            <w:webHidden/>
          </w:rPr>
          <w:instrText xml:space="preserve"> PAGEREF _Toc96334718 \h </w:instrText>
        </w:r>
        <w:r w:rsidR="00CE54B4">
          <w:rPr>
            <w:webHidden/>
          </w:rPr>
        </w:r>
        <w:r w:rsidR="00CE54B4">
          <w:rPr>
            <w:webHidden/>
          </w:rPr>
          <w:fldChar w:fldCharType="separate"/>
        </w:r>
        <w:r w:rsidR="00CE54B4">
          <w:rPr>
            <w:webHidden/>
          </w:rPr>
          <w:t>31</w:t>
        </w:r>
        <w:r w:rsidR="00CE54B4">
          <w:rPr>
            <w:webHidden/>
          </w:rPr>
          <w:fldChar w:fldCharType="end"/>
        </w:r>
      </w:hyperlink>
    </w:p>
    <w:p w14:paraId="573B083D" w14:textId="356B9BD5" w:rsidR="00CE54B4" w:rsidRDefault="003F713B">
      <w:pPr>
        <w:pStyle w:val="TOC1"/>
        <w:rPr>
          <w:rFonts w:asciiTheme="minorHAnsi" w:eastAsiaTheme="minorEastAsia" w:hAnsiTheme="minorHAnsi" w:cstheme="minorBidi"/>
          <w:bCs w:val="0"/>
          <w:color w:val="auto"/>
          <w:kern w:val="0"/>
          <w:sz w:val="22"/>
          <w:szCs w:val="22"/>
          <w:lang w:eastAsia="en-AU"/>
        </w:rPr>
      </w:pPr>
      <w:hyperlink w:anchor="_Toc96334719" w:history="1">
        <w:r w:rsidR="00CE54B4" w:rsidRPr="00876F25">
          <w:rPr>
            <w:rStyle w:val="Hyperlink"/>
          </w:rPr>
          <w:t>References</w:t>
        </w:r>
        <w:r w:rsidR="00CE54B4">
          <w:rPr>
            <w:webHidden/>
          </w:rPr>
          <w:tab/>
        </w:r>
        <w:r w:rsidR="00CE54B4">
          <w:rPr>
            <w:webHidden/>
          </w:rPr>
          <w:fldChar w:fldCharType="begin"/>
        </w:r>
        <w:r w:rsidR="00CE54B4">
          <w:rPr>
            <w:webHidden/>
          </w:rPr>
          <w:instrText xml:space="preserve"> PAGEREF _Toc96334719 \h </w:instrText>
        </w:r>
        <w:r w:rsidR="00CE54B4">
          <w:rPr>
            <w:webHidden/>
          </w:rPr>
        </w:r>
        <w:r w:rsidR="00CE54B4">
          <w:rPr>
            <w:webHidden/>
          </w:rPr>
          <w:fldChar w:fldCharType="separate"/>
        </w:r>
        <w:r w:rsidR="00CE54B4">
          <w:rPr>
            <w:webHidden/>
          </w:rPr>
          <w:t>32</w:t>
        </w:r>
        <w:r w:rsidR="00CE54B4">
          <w:rPr>
            <w:webHidden/>
          </w:rPr>
          <w:fldChar w:fldCharType="end"/>
        </w:r>
      </w:hyperlink>
    </w:p>
    <w:p w14:paraId="43E4DEA8" w14:textId="77777777" w:rsidR="00CE54B4" w:rsidRDefault="005064D5" w:rsidP="00582459">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582459">
        <w:rPr>
          <w:noProof/>
          <w:color w:val="00747A" w:themeColor="background2"/>
        </w:rPr>
        <w:fldChar w:fldCharType="begin"/>
      </w:r>
      <w:r w:rsidR="00582459">
        <w:rPr>
          <w:noProof/>
          <w:color w:val="00747A" w:themeColor="background2"/>
        </w:rPr>
        <w:instrText xml:space="preserve"> TOC \h \z \c "Table" </w:instrText>
      </w:r>
      <w:r w:rsidR="00582459">
        <w:rPr>
          <w:noProof/>
          <w:color w:val="00747A" w:themeColor="background2"/>
        </w:rPr>
        <w:fldChar w:fldCharType="separate"/>
      </w:r>
    </w:p>
    <w:p w14:paraId="3E3EA89A" w14:textId="6828D456" w:rsidR="00CE54B4" w:rsidRDefault="003F713B">
      <w:pPr>
        <w:pStyle w:val="TableofFigures"/>
        <w:rPr>
          <w:rFonts w:asciiTheme="minorHAnsi" w:eastAsiaTheme="minorEastAsia" w:hAnsiTheme="minorHAnsi" w:cstheme="minorBidi"/>
          <w:color w:val="auto"/>
          <w:sz w:val="22"/>
          <w:szCs w:val="22"/>
          <w:lang w:eastAsia="en-AU"/>
        </w:rPr>
      </w:pPr>
      <w:hyperlink w:anchor="_Toc96334720" w:history="1">
        <w:r w:rsidR="00CE54B4" w:rsidRPr="00F9662D">
          <w:rPr>
            <w:rStyle w:val="Hyperlink"/>
          </w:rPr>
          <w:t>Table 1: Submissions received from holders or members of the public during public consultation in 2014</w:t>
        </w:r>
        <w:r w:rsidR="00CE54B4">
          <w:rPr>
            <w:webHidden/>
          </w:rPr>
          <w:tab/>
        </w:r>
        <w:r w:rsidR="00CE54B4">
          <w:rPr>
            <w:webHidden/>
          </w:rPr>
          <w:fldChar w:fldCharType="begin"/>
        </w:r>
        <w:r w:rsidR="00CE54B4">
          <w:rPr>
            <w:webHidden/>
          </w:rPr>
          <w:instrText xml:space="preserve"> PAGEREF _Toc96334720 \h </w:instrText>
        </w:r>
        <w:r w:rsidR="00CE54B4">
          <w:rPr>
            <w:webHidden/>
          </w:rPr>
        </w:r>
        <w:r w:rsidR="00CE54B4">
          <w:rPr>
            <w:webHidden/>
          </w:rPr>
          <w:fldChar w:fldCharType="separate"/>
        </w:r>
        <w:r w:rsidR="00CE54B4">
          <w:rPr>
            <w:webHidden/>
          </w:rPr>
          <w:t>3</w:t>
        </w:r>
        <w:r w:rsidR="00CE54B4">
          <w:rPr>
            <w:webHidden/>
          </w:rPr>
          <w:fldChar w:fldCharType="end"/>
        </w:r>
      </w:hyperlink>
    </w:p>
    <w:p w14:paraId="04D6E00F" w14:textId="09FEC071" w:rsidR="00CE54B4" w:rsidRDefault="003F713B">
      <w:pPr>
        <w:pStyle w:val="TableofFigures"/>
        <w:rPr>
          <w:rFonts w:asciiTheme="minorHAnsi" w:eastAsiaTheme="minorEastAsia" w:hAnsiTheme="minorHAnsi" w:cstheme="minorBidi"/>
          <w:color w:val="auto"/>
          <w:sz w:val="22"/>
          <w:szCs w:val="22"/>
          <w:lang w:eastAsia="en-AU"/>
        </w:rPr>
      </w:pPr>
      <w:hyperlink w:anchor="_Toc96334721" w:history="1">
        <w:r w:rsidR="00CE54B4" w:rsidRPr="00F9662D">
          <w:rPr>
            <w:rStyle w:val="Hyperlink"/>
          </w:rPr>
          <w:t>Table 2: Submissions received from holders or members of the public during public consultation in 2021</w:t>
        </w:r>
        <w:r w:rsidR="00CE54B4" w:rsidRPr="00F9662D">
          <w:rPr>
            <w:rStyle w:val="Hyperlink"/>
            <w:i/>
          </w:rPr>
          <w:t>–</w:t>
        </w:r>
        <w:r w:rsidR="00CE54B4" w:rsidRPr="00F9662D">
          <w:rPr>
            <w:rStyle w:val="Hyperlink"/>
          </w:rPr>
          <w:t>22</w:t>
        </w:r>
        <w:r w:rsidR="00CE54B4">
          <w:rPr>
            <w:webHidden/>
          </w:rPr>
          <w:tab/>
        </w:r>
        <w:r w:rsidR="00CE54B4">
          <w:rPr>
            <w:webHidden/>
          </w:rPr>
          <w:fldChar w:fldCharType="begin"/>
        </w:r>
        <w:r w:rsidR="00CE54B4">
          <w:rPr>
            <w:webHidden/>
          </w:rPr>
          <w:instrText xml:space="preserve"> PAGEREF _Toc96334721 \h </w:instrText>
        </w:r>
        <w:r w:rsidR="00CE54B4">
          <w:rPr>
            <w:webHidden/>
          </w:rPr>
        </w:r>
        <w:r w:rsidR="00CE54B4">
          <w:rPr>
            <w:webHidden/>
          </w:rPr>
          <w:fldChar w:fldCharType="separate"/>
        </w:r>
        <w:r w:rsidR="00CE54B4">
          <w:rPr>
            <w:webHidden/>
          </w:rPr>
          <w:t>4</w:t>
        </w:r>
        <w:r w:rsidR="00CE54B4">
          <w:rPr>
            <w:webHidden/>
          </w:rPr>
          <w:fldChar w:fldCharType="end"/>
        </w:r>
      </w:hyperlink>
    </w:p>
    <w:p w14:paraId="425E5732" w14:textId="05281B64" w:rsidR="00CE54B4" w:rsidRDefault="003F713B">
      <w:pPr>
        <w:pStyle w:val="TableofFigures"/>
        <w:rPr>
          <w:rFonts w:asciiTheme="minorHAnsi" w:eastAsiaTheme="minorEastAsia" w:hAnsiTheme="minorHAnsi" w:cstheme="minorBidi"/>
          <w:color w:val="auto"/>
          <w:sz w:val="22"/>
          <w:szCs w:val="22"/>
          <w:lang w:eastAsia="en-AU"/>
        </w:rPr>
      </w:pPr>
      <w:hyperlink w:anchor="_Toc96334722" w:history="1">
        <w:r w:rsidR="00CE54B4" w:rsidRPr="00F9662D">
          <w:rPr>
            <w:rStyle w:val="Hyperlink"/>
          </w:rPr>
          <w:t>Table 3: Nomenclature and structural formula of the active constituent molinate</w:t>
        </w:r>
        <w:r w:rsidR="00CE54B4">
          <w:rPr>
            <w:webHidden/>
          </w:rPr>
          <w:tab/>
        </w:r>
        <w:r w:rsidR="00CE54B4">
          <w:rPr>
            <w:webHidden/>
          </w:rPr>
          <w:fldChar w:fldCharType="begin"/>
        </w:r>
        <w:r w:rsidR="00CE54B4">
          <w:rPr>
            <w:webHidden/>
          </w:rPr>
          <w:instrText xml:space="preserve"> PAGEREF _Toc96334722 \h </w:instrText>
        </w:r>
        <w:r w:rsidR="00CE54B4">
          <w:rPr>
            <w:webHidden/>
          </w:rPr>
        </w:r>
        <w:r w:rsidR="00CE54B4">
          <w:rPr>
            <w:webHidden/>
          </w:rPr>
          <w:fldChar w:fldCharType="separate"/>
        </w:r>
        <w:r w:rsidR="00CE54B4">
          <w:rPr>
            <w:webHidden/>
          </w:rPr>
          <w:t>5</w:t>
        </w:r>
        <w:r w:rsidR="00CE54B4">
          <w:rPr>
            <w:webHidden/>
          </w:rPr>
          <w:fldChar w:fldCharType="end"/>
        </w:r>
      </w:hyperlink>
    </w:p>
    <w:p w14:paraId="3843F866" w14:textId="184E4187" w:rsidR="00CE54B4" w:rsidRDefault="003F713B">
      <w:pPr>
        <w:pStyle w:val="TableofFigures"/>
        <w:rPr>
          <w:rFonts w:asciiTheme="minorHAnsi" w:eastAsiaTheme="minorEastAsia" w:hAnsiTheme="minorHAnsi" w:cstheme="minorBidi"/>
          <w:color w:val="auto"/>
          <w:sz w:val="22"/>
          <w:szCs w:val="22"/>
          <w:lang w:eastAsia="en-AU"/>
        </w:rPr>
      </w:pPr>
      <w:hyperlink w:anchor="_Toc96334723" w:history="1">
        <w:r w:rsidR="00CE54B4" w:rsidRPr="00F9662D">
          <w:rPr>
            <w:rStyle w:val="Hyperlink"/>
          </w:rPr>
          <w:t>Table 4: Key physicochemical properties of the active constituent molinate</w:t>
        </w:r>
        <w:r w:rsidR="00CE54B4">
          <w:rPr>
            <w:webHidden/>
          </w:rPr>
          <w:tab/>
        </w:r>
        <w:r w:rsidR="00CE54B4">
          <w:rPr>
            <w:webHidden/>
          </w:rPr>
          <w:fldChar w:fldCharType="begin"/>
        </w:r>
        <w:r w:rsidR="00CE54B4">
          <w:rPr>
            <w:webHidden/>
          </w:rPr>
          <w:instrText xml:space="preserve"> PAGEREF _Toc96334723 \h </w:instrText>
        </w:r>
        <w:r w:rsidR="00CE54B4">
          <w:rPr>
            <w:webHidden/>
          </w:rPr>
        </w:r>
        <w:r w:rsidR="00CE54B4">
          <w:rPr>
            <w:webHidden/>
          </w:rPr>
          <w:fldChar w:fldCharType="separate"/>
        </w:r>
        <w:r w:rsidR="00CE54B4">
          <w:rPr>
            <w:webHidden/>
          </w:rPr>
          <w:t>5</w:t>
        </w:r>
        <w:r w:rsidR="00CE54B4">
          <w:rPr>
            <w:webHidden/>
          </w:rPr>
          <w:fldChar w:fldCharType="end"/>
        </w:r>
      </w:hyperlink>
    </w:p>
    <w:p w14:paraId="229D35BA" w14:textId="7476ADCE" w:rsidR="00CE54B4" w:rsidRDefault="003F713B">
      <w:pPr>
        <w:pStyle w:val="TableofFigures"/>
        <w:rPr>
          <w:rFonts w:asciiTheme="minorHAnsi" w:eastAsiaTheme="minorEastAsia" w:hAnsiTheme="minorHAnsi" w:cstheme="minorBidi"/>
          <w:color w:val="auto"/>
          <w:sz w:val="22"/>
          <w:szCs w:val="22"/>
          <w:lang w:eastAsia="en-AU"/>
        </w:rPr>
      </w:pPr>
      <w:hyperlink w:anchor="_Toc96334724" w:history="1">
        <w:r w:rsidR="00CE54B4" w:rsidRPr="00F9662D">
          <w:rPr>
            <w:rStyle w:val="Hyperlink"/>
          </w:rPr>
          <w:t>Table 5: Current active approvals for molinate</w:t>
        </w:r>
        <w:r w:rsidR="00CE54B4">
          <w:rPr>
            <w:webHidden/>
          </w:rPr>
          <w:tab/>
        </w:r>
        <w:r w:rsidR="00CE54B4">
          <w:rPr>
            <w:webHidden/>
          </w:rPr>
          <w:fldChar w:fldCharType="begin"/>
        </w:r>
        <w:r w:rsidR="00CE54B4">
          <w:rPr>
            <w:webHidden/>
          </w:rPr>
          <w:instrText xml:space="preserve"> PAGEREF _Toc96334724 \h </w:instrText>
        </w:r>
        <w:r w:rsidR="00CE54B4">
          <w:rPr>
            <w:webHidden/>
          </w:rPr>
        </w:r>
        <w:r w:rsidR="00CE54B4">
          <w:rPr>
            <w:webHidden/>
          </w:rPr>
          <w:fldChar w:fldCharType="separate"/>
        </w:r>
        <w:r w:rsidR="00CE54B4">
          <w:rPr>
            <w:webHidden/>
          </w:rPr>
          <w:t>6</w:t>
        </w:r>
        <w:r w:rsidR="00CE54B4">
          <w:rPr>
            <w:webHidden/>
          </w:rPr>
          <w:fldChar w:fldCharType="end"/>
        </w:r>
      </w:hyperlink>
    </w:p>
    <w:p w14:paraId="0422DDCA" w14:textId="387FE7D2" w:rsidR="00CE54B4" w:rsidRDefault="003F713B">
      <w:pPr>
        <w:pStyle w:val="TableofFigures"/>
        <w:rPr>
          <w:rFonts w:asciiTheme="minorHAnsi" w:eastAsiaTheme="minorEastAsia" w:hAnsiTheme="minorHAnsi" w:cstheme="minorBidi"/>
          <w:color w:val="auto"/>
          <w:sz w:val="22"/>
          <w:szCs w:val="22"/>
          <w:lang w:eastAsia="en-AU"/>
        </w:rPr>
      </w:pPr>
      <w:hyperlink w:anchor="_Toc96334725" w:history="1">
        <w:r w:rsidR="00CE54B4" w:rsidRPr="00F9662D">
          <w:rPr>
            <w:rStyle w:val="Hyperlink"/>
          </w:rPr>
          <w:t>Table 6: Currently registered products containing molinate</w:t>
        </w:r>
        <w:r w:rsidR="00CE54B4">
          <w:rPr>
            <w:webHidden/>
          </w:rPr>
          <w:tab/>
        </w:r>
        <w:r w:rsidR="00CE54B4">
          <w:rPr>
            <w:webHidden/>
          </w:rPr>
          <w:fldChar w:fldCharType="begin"/>
        </w:r>
        <w:r w:rsidR="00CE54B4">
          <w:rPr>
            <w:webHidden/>
          </w:rPr>
          <w:instrText xml:space="preserve"> PAGEREF _Toc96334725 \h </w:instrText>
        </w:r>
        <w:r w:rsidR="00CE54B4">
          <w:rPr>
            <w:webHidden/>
          </w:rPr>
        </w:r>
        <w:r w:rsidR="00CE54B4">
          <w:rPr>
            <w:webHidden/>
          </w:rPr>
          <w:fldChar w:fldCharType="separate"/>
        </w:r>
        <w:r w:rsidR="00CE54B4">
          <w:rPr>
            <w:webHidden/>
          </w:rPr>
          <w:t>6</w:t>
        </w:r>
        <w:r w:rsidR="00CE54B4">
          <w:rPr>
            <w:webHidden/>
          </w:rPr>
          <w:fldChar w:fldCharType="end"/>
        </w:r>
      </w:hyperlink>
    </w:p>
    <w:p w14:paraId="48A35138" w14:textId="08624093" w:rsidR="00CE54B4" w:rsidRDefault="003F713B">
      <w:pPr>
        <w:pStyle w:val="TableofFigures"/>
        <w:rPr>
          <w:rFonts w:asciiTheme="minorHAnsi" w:eastAsiaTheme="minorEastAsia" w:hAnsiTheme="minorHAnsi" w:cstheme="minorBidi"/>
          <w:color w:val="auto"/>
          <w:sz w:val="22"/>
          <w:szCs w:val="22"/>
          <w:lang w:eastAsia="en-AU"/>
        </w:rPr>
      </w:pPr>
      <w:hyperlink w:anchor="_Toc96334726" w:history="1">
        <w:r w:rsidR="00CE54B4" w:rsidRPr="00F9662D">
          <w:rPr>
            <w:rStyle w:val="Hyperlink"/>
          </w:rPr>
          <w:t>Table 7: Acute toxicology of molinate</w:t>
        </w:r>
        <w:r w:rsidR="00CE54B4">
          <w:rPr>
            <w:webHidden/>
          </w:rPr>
          <w:tab/>
        </w:r>
        <w:r w:rsidR="00CE54B4">
          <w:rPr>
            <w:webHidden/>
          </w:rPr>
          <w:fldChar w:fldCharType="begin"/>
        </w:r>
        <w:r w:rsidR="00CE54B4">
          <w:rPr>
            <w:webHidden/>
          </w:rPr>
          <w:instrText xml:space="preserve"> PAGEREF _Toc96334726 \h </w:instrText>
        </w:r>
        <w:r w:rsidR="00CE54B4">
          <w:rPr>
            <w:webHidden/>
          </w:rPr>
        </w:r>
        <w:r w:rsidR="00CE54B4">
          <w:rPr>
            <w:webHidden/>
          </w:rPr>
          <w:fldChar w:fldCharType="separate"/>
        </w:r>
        <w:r w:rsidR="00CE54B4">
          <w:rPr>
            <w:webHidden/>
          </w:rPr>
          <w:t>8</w:t>
        </w:r>
        <w:r w:rsidR="00CE54B4">
          <w:rPr>
            <w:webHidden/>
          </w:rPr>
          <w:fldChar w:fldCharType="end"/>
        </w:r>
      </w:hyperlink>
    </w:p>
    <w:p w14:paraId="3C6FAC15" w14:textId="45AF8F45" w:rsidR="00CE54B4" w:rsidRDefault="003F713B">
      <w:pPr>
        <w:pStyle w:val="TableofFigures"/>
        <w:rPr>
          <w:rFonts w:asciiTheme="minorHAnsi" w:eastAsiaTheme="minorEastAsia" w:hAnsiTheme="minorHAnsi" w:cstheme="minorBidi"/>
          <w:color w:val="auto"/>
          <w:sz w:val="22"/>
          <w:szCs w:val="22"/>
          <w:lang w:eastAsia="en-AU"/>
        </w:rPr>
      </w:pPr>
      <w:hyperlink w:anchor="_Toc96334727" w:history="1">
        <w:r w:rsidR="00CE54B4" w:rsidRPr="00F9662D">
          <w:rPr>
            <w:rStyle w:val="Hyperlink"/>
          </w:rPr>
          <w:t>Table 8: Repeat dose toxicology dose levels relevant to the human health risk assessment of molinate</w:t>
        </w:r>
        <w:r w:rsidR="00CE54B4">
          <w:rPr>
            <w:webHidden/>
          </w:rPr>
          <w:tab/>
        </w:r>
        <w:r w:rsidR="00CE54B4">
          <w:rPr>
            <w:webHidden/>
          </w:rPr>
          <w:fldChar w:fldCharType="begin"/>
        </w:r>
        <w:r w:rsidR="00CE54B4">
          <w:rPr>
            <w:webHidden/>
          </w:rPr>
          <w:instrText xml:space="preserve"> PAGEREF _Toc96334727 \h </w:instrText>
        </w:r>
        <w:r w:rsidR="00CE54B4">
          <w:rPr>
            <w:webHidden/>
          </w:rPr>
        </w:r>
        <w:r w:rsidR="00CE54B4">
          <w:rPr>
            <w:webHidden/>
          </w:rPr>
          <w:fldChar w:fldCharType="separate"/>
        </w:r>
        <w:r w:rsidR="00CE54B4">
          <w:rPr>
            <w:webHidden/>
          </w:rPr>
          <w:t>9</w:t>
        </w:r>
        <w:r w:rsidR="00CE54B4">
          <w:rPr>
            <w:webHidden/>
          </w:rPr>
          <w:fldChar w:fldCharType="end"/>
        </w:r>
      </w:hyperlink>
    </w:p>
    <w:p w14:paraId="23297A32" w14:textId="359F7C79" w:rsidR="00CE54B4" w:rsidRDefault="003F713B">
      <w:pPr>
        <w:pStyle w:val="TableofFigures"/>
        <w:rPr>
          <w:rFonts w:asciiTheme="minorHAnsi" w:eastAsiaTheme="minorEastAsia" w:hAnsiTheme="minorHAnsi" w:cstheme="minorBidi"/>
          <w:color w:val="auto"/>
          <w:sz w:val="22"/>
          <w:szCs w:val="22"/>
          <w:lang w:eastAsia="en-AU"/>
        </w:rPr>
      </w:pPr>
      <w:hyperlink w:anchor="_Toc96334728" w:history="1">
        <w:r w:rsidR="00CE54B4" w:rsidRPr="00F9662D">
          <w:rPr>
            <w:rStyle w:val="Hyperlink"/>
          </w:rPr>
          <w:t>Table 9: Reproductive and developmental toxicology dose levels relevant to the human health risk assessment of molinate</w:t>
        </w:r>
        <w:r w:rsidR="00CE54B4">
          <w:rPr>
            <w:webHidden/>
          </w:rPr>
          <w:tab/>
        </w:r>
        <w:r w:rsidR="00CE54B4">
          <w:rPr>
            <w:webHidden/>
          </w:rPr>
          <w:fldChar w:fldCharType="begin"/>
        </w:r>
        <w:r w:rsidR="00CE54B4">
          <w:rPr>
            <w:webHidden/>
          </w:rPr>
          <w:instrText xml:space="preserve"> PAGEREF _Toc96334728 \h </w:instrText>
        </w:r>
        <w:r w:rsidR="00CE54B4">
          <w:rPr>
            <w:webHidden/>
          </w:rPr>
        </w:r>
        <w:r w:rsidR="00CE54B4">
          <w:rPr>
            <w:webHidden/>
          </w:rPr>
          <w:fldChar w:fldCharType="separate"/>
        </w:r>
        <w:r w:rsidR="00CE54B4">
          <w:rPr>
            <w:webHidden/>
          </w:rPr>
          <w:t>10</w:t>
        </w:r>
        <w:r w:rsidR="00CE54B4">
          <w:rPr>
            <w:webHidden/>
          </w:rPr>
          <w:fldChar w:fldCharType="end"/>
        </w:r>
      </w:hyperlink>
    </w:p>
    <w:p w14:paraId="09419E78" w14:textId="694A0791" w:rsidR="00CE54B4" w:rsidRDefault="003F713B">
      <w:pPr>
        <w:pStyle w:val="TableofFigures"/>
        <w:rPr>
          <w:rFonts w:asciiTheme="minorHAnsi" w:eastAsiaTheme="minorEastAsia" w:hAnsiTheme="minorHAnsi" w:cstheme="minorBidi"/>
          <w:color w:val="auto"/>
          <w:sz w:val="22"/>
          <w:szCs w:val="22"/>
          <w:lang w:eastAsia="en-AU"/>
        </w:rPr>
      </w:pPr>
      <w:hyperlink w:anchor="_Toc96334729" w:history="1">
        <w:r w:rsidR="00CE54B4" w:rsidRPr="00F9662D">
          <w:rPr>
            <w:rStyle w:val="Hyperlink"/>
          </w:rPr>
          <w:t>Table 10: Acute neurotoxicity toxicology of molinate</w:t>
        </w:r>
        <w:r w:rsidR="00CE54B4">
          <w:rPr>
            <w:webHidden/>
          </w:rPr>
          <w:tab/>
        </w:r>
        <w:r w:rsidR="00CE54B4">
          <w:rPr>
            <w:webHidden/>
          </w:rPr>
          <w:fldChar w:fldCharType="begin"/>
        </w:r>
        <w:r w:rsidR="00CE54B4">
          <w:rPr>
            <w:webHidden/>
          </w:rPr>
          <w:instrText xml:space="preserve"> PAGEREF _Toc96334729 \h </w:instrText>
        </w:r>
        <w:r w:rsidR="00CE54B4">
          <w:rPr>
            <w:webHidden/>
          </w:rPr>
        </w:r>
        <w:r w:rsidR="00CE54B4">
          <w:rPr>
            <w:webHidden/>
          </w:rPr>
          <w:fldChar w:fldCharType="separate"/>
        </w:r>
        <w:r w:rsidR="00CE54B4">
          <w:rPr>
            <w:webHidden/>
          </w:rPr>
          <w:t>11</w:t>
        </w:r>
        <w:r w:rsidR="00CE54B4">
          <w:rPr>
            <w:webHidden/>
          </w:rPr>
          <w:fldChar w:fldCharType="end"/>
        </w:r>
      </w:hyperlink>
    </w:p>
    <w:p w14:paraId="642BE59F" w14:textId="2100FBDD" w:rsidR="002A3239" w:rsidRDefault="00582459" w:rsidP="00582459">
      <w:pPr>
        <w:pStyle w:val="TOCH1"/>
        <w:spacing w:before="500"/>
        <w:rPr>
          <w:noProof/>
        </w:rPr>
        <w:sectPr w:rsidR="002A3239">
          <w:headerReference w:type="even" r:id="rId24"/>
          <w:headerReference w:type="default" r:id="rId25"/>
          <w:footerReference w:type="default" r:id="rId26"/>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10FA903A" w:rsidR="002E20AC" w:rsidRDefault="00B446FD" w:rsidP="00D23D6A">
      <w:pPr>
        <w:pStyle w:val="PreliminariesH1"/>
      </w:pPr>
      <w:bookmarkStart w:id="1" w:name="_Toc96334677"/>
      <w:r>
        <w:t>Preface</w:t>
      </w:r>
      <w:bookmarkEnd w:id="1"/>
    </w:p>
    <w:p w14:paraId="3568EEAF" w14:textId="77777777" w:rsidR="00B446FD" w:rsidRPr="00B446FD" w:rsidRDefault="00B446FD" w:rsidP="001F014C">
      <w:pPr>
        <w:pStyle w:val="APVMAText"/>
      </w:pPr>
      <w:r w:rsidRPr="00B446FD">
        <w:t xml:space="preserve">The Australian Pesticides and Veterinary Medicines Authority (APVMA) is an independent statutory authority with responsibility for the regulation of agricultural and veterinary chemicals in Australia. Its statutory powers are provided in the </w:t>
      </w:r>
      <w:r w:rsidRPr="00CC1E20">
        <w:t>Agvet Codes</w:t>
      </w:r>
      <w:r w:rsidRPr="00B446FD">
        <w:t xml:space="preserve"> scheduled to the </w:t>
      </w:r>
      <w:r w:rsidRPr="00B446FD">
        <w:rPr>
          <w:i/>
        </w:rPr>
        <w:t>Agricultural and Veterinary Chemicals Code Act 1994</w:t>
      </w:r>
      <w:r w:rsidRPr="00B446FD">
        <w:t>.</w:t>
      </w:r>
    </w:p>
    <w:p w14:paraId="15997F9A" w14:textId="77777777" w:rsidR="00B446FD" w:rsidRPr="00B446FD" w:rsidRDefault="00B446FD" w:rsidP="001F014C">
      <w:pPr>
        <w:pStyle w:val="APVMAText"/>
      </w:pPr>
      <w:r w:rsidRPr="00B446FD">
        <w:t xml:space="preserve">The APVMA has legislated powers to reconsider the approval of an active constituent, registration of a chemical product or approval of a label at any time after it has been registered. The reconsideration process is outlined in sections 29 to 34 of Part 2, Division 4 of the </w:t>
      </w:r>
      <w:r w:rsidRPr="00CC1E20">
        <w:t>Agvet Codes.</w:t>
      </w:r>
    </w:p>
    <w:p w14:paraId="3CC0EA1F" w14:textId="61CB4A4F" w:rsidR="00B446FD" w:rsidRPr="00B446FD" w:rsidRDefault="00B446FD" w:rsidP="001F014C">
      <w:pPr>
        <w:pStyle w:val="APVMAText"/>
      </w:pPr>
      <w:r w:rsidRPr="00B446FD">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4FE2836C" w14:textId="77777777" w:rsidR="00B446FD" w:rsidRPr="00B446FD" w:rsidRDefault="00B446FD" w:rsidP="001F014C">
      <w:pPr>
        <w:pStyle w:val="APVMAText"/>
      </w:pPr>
      <w:r w:rsidRPr="00B446FD">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5801EE30" w14:textId="000D6627" w:rsidR="002E20AC" w:rsidRPr="001F014C" w:rsidRDefault="00B446FD" w:rsidP="001F014C">
      <w:pPr>
        <w:pStyle w:val="PreliminariesH2"/>
      </w:pPr>
      <w:bookmarkStart w:id="2" w:name="_Toc96334678"/>
      <w:r w:rsidRPr="001F014C">
        <w:t>About this document</w:t>
      </w:r>
      <w:bookmarkEnd w:id="2"/>
    </w:p>
    <w:p w14:paraId="455AA3D5" w14:textId="77777777" w:rsidR="00B446FD" w:rsidRPr="00B446FD" w:rsidRDefault="00B446FD" w:rsidP="001F014C">
      <w:pPr>
        <w:pStyle w:val="APVMAText"/>
      </w:pPr>
      <w:r w:rsidRPr="00B446FD">
        <w:t>This Technical Report is intended to provide an overview of the assessments that have been conducted by the APVMA. It has been deliberately presented in a manner that is likely to be informative to the widest possible audience, thereby encouraging public comment.</w:t>
      </w:r>
    </w:p>
    <w:p w14:paraId="414BF939" w14:textId="77777777" w:rsidR="00B446FD" w:rsidRPr="00B446FD" w:rsidRDefault="00B446FD" w:rsidP="001F014C">
      <w:pPr>
        <w:pStyle w:val="APVMAText"/>
      </w:pPr>
      <w:r w:rsidRPr="00B446FD">
        <w:t>This document contains a summary of the assessment reports generated in the course of the chemical review of an active ingredient, including the registered product and approved labels. The document provides a summary of the APVMA’s assessment, which includes details of:</w:t>
      </w:r>
    </w:p>
    <w:p w14:paraId="1AA4D594" w14:textId="77777777" w:rsidR="00B446FD" w:rsidRPr="001F014C" w:rsidRDefault="00B446FD" w:rsidP="001F014C">
      <w:pPr>
        <w:pStyle w:val="Bullet1"/>
      </w:pPr>
      <w:r w:rsidRPr="001F014C">
        <w:t>the chemistry of the active constituent</w:t>
      </w:r>
    </w:p>
    <w:p w14:paraId="40A24863" w14:textId="385AD728" w:rsidR="00B446FD" w:rsidRPr="001F014C" w:rsidRDefault="00B446FD" w:rsidP="001F014C">
      <w:pPr>
        <w:pStyle w:val="Bullet1"/>
      </w:pPr>
      <w:r w:rsidRPr="001F014C">
        <w:t>the toxicology of both the active constituent and product</w:t>
      </w:r>
    </w:p>
    <w:p w14:paraId="2CBFCB98" w14:textId="0FB6DCB6" w:rsidR="00B446FD" w:rsidRPr="001F014C" w:rsidRDefault="00B446FD" w:rsidP="001F014C">
      <w:pPr>
        <w:pStyle w:val="Bullet1"/>
      </w:pPr>
      <w:r w:rsidRPr="001F014C">
        <w:t>the residues and trade assessment</w:t>
      </w:r>
    </w:p>
    <w:p w14:paraId="54F24096" w14:textId="79F62802" w:rsidR="00B446FD" w:rsidRPr="001F014C" w:rsidRDefault="00B446FD" w:rsidP="001F014C">
      <w:pPr>
        <w:pStyle w:val="Bullet1"/>
      </w:pPr>
      <w:r w:rsidRPr="001F014C">
        <w:t>occupational exposure aspects</w:t>
      </w:r>
    </w:p>
    <w:p w14:paraId="0304CBEE" w14:textId="3B6FDAA2" w:rsidR="002E20AC" w:rsidRPr="001F014C" w:rsidRDefault="00B446FD" w:rsidP="001F014C">
      <w:pPr>
        <w:pStyle w:val="Bullet1"/>
        <w:sectPr w:rsidR="002E20AC" w:rsidRPr="001F014C">
          <w:headerReference w:type="default" r:id="rId27"/>
          <w:pgSz w:w="11906" w:h="16838" w:code="9"/>
          <w:pgMar w:top="2835" w:right="1134" w:bottom="1134" w:left="1134" w:header="1701" w:footer="680" w:gutter="0"/>
          <w:pgNumType w:start="1"/>
          <w:cols w:space="708"/>
          <w:docGrid w:linePitch="360"/>
        </w:sectPr>
      </w:pPr>
      <w:r w:rsidRPr="001F014C">
        <w:t>environmental fate, toxicity, potential exposure and hazard.</w:t>
      </w:r>
    </w:p>
    <w:p w14:paraId="6A1014FE" w14:textId="573BAFBB" w:rsidR="002E20AC" w:rsidRPr="001F014C" w:rsidRDefault="00B446FD" w:rsidP="001F014C">
      <w:pPr>
        <w:pStyle w:val="Heading1"/>
      </w:pPr>
      <w:bookmarkStart w:id="3" w:name="_Toc96334679"/>
      <w:r w:rsidRPr="001F014C">
        <w:t>Summary</w:t>
      </w:r>
      <w:bookmarkEnd w:id="3"/>
    </w:p>
    <w:p w14:paraId="7644E4B4" w14:textId="487AC164" w:rsidR="00B446FD" w:rsidRPr="001F014C" w:rsidRDefault="00B446FD" w:rsidP="001F014C">
      <w:pPr>
        <w:pStyle w:val="Heading2"/>
      </w:pPr>
      <w:bookmarkStart w:id="4" w:name="_Toc96334680"/>
      <w:r w:rsidRPr="001F014C">
        <w:t>Introduction</w:t>
      </w:r>
      <w:bookmarkEnd w:id="4"/>
    </w:p>
    <w:p w14:paraId="65149B93" w14:textId="77777777" w:rsidR="00B446FD" w:rsidRPr="00B446FD" w:rsidRDefault="00B446FD" w:rsidP="001F014C">
      <w:pPr>
        <w:pStyle w:val="APVMAText"/>
      </w:pPr>
      <w:r w:rsidRPr="00B446FD">
        <w:t>Molinate is a thiocarbamate herbicide. It is absorbed by plant roots with acropetal (base to apex) translocation to the leaves. The pesticidal mode of action is via the conjugation of acetyl coenzyme A and other sulfhydryl-containing biomolecules which result in inhibition of fatty acid and lipid biosynthesis resulting in reduced cuticular wax deposition, inhibition of the biosynthesis of proteins, isoprenoids (including gibberellins), and flavonoids (including anthocyanins), inhibition of gibberellin synthesis and inhibition of photosynthesis. It has been used to control barnyard grass (</w:t>
      </w:r>
      <w:r w:rsidRPr="00B446FD">
        <w:rPr>
          <w:i/>
        </w:rPr>
        <w:t>Echinochloa spp.</w:t>
      </w:r>
      <w:r w:rsidRPr="00B446FD">
        <w:t>) and silver top or brown beetle grass (</w:t>
      </w:r>
      <w:r w:rsidRPr="00B446FD">
        <w:rPr>
          <w:i/>
        </w:rPr>
        <w:t>Diplachne fusca</w:t>
      </w:r>
      <w:r w:rsidRPr="00B446FD">
        <w:t>) in wet rice cultivation in Australia.</w:t>
      </w:r>
    </w:p>
    <w:p w14:paraId="62A13051" w14:textId="77777777" w:rsidR="00B446FD" w:rsidRPr="00B446FD" w:rsidRDefault="00B446FD" w:rsidP="001F014C">
      <w:pPr>
        <w:pStyle w:val="APVMAText"/>
      </w:pPr>
      <w:r w:rsidRPr="00B446FD">
        <w:t>The APVMA began its reconsideration (hereafter referred to as review) of the active constituent molinate, all products containing molinate and their associated labels in 2003 due to:</w:t>
      </w:r>
    </w:p>
    <w:p w14:paraId="5CC76C11" w14:textId="0A83C3CD" w:rsidR="00B446FD" w:rsidRPr="001F014C" w:rsidRDefault="00B446FD" w:rsidP="001F014C">
      <w:pPr>
        <w:pStyle w:val="Bullet1"/>
      </w:pPr>
      <w:r w:rsidRPr="001F014C">
        <w:t>concerns regarding the potential for impaired fertility and neuropathy in humans which might pose an undue hazard to human health</w:t>
      </w:r>
    </w:p>
    <w:p w14:paraId="69899D71" w14:textId="7BFB3D53" w:rsidR="00B446FD" w:rsidRPr="001F014C" w:rsidRDefault="00B446FD" w:rsidP="001F014C">
      <w:pPr>
        <w:pStyle w:val="Bullet1"/>
      </w:pPr>
      <w:r w:rsidRPr="001F014C">
        <w:t>possible risks to workers health associated with short and intermediate term occupational exposure</w:t>
      </w:r>
    </w:p>
    <w:p w14:paraId="5F69ED03" w14:textId="706C9FA5" w:rsidR="00B446FD" w:rsidRPr="001F014C" w:rsidRDefault="00B446FD" w:rsidP="001F014C">
      <w:pPr>
        <w:pStyle w:val="Bullet1"/>
      </w:pPr>
      <w:r w:rsidRPr="001F014C">
        <w:t>the potential for hazards to worker safety</w:t>
      </w:r>
    </w:p>
    <w:p w14:paraId="7DB67AAE" w14:textId="12357EF2" w:rsidR="00B446FD" w:rsidRPr="001F014C" w:rsidRDefault="00B446FD" w:rsidP="001F014C">
      <w:pPr>
        <w:pStyle w:val="Bullet1"/>
      </w:pPr>
      <w:r w:rsidRPr="001F014C">
        <w:t>the potential for contamination of waterways indicated by varying levels of molinate recorded in drainage water from rice fields</w:t>
      </w:r>
    </w:p>
    <w:p w14:paraId="5C8D694F" w14:textId="77777777" w:rsidR="00B446FD" w:rsidRPr="001F014C" w:rsidRDefault="00B446FD" w:rsidP="001F014C">
      <w:pPr>
        <w:pStyle w:val="Bullet1"/>
      </w:pPr>
      <w:r w:rsidRPr="001F014C">
        <w:t>the adequacy of instructions and warnings on product labels.</w:t>
      </w:r>
    </w:p>
    <w:p w14:paraId="380DDE88" w14:textId="77777777" w:rsidR="00B446FD" w:rsidRPr="00B446FD" w:rsidRDefault="00B446FD" w:rsidP="001F014C">
      <w:pPr>
        <w:pStyle w:val="APVMAText"/>
      </w:pPr>
      <w:r w:rsidRPr="00B446FD">
        <w:t>The review scope included consideration of public health, work health and safety and environmental aspects of the active constituent molinate, product registrations containing molinate and associated label approvals.</w:t>
      </w:r>
    </w:p>
    <w:p w14:paraId="071ED14A" w14:textId="08950975" w:rsidR="00B446FD" w:rsidRPr="00B446FD" w:rsidRDefault="00B446FD" w:rsidP="001F014C">
      <w:pPr>
        <w:pStyle w:val="APVMAText"/>
      </w:pPr>
      <w:r w:rsidRPr="00B446FD">
        <w:t xml:space="preserve">The APVMA published the </w:t>
      </w:r>
      <w:hyperlink r:id="rId28" w:history="1">
        <w:r w:rsidRPr="001F014C">
          <w:rPr>
            <w:rStyle w:val="Hyperlink"/>
          </w:rPr>
          <w:t>Molinate preliminary review findings report</w:t>
        </w:r>
      </w:hyperlink>
      <w:r w:rsidRPr="00B446FD">
        <w:t xml:space="preserve"> </w:t>
      </w:r>
      <w:r w:rsidRPr="001F014C">
        <w:t>in 2014.</w:t>
      </w:r>
    </w:p>
    <w:p w14:paraId="2859FE68" w14:textId="787E4447" w:rsidR="00B446FD" w:rsidRPr="001F014C" w:rsidRDefault="00B446FD" w:rsidP="001F014C">
      <w:pPr>
        <w:pStyle w:val="Heading2"/>
      </w:pPr>
      <w:bookmarkStart w:id="5" w:name="_Toc96334681"/>
      <w:r w:rsidRPr="001F014C">
        <w:t>Submissions received in response to the molinate preliminary review findings report</w:t>
      </w:r>
      <w:bookmarkEnd w:id="5"/>
    </w:p>
    <w:p w14:paraId="7CE8FAC9" w14:textId="359FAD07" w:rsidR="00082E64" w:rsidRDefault="00B446FD" w:rsidP="00082E64">
      <w:pPr>
        <w:pStyle w:val="APVMAText"/>
      </w:pPr>
      <w:r w:rsidRPr="00B446FD">
        <w:t>Following publication of the findings</w:t>
      </w:r>
      <w:r w:rsidR="00CC1E20">
        <w:t xml:space="preserve"> report</w:t>
      </w:r>
      <w:r w:rsidRPr="00B446FD">
        <w:t>, several submissions were received from holders of active constituent approvals and product registrations as well as the industry grower group Ricegrowers’ Association of Australia. These submissions are listed in order of receipt in Table 1.</w:t>
      </w:r>
    </w:p>
    <w:p w14:paraId="69CBB07A" w14:textId="253C54C3" w:rsidR="002E20AC" w:rsidRPr="001F014C" w:rsidRDefault="002E20AC" w:rsidP="00082E64">
      <w:pPr>
        <w:pStyle w:val="Caption"/>
      </w:pPr>
      <w:bookmarkStart w:id="6" w:name="_Ref89174852"/>
      <w:bookmarkStart w:id="7" w:name="_Toc89173138"/>
      <w:bookmarkStart w:id="8" w:name="_Toc89174618"/>
      <w:bookmarkStart w:id="9" w:name="_Toc96334720"/>
      <w:r w:rsidRPr="001F014C">
        <w:t xml:space="preserve">Table </w:t>
      </w:r>
      <w:fldSimple w:instr=" SEQ Table \* ARABIC ">
        <w:r w:rsidR="007A27EB" w:rsidRPr="001F014C">
          <w:t>1</w:t>
        </w:r>
      </w:fldSimple>
      <w:bookmarkEnd w:id="6"/>
      <w:r w:rsidRPr="001F014C">
        <w:t>:</w:t>
      </w:r>
      <w:bookmarkEnd w:id="7"/>
      <w:bookmarkEnd w:id="8"/>
      <w:r w:rsidR="00B10D09">
        <w:t xml:space="preserve"> </w:t>
      </w:r>
      <w:r w:rsidR="00B446FD" w:rsidRPr="001F014C">
        <w:t>Submissions received from holders or members of the public</w:t>
      </w:r>
      <w:r w:rsidR="00B32002" w:rsidRPr="001F014C">
        <w:t xml:space="preserve"> during public consultation in 2014</w:t>
      </w:r>
      <w:bookmarkEnd w:id="9"/>
    </w:p>
    <w:tbl>
      <w:tblPr>
        <w:tblW w:w="5000" w:type="pct"/>
        <w:tblBorders>
          <w:bottom w:val="dotted" w:sz="2" w:space="0" w:color="auto"/>
          <w:insideH w:val="dotted" w:sz="2" w:space="0" w:color="auto"/>
        </w:tblBorders>
        <w:tblLook w:val="01E0" w:firstRow="1" w:lastRow="1" w:firstColumn="1" w:lastColumn="1" w:noHBand="0" w:noVBand="0"/>
      </w:tblPr>
      <w:tblGrid>
        <w:gridCol w:w="3071"/>
        <w:gridCol w:w="3080"/>
        <w:gridCol w:w="3487"/>
      </w:tblGrid>
      <w:tr w:rsidR="002E20AC" w14:paraId="60D78159" w14:textId="77777777" w:rsidTr="00CC1E20">
        <w:trPr>
          <w:cantSplit/>
          <w:tblHeader/>
        </w:trPr>
        <w:tc>
          <w:tcPr>
            <w:tcW w:w="1593" w:type="pct"/>
            <w:tcBorders>
              <w:top w:val="single" w:sz="4" w:space="0" w:color="auto"/>
              <w:bottom w:val="single" w:sz="4" w:space="0" w:color="auto"/>
            </w:tcBorders>
            <w:shd w:val="clear" w:color="auto" w:fill="5C2946"/>
            <w:vAlign w:val="bottom"/>
          </w:tcPr>
          <w:p w14:paraId="463E36B9" w14:textId="472BDE07" w:rsidR="002E20AC" w:rsidRPr="001F014C" w:rsidRDefault="00B446FD" w:rsidP="001F014C">
            <w:pPr>
              <w:pStyle w:val="TableHead"/>
            </w:pPr>
            <w:r w:rsidRPr="001F014C">
              <w:t>Submitted by</w:t>
            </w:r>
          </w:p>
        </w:tc>
        <w:tc>
          <w:tcPr>
            <w:tcW w:w="1598" w:type="pct"/>
            <w:tcBorders>
              <w:top w:val="single" w:sz="4" w:space="0" w:color="auto"/>
              <w:bottom w:val="single" w:sz="4" w:space="0" w:color="auto"/>
            </w:tcBorders>
            <w:shd w:val="clear" w:color="auto" w:fill="5C2946"/>
            <w:vAlign w:val="bottom"/>
          </w:tcPr>
          <w:p w14:paraId="5BC64174" w14:textId="4128229D" w:rsidR="002E20AC" w:rsidRPr="001F014C" w:rsidRDefault="00B446FD" w:rsidP="001F014C">
            <w:pPr>
              <w:pStyle w:val="TableHead"/>
            </w:pPr>
            <w:r w:rsidRPr="001F014C">
              <w:t>Contents</w:t>
            </w:r>
          </w:p>
        </w:tc>
        <w:tc>
          <w:tcPr>
            <w:tcW w:w="1809" w:type="pct"/>
            <w:tcBorders>
              <w:top w:val="single" w:sz="4" w:space="0" w:color="auto"/>
              <w:bottom w:val="single" w:sz="4" w:space="0" w:color="auto"/>
            </w:tcBorders>
            <w:shd w:val="clear" w:color="auto" w:fill="5C2946"/>
            <w:vAlign w:val="bottom"/>
          </w:tcPr>
          <w:p w14:paraId="5FC9EEB5" w14:textId="002105A1" w:rsidR="002E20AC" w:rsidRPr="001F014C" w:rsidRDefault="00B446FD" w:rsidP="001F014C">
            <w:pPr>
              <w:pStyle w:val="TableHead"/>
            </w:pPr>
            <w:r w:rsidRPr="001F014C">
              <w:t>Review comments</w:t>
            </w:r>
          </w:p>
        </w:tc>
      </w:tr>
      <w:tr w:rsidR="00B446FD" w14:paraId="0003F43F" w14:textId="77777777" w:rsidTr="001F014C">
        <w:trPr>
          <w:cantSplit/>
        </w:trPr>
        <w:tc>
          <w:tcPr>
            <w:tcW w:w="1593" w:type="pct"/>
            <w:tcBorders>
              <w:top w:val="single" w:sz="4" w:space="0" w:color="auto"/>
              <w:bottom w:val="single" w:sz="4" w:space="0" w:color="auto"/>
            </w:tcBorders>
          </w:tcPr>
          <w:p w14:paraId="50F7CC0A" w14:textId="77777777" w:rsidR="00B446FD" w:rsidRPr="001F014C" w:rsidRDefault="00B446FD" w:rsidP="001F014C">
            <w:pPr>
              <w:pStyle w:val="TableText"/>
              <w:rPr>
                <w:rFonts w:eastAsia="Arial Unicode MS"/>
              </w:rPr>
            </w:pPr>
            <w:r w:rsidRPr="001F014C">
              <w:rPr>
                <w:rFonts w:eastAsia="Arial Unicode MS"/>
              </w:rPr>
              <w:t>Ricegrowers’ Association of Australia</w:t>
            </w:r>
          </w:p>
          <w:p w14:paraId="468A2D3E" w14:textId="4D5B886E" w:rsidR="00B446FD" w:rsidRPr="001F014C" w:rsidRDefault="00B446FD" w:rsidP="001F014C">
            <w:pPr>
              <w:pStyle w:val="TableText"/>
            </w:pPr>
            <w:r w:rsidRPr="001F014C">
              <w:rPr>
                <w:rFonts w:eastAsia="Arial Unicode MS"/>
              </w:rPr>
              <w:t>October 2014</w:t>
            </w:r>
          </w:p>
        </w:tc>
        <w:tc>
          <w:tcPr>
            <w:tcW w:w="1598" w:type="pct"/>
            <w:tcBorders>
              <w:top w:val="single" w:sz="4" w:space="0" w:color="auto"/>
              <w:bottom w:val="single" w:sz="4" w:space="0" w:color="auto"/>
            </w:tcBorders>
          </w:tcPr>
          <w:p w14:paraId="3DF66B4E" w14:textId="2A0C6BAA" w:rsidR="00B446FD" w:rsidRPr="001F014C" w:rsidRDefault="00B446FD" w:rsidP="001F014C">
            <w:pPr>
              <w:pStyle w:val="TableText"/>
            </w:pPr>
            <w:r w:rsidRPr="001F014C">
              <w:t xml:space="preserve">Mixer and </w:t>
            </w:r>
            <w:r w:rsidR="00CC1E20" w:rsidRPr="001F014C">
              <w:t>loader exposure study with molinate</w:t>
            </w:r>
            <w:r w:rsidRPr="001F014C">
              <w:t>. Preliminary trial with 3 operators (3 replicates) to assess the extent of dermal exposure when wearing specified personal protective equipment (PPE) during mixing and loading (Agrisearch 2014).</w:t>
            </w:r>
          </w:p>
        </w:tc>
        <w:tc>
          <w:tcPr>
            <w:tcW w:w="1809" w:type="pct"/>
            <w:tcBorders>
              <w:top w:val="single" w:sz="4" w:space="0" w:color="auto"/>
              <w:bottom w:val="single" w:sz="4" w:space="0" w:color="auto"/>
            </w:tcBorders>
          </w:tcPr>
          <w:p w14:paraId="317F69A0" w14:textId="163BC438" w:rsidR="00B446FD" w:rsidRPr="001F014C" w:rsidRDefault="00B446FD" w:rsidP="001F014C">
            <w:pPr>
              <w:pStyle w:val="TableText"/>
            </w:pPr>
            <w:r w:rsidRPr="001F014C">
              <w:rPr>
                <w:rFonts w:eastAsia="Arial Unicode MS"/>
              </w:rPr>
              <w:t>Preliminary indication that aerial application of molinate could be supported with appropriate restrictions. Further replicates required to confirm preliminary outcomes.</w:t>
            </w:r>
          </w:p>
        </w:tc>
      </w:tr>
      <w:tr w:rsidR="00B446FD" w14:paraId="2B0153FE" w14:textId="77777777" w:rsidTr="001F014C">
        <w:trPr>
          <w:cantSplit/>
        </w:trPr>
        <w:tc>
          <w:tcPr>
            <w:tcW w:w="1593" w:type="pct"/>
            <w:tcBorders>
              <w:top w:val="single" w:sz="4" w:space="0" w:color="auto"/>
              <w:bottom w:val="single" w:sz="4" w:space="0" w:color="auto"/>
            </w:tcBorders>
          </w:tcPr>
          <w:p w14:paraId="0DE35244" w14:textId="262C32EF" w:rsidR="00B446FD" w:rsidRPr="001F014C" w:rsidRDefault="00B446FD" w:rsidP="001F014C">
            <w:pPr>
              <w:pStyle w:val="TableText"/>
              <w:rPr>
                <w:rFonts w:eastAsia="Arial Unicode MS"/>
              </w:rPr>
            </w:pPr>
            <w:r w:rsidRPr="001F014C">
              <w:rPr>
                <w:rFonts w:eastAsia="Arial Unicode MS"/>
              </w:rPr>
              <w:t>Ricegrowers’ Association of Australia</w:t>
            </w:r>
          </w:p>
          <w:p w14:paraId="32BDD58D" w14:textId="64D7BDD6" w:rsidR="00B446FD" w:rsidRPr="001F014C" w:rsidRDefault="00B446FD" w:rsidP="001F014C">
            <w:pPr>
              <w:pStyle w:val="TableText"/>
            </w:pPr>
            <w:r w:rsidRPr="001F014C">
              <w:rPr>
                <w:rFonts w:eastAsia="Arial Unicode MS"/>
              </w:rPr>
              <w:t>April 2016</w:t>
            </w:r>
          </w:p>
        </w:tc>
        <w:tc>
          <w:tcPr>
            <w:tcW w:w="1598" w:type="pct"/>
            <w:tcBorders>
              <w:top w:val="single" w:sz="4" w:space="0" w:color="auto"/>
              <w:bottom w:val="single" w:sz="4" w:space="0" w:color="auto"/>
            </w:tcBorders>
          </w:tcPr>
          <w:p w14:paraId="63543F75" w14:textId="289798BE" w:rsidR="00B446FD" w:rsidRPr="001F014C" w:rsidRDefault="00B446FD" w:rsidP="001F014C">
            <w:pPr>
              <w:pStyle w:val="TableText"/>
            </w:pPr>
            <w:r w:rsidRPr="001F014C">
              <w:rPr>
                <w:rFonts w:eastAsia="Arial Unicode MS"/>
              </w:rPr>
              <w:t>Submission of collated water monitoring data for 2010</w:t>
            </w:r>
            <w:r w:rsidR="00302DB5">
              <w:rPr>
                <w:rFonts w:eastAsia="Arial Unicode MS"/>
              </w:rPr>
              <w:t>–</w:t>
            </w:r>
            <w:r w:rsidRPr="001F014C">
              <w:rPr>
                <w:rFonts w:eastAsia="Arial Unicode MS"/>
              </w:rPr>
              <w:t>11 to 2014–15 growing seasons (RGA 2016).</w:t>
            </w:r>
          </w:p>
        </w:tc>
        <w:tc>
          <w:tcPr>
            <w:tcW w:w="1809" w:type="pct"/>
            <w:tcBorders>
              <w:top w:val="single" w:sz="4" w:space="0" w:color="auto"/>
              <w:bottom w:val="single" w:sz="4" w:space="0" w:color="auto"/>
            </w:tcBorders>
          </w:tcPr>
          <w:p w14:paraId="3213571A" w14:textId="2C7CE51E" w:rsidR="00B446FD" w:rsidRPr="001F014C" w:rsidRDefault="00B446FD" w:rsidP="001F014C">
            <w:pPr>
              <w:pStyle w:val="TableText"/>
            </w:pPr>
            <w:r w:rsidRPr="001F014C">
              <w:t>Detections of molinate declined with one detection in the 2013</w:t>
            </w:r>
            <w:r w:rsidR="00CC1E20">
              <w:t>–</w:t>
            </w:r>
            <w:r w:rsidRPr="001F014C">
              <w:t>14 season and zero detections above the environmental guideline in the 2014–15 season.</w:t>
            </w:r>
          </w:p>
        </w:tc>
      </w:tr>
      <w:tr w:rsidR="00B446FD" w14:paraId="3726F20D" w14:textId="77777777" w:rsidTr="001F014C">
        <w:trPr>
          <w:cantSplit/>
        </w:trPr>
        <w:tc>
          <w:tcPr>
            <w:tcW w:w="1593" w:type="pct"/>
            <w:tcBorders>
              <w:top w:val="single" w:sz="4" w:space="0" w:color="auto"/>
              <w:bottom w:val="single" w:sz="4" w:space="0" w:color="auto"/>
            </w:tcBorders>
          </w:tcPr>
          <w:p w14:paraId="37AF0CE1" w14:textId="77777777" w:rsidR="00B446FD" w:rsidRPr="001F014C" w:rsidRDefault="00B446FD" w:rsidP="001F014C">
            <w:pPr>
              <w:pStyle w:val="TableText"/>
              <w:rPr>
                <w:rFonts w:eastAsia="Arial Unicode MS"/>
              </w:rPr>
            </w:pPr>
            <w:r w:rsidRPr="001F014C">
              <w:t>Crop Care Australasia Pty Ltd/Nufarm Australia</w:t>
            </w:r>
          </w:p>
          <w:p w14:paraId="3F409C56" w14:textId="518DD85F" w:rsidR="00B446FD" w:rsidRPr="001F014C" w:rsidRDefault="00B446FD" w:rsidP="001F014C">
            <w:pPr>
              <w:pStyle w:val="TableText"/>
            </w:pPr>
            <w:r w:rsidRPr="001F014C">
              <w:rPr>
                <w:rFonts w:eastAsia="Arial Unicode MS"/>
              </w:rPr>
              <w:t>February 2017</w:t>
            </w:r>
          </w:p>
        </w:tc>
        <w:tc>
          <w:tcPr>
            <w:tcW w:w="1598" w:type="pct"/>
            <w:tcBorders>
              <w:top w:val="single" w:sz="4" w:space="0" w:color="auto"/>
              <w:bottom w:val="single" w:sz="4" w:space="0" w:color="auto"/>
            </w:tcBorders>
          </w:tcPr>
          <w:p w14:paraId="0B3B6A8B" w14:textId="262E8C67" w:rsidR="00B446FD" w:rsidRPr="001F014C" w:rsidRDefault="00B446FD" w:rsidP="001F014C">
            <w:pPr>
              <w:pStyle w:val="TableText"/>
            </w:pPr>
            <w:r w:rsidRPr="001F014C">
              <w:rPr>
                <w:rFonts w:eastAsia="Arial Unicode MS"/>
              </w:rPr>
              <w:t>Mixer/</w:t>
            </w:r>
            <w:r w:rsidR="00CC1E20" w:rsidRPr="001F014C">
              <w:rPr>
                <w:rFonts w:eastAsia="Arial Unicode MS"/>
              </w:rPr>
              <w:t>loader and applicator exposure study with molinate – final study</w:t>
            </w:r>
            <w:r w:rsidRPr="001F014C">
              <w:rPr>
                <w:rFonts w:eastAsia="Arial Unicode MS"/>
              </w:rPr>
              <w:t xml:space="preserve">. Worker exposure study for mixing/loading and application by aircraft (Bickley </w:t>
            </w:r>
            <w:r w:rsidR="00CC1E20">
              <w:rPr>
                <w:rFonts w:eastAsia="Arial Unicode MS"/>
              </w:rPr>
              <w:t>b</w:t>
            </w:r>
            <w:r w:rsidRPr="001F014C">
              <w:rPr>
                <w:rFonts w:eastAsia="Arial Unicode MS"/>
              </w:rPr>
              <w:t>oom*; Agrisearch 2016).</w:t>
            </w:r>
          </w:p>
        </w:tc>
        <w:tc>
          <w:tcPr>
            <w:tcW w:w="1809" w:type="pct"/>
            <w:tcBorders>
              <w:top w:val="single" w:sz="4" w:space="0" w:color="auto"/>
              <w:bottom w:val="single" w:sz="4" w:space="0" w:color="auto"/>
            </w:tcBorders>
          </w:tcPr>
          <w:p w14:paraId="01731630" w14:textId="643F4B04" w:rsidR="00B446FD" w:rsidRPr="001F014C" w:rsidRDefault="00B446FD" w:rsidP="001F014C">
            <w:pPr>
              <w:pStyle w:val="TableText"/>
            </w:pPr>
            <w:r w:rsidRPr="001F014C">
              <w:rPr>
                <w:rFonts w:eastAsia="Arial Unicode MS"/>
              </w:rPr>
              <w:t>Continued use of molinate is supported with restrictions to the amount of molinate that can be mixed and applied per day.</w:t>
            </w:r>
          </w:p>
        </w:tc>
      </w:tr>
    </w:tbl>
    <w:p w14:paraId="07E9B794" w14:textId="6F1BD4B0" w:rsidR="00B446FD" w:rsidRPr="009B4DC3" w:rsidRDefault="00B446FD" w:rsidP="00B446FD">
      <w:pPr>
        <w:pStyle w:val="SourceTableNote"/>
      </w:pPr>
      <w:r w:rsidRPr="009B4DC3">
        <w:t>*</w:t>
      </w:r>
      <w:r>
        <w:t xml:space="preserve"> </w:t>
      </w:r>
      <w:r w:rsidRPr="009B4DC3">
        <w:t xml:space="preserve">The Bickley </w:t>
      </w:r>
      <w:r w:rsidR="00CC1E20">
        <w:t>b</w:t>
      </w:r>
      <w:r w:rsidRPr="009B4DC3">
        <w:t xml:space="preserve">oom, developed in 2001, </w:t>
      </w:r>
      <w:r w:rsidR="00B32002" w:rsidRPr="009B4DC3">
        <w:t>involves only one nozzle (jet) per boom per aircraft wing. The delivery through the jet is angled to minimise wind shear effects and thereby reduce spray drift and potential exposure to bystanders</w:t>
      </w:r>
      <w:r w:rsidR="00B32002">
        <w:t>.</w:t>
      </w:r>
    </w:p>
    <w:p w14:paraId="57630174" w14:textId="30A628FA" w:rsidR="003045A3" w:rsidRDefault="00B446FD" w:rsidP="001F014C">
      <w:pPr>
        <w:pStyle w:val="APVMAText"/>
      </w:pPr>
      <w:r>
        <w:t xml:space="preserve">The additional information received </w:t>
      </w:r>
      <w:r w:rsidR="00B32002">
        <w:t xml:space="preserve">was </w:t>
      </w:r>
      <w:r>
        <w:t>considered</w:t>
      </w:r>
      <w:r w:rsidR="00CC1E20">
        <w:t>,</w:t>
      </w:r>
      <w:r>
        <w:t xml:space="preserve"> and based on the evaluation of </w:t>
      </w:r>
      <w:r w:rsidR="00B32002">
        <w:t xml:space="preserve">that </w:t>
      </w:r>
      <w:r>
        <w:t xml:space="preserve">information the APVMA </w:t>
      </w:r>
      <w:r w:rsidR="00B32002">
        <w:t xml:space="preserve">proposed it could be </w:t>
      </w:r>
      <w:r>
        <w:t xml:space="preserve">satisfied that </w:t>
      </w:r>
      <w:r w:rsidRPr="00B0291A">
        <w:t xml:space="preserve">the instructions for use for agricultural molinate products </w:t>
      </w:r>
      <w:r w:rsidR="00B32002">
        <w:t xml:space="preserve">could </w:t>
      </w:r>
      <w:r>
        <w:t xml:space="preserve">be varied to </w:t>
      </w:r>
      <w:r w:rsidRPr="00B0291A">
        <w:t>satisfy the requirements for continued registration</w:t>
      </w:r>
      <w:r>
        <w:t>.</w:t>
      </w:r>
    </w:p>
    <w:p w14:paraId="0B9E3B64" w14:textId="471E36A3" w:rsidR="00B32002" w:rsidRPr="00CC1E20" w:rsidRDefault="00B32002" w:rsidP="00CC1E20">
      <w:pPr>
        <w:pStyle w:val="APVMAText"/>
      </w:pPr>
      <w:r w:rsidRPr="00CC1E20">
        <w:t>The proposed varied instruction</w:t>
      </w:r>
      <w:r w:rsidR="00F91A09" w:rsidRPr="00CC1E20">
        <w:t>s</w:t>
      </w:r>
      <w:r w:rsidRPr="00CC1E20">
        <w:t xml:space="preserve"> were published as </w:t>
      </w:r>
      <w:r w:rsidR="003045A3" w:rsidRPr="00CC1E20">
        <w:t xml:space="preserve">a new </w:t>
      </w:r>
      <w:r w:rsidRPr="00CC1E20">
        <w:t xml:space="preserve">proposed decision in October 2021. </w:t>
      </w:r>
      <w:r w:rsidR="003045A3" w:rsidRPr="00CC1E20">
        <w:t>S</w:t>
      </w:r>
      <w:r w:rsidRPr="00CC1E20">
        <w:t>everal submissions were received</w:t>
      </w:r>
      <w:r w:rsidR="003045A3" w:rsidRPr="00CC1E20">
        <w:t xml:space="preserve"> in response to the revised proposal</w:t>
      </w:r>
      <w:r w:rsidRPr="00CC1E20">
        <w:t>. These submissions are listed in order of receipt in Table 2.</w:t>
      </w:r>
    </w:p>
    <w:p w14:paraId="131A68BF" w14:textId="53C3687E" w:rsidR="00B32002" w:rsidRPr="001F014C" w:rsidRDefault="001F014C" w:rsidP="001F014C">
      <w:pPr>
        <w:pStyle w:val="Caption"/>
      </w:pPr>
      <w:bookmarkStart w:id="10" w:name="_Toc96334721"/>
      <w:r w:rsidRPr="001F014C">
        <w:t xml:space="preserve">Table </w:t>
      </w:r>
      <w:fldSimple w:instr=" SEQ Table \* ARABIC ">
        <w:r>
          <w:rPr>
            <w:noProof/>
          </w:rPr>
          <w:t>2</w:t>
        </w:r>
      </w:fldSimple>
      <w:r w:rsidR="00B32002" w:rsidRPr="001F014C">
        <w:t>:</w:t>
      </w:r>
      <w:r w:rsidR="00B10D09">
        <w:t xml:space="preserve"> </w:t>
      </w:r>
      <w:r w:rsidR="00B32002" w:rsidRPr="001F014C">
        <w:t>Submissions received from holders or members of the public during public consultation in 2021</w:t>
      </w:r>
      <w:r>
        <w:rPr>
          <w:i/>
        </w:rPr>
        <w:t>–</w:t>
      </w:r>
      <w:r w:rsidR="00B32002" w:rsidRPr="001F014C">
        <w:t>22</w:t>
      </w:r>
      <w:bookmarkEnd w:id="10"/>
    </w:p>
    <w:tbl>
      <w:tblPr>
        <w:tblW w:w="5000" w:type="pct"/>
        <w:tblBorders>
          <w:bottom w:val="dotted" w:sz="2" w:space="0" w:color="auto"/>
          <w:insideH w:val="dotted" w:sz="2" w:space="0" w:color="auto"/>
        </w:tblBorders>
        <w:tblLook w:val="01E0" w:firstRow="1" w:lastRow="1" w:firstColumn="1" w:lastColumn="1" w:noHBand="0" w:noVBand="0"/>
      </w:tblPr>
      <w:tblGrid>
        <w:gridCol w:w="3071"/>
        <w:gridCol w:w="3080"/>
        <w:gridCol w:w="3487"/>
      </w:tblGrid>
      <w:tr w:rsidR="00B32002" w14:paraId="762E60BC" w14:textId="77777777" w:rsidTr="00CC1E20">
        <w:trPr>
          <w:cantSplit/>
          <w:tblHeader/>
        </w:trPr>
        <w:tc>
          <w:tcPr>
            <w:tcW w:w="1593" w:type="pct"/>
            <w:tcBorders>
              <w:top w:val="single" w:sz="4" w:space="0" w:color="auto"/>
              <w:bottom w:val="single" w:sz="4" w:space="0" w:color="auto"/>
            </w:tcBorders>
            <w:shd w:val="clear" w:color="auto" w:fill="5C2946"/>
            <w:vAlign w:val="bottom"/>
          </w:tcPr>
          <w:p w14:paraId="77311790" w14:textId="77777777" w:rsidR="00B32002" w:rsidRPr="001F014C" w:rsidRDefault="00B32002" w:rsidP="001F014C">
            <w:pPr>
              <w:pStyle w:val="TableHead"/>
            </w:pPr>
            <w:r w:rsidRPr="001F014C">
              <w:t>Submitted by</w:t>
            </w:r>
          </w:p>
        </w:tc>
        <w:tc>
          <w:tcPr>
            <w:tcW w:w="1598" w:type="pct"/>
            <w:tcBorders>
              <w:top w:val="single" w:sz="4" w:space="0" w:color="auto"/>
              <w:bottom w:val="single" w:sz="4" w:space="0" w:color="auto"/>
            </w:tcBorders>
            <w:shd w:val="clear" w:color="auto" w:fill="5C2946"/>
            <w:vAlign w:val="bottom"/>
          </w:tcPr>
          <w:p w14:paraId="3161E7A6" w14:textId="77777777" w:rsidR="00B32002" w:rsidRPr="001F014C" w:rsidRDefault="00B32002" w:rsidP="001F014C">
            <w:pPr>
              <w:pStyle w:val="TableHead"/>
            </w:pPr>
            <w:r w:rsidRPr="001F014C">
              <w:t>Contents</w:t>
            </w:r>
          </w:p>
        </w:tc>
        <w:tc>
          <w:tcPr>
            <w:tcW w:w="1809" w:type="pct"/>
            <w:tcBorders>
              <w:top w:val="single" w:sz="4" w:space="0" w:color="auto"/>
              <w:bottom w:val="single" w:sz="4" w:space="0" w:color="auto"/>
            </w:tcBorders>
            <w:shd w:val="clear" w:color="auto" w:fill="5C2946"/>
            <w:vAlign w:val="bottom"/>
          </w:tcPr>
          <w:p w14:paraId="14009A5B" w14:textId="77777777" w:rsidR="00B32002" w:rsidRPr="001F014C" w:rsidRDefault="00B32002" w:rsidP="001F014C">
            <w:pPr>
              <w:pStyle w:val="TableHead"/>
            </w:pPr>
            <w:r w:rsidRPr="001F014C">
              <w:t>Review comments</w:t>
            </w:r>
          </w:p>
        </w:tc>
      </w:tr>
      <w:tr w:rsidR="00B32002" w14:paraId="2430DCB6" w14:textId="77777777" w:rsidTr="001F014C">
        <w:trPr>
          <w:cantSplit/>
        </w:trPr>
        <w:tc>
          <w:tcPr>
            <w:tcW w:w="1593" w:type="pct"/>
            <w:tcBorders>
              <w:top w:val="single" w:sz="4" w:space="0" w:color="auto"/>
              <w:bottom w:val="single" w:sz="4" w:space="0" w:color="auto"/>
            </w:tcBorders>
          </w:tcPr>
          <w:p w14:paraId="39C74033" w14:textId="48ED10E7" w:rsidR="00B32002" w:rsidRPr="001F014C" w:rsidRDefault="00B32002" w:rsidP="001F014C">
            <w:pPr>
              <w:pStyle w:val="TableText"/>
              <w:keepNext/>
              <w:keepLines/>
            </w:pPr>
            <w:r w:rsidRPr="001F014C">
              <w:t>Aerial Application Association of Australia LTD.</w:t>
            </w:r>
          </w:p>
        </w:tc>
        <w:tc>
          <w:tcPr>
            <w:tcW w:w="1598" w:type="pct"/>
            <w:tcBorders>
              <w:top w:val="single" w:sz="4" w:space="0" w:color="auto"/>
              <w:bottom w:val="single" w:sz="4" w:space="0" w:color="auto"/>
            </w:tcBorders>
          </w:tcPr>
          <w:p w14:paraId="2BF6BFB7" w14:textId="251A968E" w:rsidR="00B32002" w:rsidRPr="001F014C" w:rsidRDefault="00B32002" w:rsidP="001F014C">
            <w:pPr>
              <w:pStyle w:val="TableText"/>
              <w:keepNext/>
              <w:keepLines/>
            </w:pPr>
            <w:r w:rsidRPr="001F014C">
              <w:t>Details and nomenclature of application methods</w:t>
            </w:r>
          </w:p>
        </w:tc>
        <w:tc>
          <w:tcPr>
            <w:tcW w:w="1809" w:type="pct"/>
            <w:tcBorders>
              <w:top w:val="single" w:sz="4" w:space="0" w:color="auto"/>
              <w:bottom w:val="single" w:sz="4" w:space="0" w:color="auto"/>
            </w:tcBorders>
          </w:tcPr>
          <w:p w14:paraId="3425AB7E" w14:textId="3CC9DA0A" w:rsidR="00B32002" w:rsidRPr="001F014C" w:rsidRDefault="00B32002" w:rsidP="001F014C">
            <w:pPr>
              <w:pStyle w:val="TableText"/>
              <w:keepNext/>
              <w:keepLines/>
            </w:pPr>
            <w:r w:rsidRPr="001F014C">
              <w:t>Labels amended to clarify Bickley boom and SCWIIRT application methods</w:t>
            </w:r>
          </w:p>
        </w:tc>
      </w:tr>
      <w:tr w:rsidR="00B32002" w14:paraId="1FC031E2" w14:textId="77777777" w:rsidTr="001F014C">
        <w:trPr>
          <w:cantSplit/>
        </w:trPr>
        <w:tc>
          <w:tcPr>
            <w:tcW w:w="1593" w:type="pct"/>
            <w:tcBorders>
              <w:top w:val="single" w:sz="4" w:space="0" w:color="auto"/>
              <w:bottom w:val="single" w:sz="4" w:space="0" w:color="auto"/>
            </w:tcBorders>
          </w:tcPr>
          <w:p w14:paraId="0D6CB016" w14:textId="74CDDD45" w:rsidR="00B32002" w:rsidRPr="001F014C" w:rsidRDefault="00B32002" w:rsidP="001F014C">
            <w:pPr>
              <w:pStyle w:val="TableText"/>
              <w:keepNext/>
              <w:keepLines/>
            </w:pPr>
            <w:r w:rsidRPr="001F014C">
              <w:rPr>
                <w:rFonts w:eastAsia="Arial Unicode MS"/>
              </w:rPr>
              <w:t>Nufarm Australia Pty Ltd</w:t>
            </w:r>
          </w:p>
        </w:tc>
        <w:tc>
          <w:tcPr>
            <w:tcW w:w="1598" w:type="pct"/>
            <w:tcBorders>
              <w:top w:val="single" w:sz="4" w:space="0" w:color="auto"/>
              <w:bottom w:val="single" w:sz="4" w:space="0" w:color="auto"/>
            </w:tcBorders>
          </w:tcPr>
          <w:p w14:paraId="1DABEE59" w14:textId="730AD3C3" w:rsidR="00B32002" w:rsidRPr="001F014C" w:rsidRDefault="00D22224" w:rsidP="001F014C">
            <w:pPr>
              <w:pStyle w:val="TableText"/>
              <w:keepNext/>
              <w:keepLines/>
            </w:pPr>
            <w:r w:rsidRPr="001F014C">
              <w:rPr>
                <w:rFonts w:eastAsia="Arial Unicode MS"/>
              </w:rPr>
              <w:t xml:space="preserve">Refined </w:t>
            </w:r>
            <w:r w:rsidR="00B32002" w:rsidRPr="001F014C">
              <w:rPr>
                <w:rFonts w:eastAsia="Arial Unicode MS"/>
              </w:rPr>
              <w:t>modelling for pilot exposure</w:t>
            </w:r>
          </w:p>
        </w:tc>
        <w:tc>
          <w:tcPr>
            <w:tcW w:w="1809" w:type="pct"/>
            <w:tcBorders>
              <w:top w:val="single" w:sz="4" w:space="0" w:color="auto"/>
              <w:bottom w:val="single" w:sz="4" w:space="0" w:color="auto"/>
            </w:tcBorders>
          </w:tcPr>
          <w:p w14:paraId="67E38DB4" w14:textId="25D76B1C" w:rsidR="00B32002" w:rsidRPr="001F014C" w:rsidRDefault="00B32002" w:rsidP="001F014C">
            <w:pPr>
              <w:pStyle w:val="TableText"/>
              <w:keepNext/>
              <w:keepLines/>
            </w:pPr>
            <w:r w:rsidRPr="001F014C">
              <w:t>Modelling for exposure to pilots revised</w:t>
            </w:r>
          </w:p>
        </w:tc>
      </w:tr>
      <w:tr w:rsidR="00B32002" w14:paraId="2FA6846E" w14:textId="77777777" w:rsidTr="001F014C">
        <w:trPr>
          <w:cantSplit/>
        </w:trPr>
        <w:tc>
          <w:tcPr>
            <w:tcW w:w="1593" w:type="pct"/>
            <w:tcBorders>
              <w:top w:val="single" w:sz="4" w:space="0" w:color="auto"/>
              <w:bottom w:val="single" w:sz="4" w:space="0" w:color="auto"/>
            </w:tcBorders>
          </w:tcPr>
          <w:p w14:paraId="48E02052" w14:textId="62BEB8A4" w:rsidR="00B32002" w:rsidRPr="001F014C" w:rsidRDefault="00B32002" w:rsidP="001F014C">
            <w:pPr>
              <w:pStyle w:val="TableText"/>
              <w:keepNext/>
              <w:keepLines/>
            </w:pPr>
            <w:r w:rsidRPr="001F014C">
              <w:t>Ricegrowers Association of Australia</w:t>
            </w:r>
          </w:p>
        </w:tc>
        <w:tc>
          <w:tcPr>
            <w:tcW w:w="1598" w:type="pct"/>
            <w:tcBorders>
              <w:top w:val="single" w:sz="4" w:space="0" w:color="auto"/>
              <w:bottom w:val="single" w:sz="4" w:space="0" w:color="auto"/>
            </w:tcBorders>
          </w:tcPr>
          <w:p w14:paraId="5944C9B2" w14:textId="1CDF499A" w:rsidR="00B32002" w:rsidRPr="001F014C" w:rsidRDefault="00B32002" w:rsidP="001F014C">
            <w:pPr>
              <w:pStyle w:val="TableText"/>
              <w:keepNext/>
              <w:keepLines/>
            </w:pPr>
            <w:r w:rsidRPr="001F014C">
              <w:t>Comments on limits of areas to be treated per day</w:t>
            </w:r>
          </w:p>
        </w:tc>
        <w:tc>
          <w:tcPr>
            <w:tcW w:w="1809" w:type="pct"/>
            <w:tcBorders>
              <w:top w:val="single" w:sz="4" w:space="0" w:color="auto"/>
              <w:bottom w:val="single" w:sz="4" w:space="0" w:color="auto"/>
            </w:tcBorders>
          </w:tcPr>
          <w:p w14:paraId="3EFA9EAF" w14:textId="2F238527" w:rsidR="00B32002" w:rsidRPr="001F014C" w:rsidRDefault="00B32002" w:rsidP="001F014C">
            <w:pPr>
              <w:pStyle w:val="TableText"/>
              <w:keepNext/>
              <w:keepLines/>
            </w:pPr>
          </w:p>
        </w:tc>
      </w:tr>
      <w:tr w:rsidR="00B32002" w14:paraId="07C71541" w14:textId="77777777" w:rsidTr="001F014C">
        <w:trPr>
          <w:cantSplit/>
        </w:trPr>
        <w:tc>
          <w:tcPr>
            <w:tcW w:w="1593" w:type="pct"/>
            <w:tcBorders>
              <w:top w:val="single" w:sz="4" w:space="0" w:color="auto"/>
              <w:bottom w:val="single" w:sz="4" w:space="0" w:color="auto"/>
            </w:tcBorders>
          </w:tcPr>
          <w:p w14:paraId="315D789E" w14:textId="4A617172" w:rsidR="00B32002" w:rsidRPr="001F014C" w:rsidRDefault="00B32002" w:rsidP="001F014C">
            <w:pPr>
              <w:pStyle w:val="TableText"/>
              <w:keepNext/>
              <w:keepLines/>
            </w:pPr>
            <w:r w:rsidRPr="001F014C">
              <w:t>Rice Crop protection Group</w:t>
            </w:r>
          </w:p>
        </w:tc>
        <w:tc>
          <w:tcPr>
            <w:tcW w:w="1598" w:type="pct"/>
            <w:tcBorders>
              <w:top w:val="single" w:sz="4" w:space="0" w:color="auto"/>
              <w:bottom w:val="single" w:sz="4" w:space="0" w:color="auto"/>
            </w:tcBorders>
          </w:tcPr>
          <w:p w14:paraId="69E91CE0" w14:textId="6C0B8857" w:rsidR="00B32002" w:rsidRPr="001F014C" w:rsidRDefault="00B32002" w:rsidP="001F014C">
            <w:pPr>
              <w:pStyle w:val="TableText"/>
              <w:keepNext/>
              <w:keepLines/>
            </w:pPr>
            <w:r w:rsidRPr="001F014C">
              <w:t>Comments on limits of areas to be treated per day</w:t>
            </w:r>
          </w:p>
        </w:tc>
        <w:tc>
          <w:tcPr>
            <w:tcW w:w="1809" w:type="pct"/>
            <w:tcBorders>
              <w:top w:val="single" w:sz="4" w:space="0" w:color="auto"/>
              <w:bottom w:val="single" w:sz="4" w:space="0" w:color="auto"/>
            </w:tcBorders>
          </w:tcPr>
          <w:p w14:paraId="2F05ACE8" w14:textId="77777777" w:rsidR="00B32002" w:rsidRPr="001F014C" w:rsidRDefault="00B32002" w:rsidP="001F014C">
            <w:pPr>
              <w:pStyle w:val="TableText"/>
              <w:keepNext/>
              <w:keepLines/>
            </w:pPr>
          </w:p>
        </w:tc>
      </w:tr>
      <w:tr w:rsidR="00B32002" w14:paraId="3F501FF0" w14:textId="77777777" w:rsidTr="001F014C">
        <w:trPr>
          <w:cantSplit/>
        </w:trPr>
        <w:tc>
          <w:tcPr>
            <w:tcW w:w="1593" w:type="pct"/>
            <w:tcBorders>
              <w:top w:val="single" w:sz="4" w:space="0" w:color="auto"/>
              <w:bottom w:val="single" w:sz="4" w:space="0" w:color="auto"/>
            </w:tcBorders>
          </w:tcPr>
          <w:p w14:paraId="31D7FF17" w14:textId="32E6365D" w:rsidR="00B32002" w:rsidRPr="001F014C" w:rsidRDefault="00B32002" w:rsidP="001F014C">
            <w:pPr>
              <w:pStyle w:val="TableText"/>
              <w:keepNext/>
              <w:keepLines/>
            </w:pPr>
            <w:r w:rsidRPr="001F014C">
              <w:t>SunRice Group</w:t>
            </w:r>
          </w:p>
        </w:tc>
        <w:tc>
          <w:tcPr>
            <w:tcW w:w="1598" w:type="pct"/>
            <w:tcBorders>
              <w:top w:val="single" w:sz="4" w:space="0" w:color="auto"/>
              <w:bottom w:val="single" w:sz="4" w:space="0" w:color="auto"/>
            </w:tcBorders>
          </w:tcPr>
          <w:p w14:paraId="4661E24F" w14:textId="4523D03B" w:rsidR="00B32002" w:rsidRPr="001F014C" w:rsidRDefault="00B32002" w:rsidP="001F014C">
            <w:pPr>
              <w:pStyle w:val="TableText"/>
              <w:keepNext/>
              <w:keepLines/>
            </w:pPr>
            <w:r w:rsidRPr="001F014C">
              <w:t>Comments on limits of areas to be treated per day</w:t>
            </w:r>
          </w:p>
        </w:tc>
        <w:tc>
          <w:tcPr>
            <w:tcW w:w="1809" w:type="pct"/>
            <w:tcBorders>
              <w:top w:val="single" w:sz="4" w:space="0" w:color="auto"/>
              <w:bottom w:val="single" w:sz="4" w:space="0" w:color="auto"/>
            </w:tcBorders>
          </w:tcPr>
          <w:p w14:paraId="3433B915" w14:textId="77777777" w:rsidR="00B32002" w:rsidRPr="001F014C" w:rsidRDefault="00B32002" w:rsidP="001F014C">
            <w:pPr>
              <w:pStyle w:val="TableText"/>
              <w:keepNext/>
              <w:keepLines/>
            </w:pPr>
          </w:p>
        </w:tc>
      </w:tr>
    </w:tbl>
    <w:p w14:paraId="06C98D4D" w14:textId="493F0E8F" w:rsidR="00B446FD" w:rsidRDefault="00B446FD" w:rsidP="001F014C">
      <w:pPr>
        <w:pStyle w:val="APVMAText"/>
        <w:sectPr w:rsidR="00B446FD">
          <w:headerReference w:type="default" r:id="rId29"/>
          <w:pgSz w:w="11906" w:h="16838" w:code="9"/>
          <w:pgMar w:top="2835" w:right="1134" w:bottom="1134" w:left="1134" w:header="1701" w:footer="680" w:gutter="0"/>
          <w:cols w:space="708"/>
          <w:docGrid w:linePitch="360"/>
        </w:sectPr>
      </w:pPr>
      <w:r>
        <w:t>This document summarises the review and the regulatory decisions that are to be implemented as a result of the review.</w:t>
      </w:r>
    </w:p>
    <w:p w14:paraId="6C20A28E" w14:textId="2FB5CC66" w:rsidR="002E20AC" w:rsidRPr="001F014C" w:rsidRDefault="00B446FD" w:rsidP="001F014C">
      <w:pPr>
        <w:pStyle w:val="Heading1"/>
      </w:pPr>
      <w:bookmarkStart w:id="11" w:name="_Toc96334682"/>
      <w:r w:rsidRPr="001F014C">
        <w:t>Chemistry</w:t>
      </w:r>
      <w:bookmarkEnd w:id="11"/>
    </w:p>
    <w:p w14:paraId="6C6F3FF1" w14:textId="68203C96" w:rsidR="00B446FD" w:rsidRPr="001F014C" w:rsidRDefault="00B446FD" w:rsidP="001F014C">
      <w:pPr>
        <w:pStyle w:val="Heading2"/>
      </w:pPr>
      <w:bookmarkStart w:id="12" w:name="_Toc96334683"/>
      <w:r w:rsidRPr="001F014C">
        <w:t>Active constituent</w:t>
      </w:r>
      <w:bookmarkEnd w:id="12"/>
    </w:p>
    <w:p w14:paraId="3B0911FB" w14:textId="4E930DD3" w:rsidR="002E20AC" w:rsidRPr="001F014C" w:rsidRDefault="002E20AC" w:rsidP="001F014C">
      <w:pPr>
        <w:pStyle w:val="Caption"/>
      </w:pPr>
      <w:bookmarkStart w:id="13" w:name="_Toc89173139"/>
      <w:bookmarkStart w:id="14" w:name="_Toc89174619"/>
      <w:bookmarkStart w:id="15" w:name="_Toc96334722"/>
      <w:r w:rsidRPr="001F014C">
        <w:t xml:space="preserve">Table </w:t>
      </w:r>
      <w:fldSimple w:instr=" SEQ Table \* ARABIC ">
        <w:r w:rsidR="001F014C">
          <w:rPr>
            <w:noProof/>
          </w:rPr>
          <w:t>3</w:t>
        </w:r>
      </w:fldSimple>
      <w:r w:rsidRPr="001F014C">
        <w:t>:</w:t>
      </w:r>
      <w:bookmarkEnd w:id="13"/>
      <w:bookmarkEnd w:id="14"/>
      <w:r w:rsidR="00B10D09">
        <w:t xml:space="preserve"> </w:t>
      </w:r>
      <w:r w:rsidR="00B446FD" w:rsidRPr="001F014C">
        <w:t>Nomenclature and structural formula of the active constituent molinate</w:t>
      </w:r>
      <w:bookmarkEnd w:id="15"/>
    </w:p>
    <w:tbl>
      <w:tblPr>
        <w:tblW w:w="5000" w:type="pct"/>
        <w:tblBorders>
          <w:bottom w:val="dotted" w:sz="2" w:space="0" w:color="auto"/>
          <w:insideH w:val="dotted" w:sz="2" w:space="0" w:color="auto"/>
        </w:tblBorders>
        <w:tblLook w:val="0000" w:firstRow="0" w:lastRow="0" w:firstColumn="0" w:lastColumn="0" w:noHBand="0" w:noVBand="0"/>
      </w:tblPr>
      <w:tblGrid>
        <w:gridCol w:w="2835"/>
        <w:gridCol w:w="6803"/>
      </w:tblGrid>
      <w:tr w:rsidR="00B446FD" w14:paraId="4EA36FC1" w14:textId="77777777" w:rsidTr="00302DB5">
        <w:trPr>
          <w:tblHeader/>
        </w:trPr>
        <w:tc>
          <w:tcPr>
            <w:tcW w:w="1471" w:type="pct"/>
            <w:tcBorders>
              <w:top w:val="single" w:sz="4" w:space="0" w:color="auto"/>
              <w:bottom w:val="single" w:sz="4" w:space="0" w:color="auto"/>
            </w:tcBorders>
            <w:shd w:val="clear" w:color="auto" w:fill="5C2946"/>
          </w:tcPr>
          <w:p w14:paraId="20EF27F2" w14:textId="5E3F6105" w:rsidR="00B446FD" w:rsidRPr="001F014C" w:rsidRDefault="00B446FD" w:rsidP="001F014C">
            <w:pPr>
              <w:pStyle w:val="TableHead"/>
            </w:pPr>
            <w:r w:rsidRPr="001F014C">
              <w:t>Common name (ISO):</w:t>
            </w:r>
          </w:p>
        </w:tc>
        <w:tc>
          <w:tcPr>
            <w:tcW w:w="3529" w:type="pct"/>
            <w:tcBorders>
              <w:top w:val="single" w:sz="4" w:space="0" w:color="auto"/>
              <w:bottom w:val="single" w:sz="4" w:space="0" w:color="auto"/>
            </w:tcBorders>
          </w:tcPr>
          <w:p w14:paraId="433666D9" w14:textId="0FDF05EC" w:rsidR="00B446FD" w:rsidRPr="001F014C" w:rsidRDefault="00B446FD" w:rsidP="001F014C">
            <w:pPr>
              <w:pStyle w:val="TableText"/>
            </w:pPr>
            <w:r w:rsidRPr="001F014C">
              <w:t>Molinate</w:t>
            </w:r>
          </w:p>
        </w:tc>
      </w:tr>
      <w:tr w:rsidR="00B446FD" w14:paraId="5358F248" w14:textId="77777777" w:rsidTr="00302DB5">
        <w:trPr>
          <w:tblHeader/>
        </w:trPr>
        <w:tc>
          <w:tcPr>
            <w:tcW w:w="1471" w:type="pct"/>
            <w:tcBorders>
              <w:top w:val="single" w:sz="4" w:space="0" w:color="auto"/>
              <w:bottom w:val="single" w:sz="4" w:space="0" w:color="auto"/>
            </w:tcBorders>
            <w:shd w:val="clear" w:color="auto" w:fill="5C2946"/>
          </w:tcPr>
          <w:p w14:paraId="45A1822E" w14:textId="4079D35C" w:rsidR="00B446FD" w:rsidRPr="001F014C" w:rsidRDefault="00B446FD" w:rsidP="001F014C">
            <w:pPr>
              <w:pStyle w:val="TableHead"/>
            </w:pPr>
            <w:r w:rsidRPr="001F014C">
              <w:t>IUPAC name:</w:t>
            </w:r>
          </w:p>
        </w:tc>
        <w:tc>
          <w:tcPr>
            <w:tcW w:w="3529" w:type="pct"/>
            <w:tcBorders>
              <w:top w:val="single" w:sz="4" w:space="0" w:color="auto"/>
              <w:bottom w:val="single" w:sz="4" w:space="0" w:color="auto"/>
            </w:tcBorders>
          </w:tcPr>
          <w:p w14:paraId="3EDC1CB1" w14:textId="79F2F1F1" w:rsidR="00B446FD" w:rsidRPr="001F014C" w:rsidRDefault="00B446FD" w:rsidP="001F014C">
            <w:pPr>
              <w:pStyle w:val="TableText"/>
            </w:pPr>
            <w:r w:rsidRPr="001F014C">
              <w:t>S-ethyl azepane-1-carbothioate</w:t>
            </w:r>
          </w:p>
        </w:tc>
      </w:tr>
      <w:tr w:rsidR="00B446FD" w14:paraId="169E57BE" w14:textId="77777777" w:rsidTr="00302DB5">
        <w:trPr>
          <w:tblHeader/>
        </w:trPr>
        <w:tc>
          <w:tcPr>
            <w:tcW w:w="1471" w:type="pct"/>
            <w:tcBorders>
              <w:top w:val="single" w:sz="4" w:space="0" w:color="auto"/>
              <w:bottom w:val="single" w:sz="4" w:space="0" w:color="auto"/>
            </w:tcBorders>
            <w:shd w:val="clear" w:color="auto" w:fill="5C2946"/>
          </w:tcPr>
          <w:p w14:paraId="472E20AD" w14:textId="1CAE4265" w:rsidR="00B446FD" w:rsidRPr="001F014C" w:rsidRDefault="00B446FD" w:rsidP="001F014C">
            <w:pPr>
              <w:pStyle w:val="TableHead"/>
            </w:pPr>
            <w:r w:rsidRPr="001F014C">
              <w:t>CAS registry number:</w:t>
            </w:r>
          </w:p>
        </w:tc>
        <w:tc>
          <w:tcPr>
            <w:tcW w:w="3529" w:type="pct"/>
            <w:tcBorders>
              <w:top w:val="single" w:sz="4" w:space="0" w:color="auto"/>
              <w:bottom w:val="single" w:sz="4" w:space="0" w:color="auto"/>
            </w:tcBorders>
          </w:tcPr>
          <w:p w14:paraId="10910D95" w14:textId="7838A821" w:rsidR="00B446FD" w:rsidRPr="001F014C" w:rsidRDefault="00B446FD" w:rsidP="001F014C">
            <w:pPr>
              <w:pStyle w:val="TableText"/>
            </w:pPr>
            <w:r w:rsidRPr="001F014C">
              <w:t>2212-67-1</w:t>
            </w:r>
          </w:p>
        </w:tc>
      </w:tr>
      <w:tr w:rsidR="00B446FD" w14:paraId="1F989A80" w14:textId="77777777" w:rsidTr="00302DB5">
        <w:trPr>
          <w:tblHeader/>
        </w:trPr>
        <w:tc>
          <w:tcPr>
            <w:tcW w:w="1471" w:type="pct"/>
            <w:tcBorders>
              <w:top w:val="single" w:sz="4" w:space="0" w:color="auto"/>
              <w:bottom w:val="single" w:sz="4" w:space="0" w:color="auto"/>
            </w:tcBorders>
            <w:shd w:val="clear" w:color="auto" w:fill="5C2946"/>
          </w:tcPr>
          <w:p w14:paraId="0D5AFE60" w14:textId="6435EB97" w:rsidR="00B446FD" w:rsidRPr="001F014C" w:rsidRDefault="00B446FD" w:rsidP="001F014C">
            <w:pPr>
              <w:pStyle w:val="TableHead"/>
            </w:pPr>
            <w:r w:rsidRPr="001F014C">
              <w:t>Molecular formula:</w:t>
            </w:r>
          </w:p>
        </w:tc>
        <w:tc>
          <w:tcPr>
            <w:tcW w:w="3529" w:type="pct"/>
            <w:tcBorders>
              <w:top w:val="single" w:sz="4" w:space="0" w:color="auto"/>
              <w:bottom w:val="single" w:sz="4" w:space="0" w:color="auto"/>
            </w:tcBorders>
          </w:tcPr>
          <w:p w14:paraId="739DA069" w14:textId="3096E450" w:rsidR="00B446FD" w:rsidRPr="001F014C" w:rsidRDefault="00B446FD" w:rsidP="001F014C">
            <w:pPr>
              <w:pStyle w:val="TableText"/>
            </w:pPr>
            <w:r w:rsidRPr="001F014C">
              <w:t>C9H17NOS</w:t>
            </w:r>
          </w:p>
        </w:tc>
      </w:tr>
      <w:tr w:rsidR="00B446FD" w14:paraId="2FA49694" w14:textId="77777777" w:rsidTr="00302DB5">
        <w:trPr>
          <w:tblHeader/>
        </w:trPr>
        <w:tc>
          <w:tcPr>
            <w:tcW w:w="1471" w:type="pct"/>
            <w:tcBorders>
              <w:top w:val="single" w:sz="4" w:space="0" w:color="auto"/>
              <w:bottom w:val="single" w:sz="4" w:space="0" w:color="auto"/>
            </w:tcBorders>
            <w:shd w:val="clear" w:color="auto" w:fill="5C2946"/>
          </w:tcPr>
          <w:p w14:paraId="103904FB" w14:textId="583174D2" w:rsidR="00B446FD" w:rsidRPr="001F014C" w:rsidRDefault="00B446FD" w:rsidP="001F014C">
            <w:pPr>
              <w:pStyle w:val="TableHead"/>
            </w:pPr>
            <w:r w:rsidRPr="001F014C">
              <w:t>Molecular weight:</w:t>
            </w:r>
          </w:p>
        </w:tc>
        <w:tc>
          <w:tcPr>
            <w:tcW w:w="3529" w:type="pct"/>
            <w:tcBorders>
              <w:top w:val="single" w:sz="4" w:space="0" w:color="auto"/>
              <w:bottom w:val="single" w:sz="4" w:space="0" w:color="auto"/>
            </w:tcBorders>
          </w:tcPr>
          <w:p w14:paraId="3E1B96AA" w14:textId="27C1A150" w:rsidR="00B446FD" w:rsidRPr="001F014C" w:rsidRDefault="00B446FD" w:rsidP="001F014C">
            <w:pPr>
              <w:pStyle w:val="TableText"/>
            </w:pPr>
            <w:r w:rsidRPr="001F014C">
              <w:t>187.3 g/mol</w:t>
            </w:r>
          </w:p>
        </w:tc>
      </w:tr>
      <w:tr w:rsidR="00B446FD" w14:paraId="5177B27B" w14:textId="77777777" w:rsidTr="00302DB5">
        <w:trPr>
          <w:tblHeader/>
        </w:trPr>
        <w:tc>
          <w:tcPr>
            <w:tcW w:w="1471" w:type="pct"/>
            <w:tcBorders>
              <w:top w:val="single" w:sz="4" w:space="0" w:color="auto"/>
              <w:bottom w:val="single" w:sz="4" w:space="0" w:color="auto"/>
            </w:tcBorders>
            <w:shd w:val="clear" w:color="auto" w:fill="5C2946"/>
          </w:tcPr>
          <w:p w14:paraId="43E231FD" w14:textId="780708C6" w:rsidR="00B446FD" w:rsidRPr="001F014C" w:rsidRDefault="00B446FD" w:rsidP="001F014C">
            <w:pPr>
              <w:pStyle w:val="TableHead"/>
            </w:pPr>
            <w:r w:rsidRPr="001F014C">
              <w:t>Structural formula:</w:t>
            </w:r>
          </w:p>
        </w:tc>
        <w:tc>
          <w:tcPr>
            <w:tcW w:w="3529" w:type="pct"/>
            <w:tcBorders>
              <w:top w:val="single" w:sz="4" w:space="0" w:color="auto"/>
              <w:bottom w:val="single" w:sz="4" w:space="0" w:color="auto"/>
            </w:tcBorders>
          </w:tcPr>
          <w:p w14:paraId="359D42A4" w14:textId="4A564225" w:rsidR="00B446FD" w:rsidRDefault="00B446FD" w:rsidP="00B446FD">
            <w:pPr>
              <w:pStyle w:val="TableText"/>
              <w:spacing w:before="1800" w:after="0"/>
              <w:rPr>
                <w:b/>
              </w:rPr>
            </w:pPr>
            <w:r w:rsidRPr="00C05837">
              <w:rPr>
                <w:noProof/>
                <w:lang w:eastAsia="en-AU"/>
              </w:rPr>
              <w:drawing>
                <wp:inline distT="0" distB="0" distL="0" distR="0" wp14:anchorId="4E1EDED0" wp14:editId="43FD6B78">
                  <wp:extent cx="2116800" cy="1162800"/>
                  <wp:effectExtent l="0" t="0" r="0" b="0"/>
                  <wp:docPr id="1" name="Picture 1" title="Structural formula of moli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16800" cy="1162800"/>
                          </a:xfrm>
                          <a:prstGeom prst="rect">
                            <a:avLst/>
                          </a:prstGeom>
                          <a:noFill/>
                          <a:ln>
                            <a:noFill/>
                          </a:ln>
                        </pic:spPr>
                      </pic:pic>
                    </a:graphicData>
                  </a:graphic>
                </wp:inline>
              </w:drawing>
            </w:r>
          </w:p>
        </w:tc>
      </w:tr>
    </w:tbl>
    <w:p w14:paraId="3C6BF1B9" w14:textId="083F8ACC" w:rsidR="002E20AC" w:rsidRPr="00B446FD" w:rsidRDefault="002E20AC" w:rsidP="00B446FD">
      <w:pPr>
        <w:pStyle w:val="Caption"/>
      </w:pPr>
      <w:bookmarkStart w:id="16" w:name="_Toc96334723"/>
      <w:r w:rsidRPr="00B446FD">
        <w:t xml:space="preserve">Table </w:t>
      </w:r>
      <w:fldSimple w:instr=" SEQ Table \* ARABIC ">
        <w:r w:rsidR="001F014C">
          <w:rPr>
            <w:noProof/>
          </w:rPr>
          <w:t>4</w:t>
        </w:r>
      </w:fldSimple>
      <w:r w:rsidRPr="00B446FD">
        <w:t>:</w:t>
      </w:r>
      <w:r w:rsidR="00B10D09">
        <w:t xml:space="preserve"> </w:t>
      </w:r>
      <w:r w:rsidR="00B446FD" w:rsidRPr="00B446FD">
        <w:t>Key physicochemical properties of the active constituent molinate</w:t>
      </w:r>
      <w:bookmarkStart w:id="17" w:name="_Ref46908791"/>
      <w:r w:rsidR="00B446FD" w:rsidRPr="00B446FD">
        <w:rPr>
          <w:rStyle w:val="FootnoteReference"/>
        </w:rPr>
        <w:footnoteReference w:id="2"/>
      </w:r>
      <w:bookmarkEnd w:id="16"/>
      <w:bookmarkEnd w:id="17"/>
    </w:p>
    <w:tbl>
      <w:tblPr>
        <w:tblW w:w="5000" w:type="pct"/>
        <w:tblBorders>
          <w:bottom w:val="dotted" w:sz="2" w:space="0" w:color="auto"/>
          <w:insideH w:val="dotted" w:sz="2" w:space="0" w:color="auto"/>
        </w:tblBorders>
        <w:tblLook w:val="0000" w:firstRow="0" w:lastRow="0" w:firstColumn="0" w:lastColumn="0" w:noHBand="0" w:noVBand="0"/>
      </w:tblPr>
      <w:tblGrid>
        <w:gridCol w:w="2835"/>
        <w:gridCol w:w="6803"/>
      </w:tblGrid>
      <w:tr w:rsidR="00B446FD" w14:paraId="462C83A0" w14:textId="77777777" w:rsidTr="00302DB5">
        <w:trPr>
          <w:tblHeader/>
        </w:trPr>
        <w:tc>
          <w:tcPr>
            <w:tcW w:w="1471" w:type="pct"/>
            <w:tcBorders>
              <w:top w:val="single" w:sz="4" w:space="0" w:color="auto"/>
              <w:bottom w:val="single" w:sz="4" w:space="0" w:color="auto"/>
            </w:tcBorders>
            <w:shd w:val="clear" w:color="auto" w:fill="5C2946"/>
          </w:tcPr>
          <w:p w14:paraId="5B3B15A7" w14:textId="44A36363" w:rsidR="00B446FD" w:rsidRPr="001F014C" w:rsidRDefault="00B446FD" w:rsidP="001F014C">
            <w:pPr>
              <w:pStyle w:val="TableHead"/>
            </w:pPr>
            <w:r w:rsidRPr="001F014C">
              <w:t>Physical form:</w:t>
            </w:r>
          </w:p>
        </w:tc>
        <w:tc>
          <w:tcPr>
            <w:tcW w:w="3529" w:type="pct"/>
            <w:tcBorders>
              <w:top w:val="single" w:sz="4" w:space="0" w:color="auto"/>
              <w:bottom w:val="single" w:sz="4" w:space="0" w:color="auto"/>
            </w:tcBorders>
          </w:tcPr>
          <w:p w14:paraId="3ADBEBA3" w14:textId="3968B17B" w:rsidR="00B446FD" w:rsidRPr="001F014C" w:rsidRDefault="00B446FD" w:rsidP="001F014C">
            <w:pPr>
              <w:pStyle w:val="TableText"/>
            </w:pPr>
            <w:r w:rsidRPr="001F014C">
              <w:t>Clear amber liquid with an aromatic odour (technical active)</w:t>
            </w:r>
          </w:p>
        </w:tc>
      </w:tr>
      <w:tr w:rsidR="00B446FD" w14:paraId="7E565CCE" w14:textId="77777777" w:rsidTr="00302DB5">
        <w:trPr>
          <w:tblHeader/>
        </w:trPr>
        <w:tc>
          <w:tcPr>
            <w:tcW w:w="1471" w:type="pct"/>
            <w:tcBorders>
              <w:top w:val="single" w:sz="4" w:space="0" w:color="auto"/>
              <w:bottom w:val="single" w:sz="4" w:space="0" w:color="auto"/>
            </w:tcBorders>
            <w:shd w:val="clear" w:color="auto" w:fill="5C2946"/>
          </w:tcPr>
          <w:p w14:paraId="03D8D4F4" w14:textId="4B289C33" w:rsidR="00B446FD" w:rsidRPr="001F014C" w:rsidRDefault="00B446FD" w:rsidP="001F014C">
            <w:pPr>
              <w:pStyle w:val="TableHead"/>
            </w:pPr>
            <w:r w:rsidRPr="001F014C">
              <w:t>Melting point:</w:t>
            </w:r>
          </w:p>
        </w:tc>
        <w:tc>
          <w:tcPr>
            <w:tcW w:w="3529" w:type="pct"/>
            <w:tcBorders>
              <w:top w:val="single" w:sz="4" w:space="0" w:color="auto"/>
              <w:bottom w:val="single" w:sz="4" w:space="0" w:color="auto"/>
            </w:tcBorders>
          </w:tcPr>
          <w:p w14:paraId="69EF0601" w14:textId="570066FE" w:rsidR="00B446FD" w:rsidRPr="001F014C" w:rsidRDefault="00B446FD" w:rsidP="001F014C">
            <w:pPr>
              <w:pStyle w:val="TableText"/>
            </w:pPr>
            <w:r w:rsidRPr="001F014C">
              <w:t>&lt;–25</w:t>
            </w:r>
            <w:r w:rsidR="00656F27">
              <w:t>°</w:t>
            </w:r>
            <w:r w:rsidRPr="001F014C">
              <w:t>C</w:t>
            </w:r>
          </w:p>
        </w:tc>
      </w:tr>
      <w:tr w:rsidR="00B446FD" w14:paraId="005919B0" w14:textId="77777777" w:rsidTr="00302DB5">
        <w:trPr>
          <w:tblHeader/>
        </w:trPr>
        <w:tc>
          <w:tcPr>
            <w:tcW w:w="1471" w:type="pct"/>
            <w:tcBorders>
              <w:top w:val="single" w:sz="4" w:space="0" w:color="auto"/>
              <w:bottom w:val="single" w:sz="4" w:space="0" w:color="auto"/>
            </w:tcBorders>
            <w:shd w:val="clear" w:color="auto" w:fill="5C2946"/>
          </w:tcPr>
          <w:p w14:paraId="0F7013FE" w14:textId="6FFD40C4" w:rsidR="00B446FD" w:rsidRPr="001F014C" w:rsidRDefault="00B446FD" w:rsidP="001F014C">
            <w:pPr>
              <w:pStyle w:val="TableHead"/>
            </w:pPr>
            <w:r w:rsidRPr="001F014C">
              <w:t>Boiling point:</w:t>
            </w:r>
          </w:p>
        </w:tc>
        <w:tc>
          <w:tcPr>
            <w:tcW w:w="3529" w:type="pct"/>
            <w:tcBorders>
              <w:top w:val="single" w:sz="4" w:space="0" w:color="auto"/>
              <w:bottom w:val="single" w:sz="4" w:space="0" w:color="auto"/>
            </w:tcBorders>
          </w:tcPr>
          <w:p w14:paraId="7D45D745" w14:textId="4D310876" w:rsidR="00B446FD" w:rsidRPr="001F014C" w:rsidRDefault="00B446FD" w:rsidP="001F014C">
            <w:pPr>
              <w:pStyle w:val="TableText"/>
            </w:pPr>
            <w:r w:rsidRPr="001F014C">
              <w:t>277.5 to 278.5°C (atmospheric pressure)</w:t>
            </w:r>
          </w:p>
        </w:tc>
      </w:tr>
      <w:tr w:rsidR="00B446FD" w14:paraId="56A8F336" w14:textId="77777777" w:rsidTr="00302DB5">
        <w:trPr>
          <w:tblHeader/>
        </w:trPr>
        <w:tc>
          <w:tcPr>
            <w:tcW w:w="1471" w:type="pct"/>
            <w:tcBorders>
              <w:top w:val="single" w:sz="4" w:space="0" w:color="auto"/>
              <w:bottom w:val="single" w:sz="4" w:space="0" w:color="auto"/>
            </w:tcBorders>
            <w:shd w:val="clear" w:color="auto" w:fill="5C2946"/>
          </w:tcPr>
          <w:p w14:paraId="0E33A934" w14:textId="61AAA326" w:rsidR="00B446FD" w:rsidRPr="001F014C" w:rsidRDefault="00B446FD" w:rsidP="001F014C">
            <w:pPr>
              <w:pStyle w:val="TableHead"/>
            </w:pPr>
            <w:r w:rsidRPr="001F014C">
              <w:t>Specific gravity</w:t>
            </w:r>
          </w:p>
        </w:tc>
        <w:tc>
          <w:tcPr>
            <w:tcW w:w="3529" w:type="pct"/>
            <w:tcBorders>
              <w:top w:val="single" w:sz="4" w:space="0" w:color="auto"/>
              <w:bottom w:val="single" w:sz="4" w:space="0" w:color="auto"/>
            </w:tcBorders>
          </w:tcPr>
          <w:p w14:paraId="3FE6DD66" w14:textId="042B0417" w:rsidR="00B446FD" w:rsidRPr="001F014C" w:rsidRDefault="00B446FD" w:rsidP="001F014C">
            <w:pPr>
              <w:pStyle w:val="TableText"/>
            </w:pPr>
            <w:r w:rsidRPr="001F014C">
              <w:t>1.0643 (20 to 25°C)</w:t>
            </w:r>
          </w:p>
        </w:tc>
      </w:tr>
      <w:tr w:rsidR="00B446FD" w14:paraId="4F7A132D" w14:textId="77777777" w:rsidTr="00302DB5">
        <w:trPr>
          <w:tblHeader/>
        </w:trPr>
        <w:tc>
          <w:tcPr>
            <w:tcW w:w="1471" w:type="pct"/>
            <w:tcBorders>
              <w:top w:val="single" w:sz="4" w:space="0" w:color="auto"/>
              <w:bottom w:val="single" w:sz="4" w:space="0" w:color="auto"/>
            </w:tcBorders>
            <w:shd w:val="clear" w:color="auto" w:fill="5C2946"/>
          </w:tcPr>
          <w:p w14:paraId="5E1F589C" w14:textId="6A41E40F" w:rsidR="00B446FD" w:rsidRPr="001F014C" w:rsidRDefault="00B446FD" w:rsidP="001F014C">
            <w:pPr>
              <w:pStyle w:val="TableHead"/>
            </w:pPr>
            <w:r w:rsidRPr="001F014C">
              <w:t>Solubility in water:</w:t>
            </w:r>
          </w:p>
        </w:tc>
        <w:tc>
          <w:tcPr>
            <w:tcW w:w="3529" w:type="pct"/>
            <w:tcBorders>
              <w:top w:val="single" w:sz="4" w:space="0" w:color="auto"/>
              <w:bottom w:val="single" w:sz="4" w:space="0" w:color="auto"/>
            </w:tcBorders>
          </w:tcPr>
          <w:p w14:paraId="2366F047" w14:textId="694E71C8" w:rsidR="00B446FD" w:rsidRPr="001F014C" w:rsidRDefault="00B446FD" w:rsidP="001F014C">
            <w:pPr>
              <w:pStyle w:val="TableText"/>
            </w:pPr>
            <w:r w:rsidRPr="001F014C">
              <w:t>1100 mg/L (20 to 25°C)</w:t>
            </w:r>
          </w:p>
        </w:tc>
      </w:tr>
      <w:tr w:rsidR="00B446FD" w14:paraId="167ED3B6" w14:textId="77777777" w:rsidTr="00302DB5">
        <w:trPr>
          <w:tblHeader/>
        </w:trPr>
        <w:tc>
          <w:tcPr>
            <w:tcW w:w="1471" w:type="pct"/>
            <w:tcBorders>
              <w:top w:val="single" w:sz="4" w:space="0" w:color="auto"/>
              <w:bottom w:val="single" w:sz="4" w:space="0" w:color="auto"/>
            </w:tcBorders>
            <w:shd w:val="clear" w:color="auto" w:fill="5C2946"/>
          </w:tcPr>
          <w:p w14:paraId="0F47E5EA" w14:textId="68F073DC" w:rsidR="00B446FD" w:rsidRPr="001F014C" w:rsidRDefault="00B446FD" w:rsidP="001F014C">
            <w:pPr>
              <w:pStyle w:val="TableHead"/>
            </w:pPr>
            <w:r w:rsidRPr="001F014C">
              <w:t>Organic solvent solubility (20 to 25oC):</w:t>
            </w:r>
          </w:p>
        </w:tc>
        <w:tc>
          <w:tcPr>
            <w:tcW w:w="3529" w:type="pct"/>
            <w:tcBorders>
              <w:top w:val="single" w:sz="4" w:space="0" w:color="auto"/>
              <w:bottom w:val="single" w:sz="4" w:space="0" w:color="auto"/>
            </w:tcBorders>
          </w:tcPr>
          <w:p w14:paraId="46ABDAA6" w14:textId="597364D3" w:rsidR="00B446FD" w:rsidRPr="001F014C" w:rsidRDefault="00B446FD" w:rsidP="001F014C">
            <w:pPr>
              <w:pStyle w:val="TableText"/>
            </w:pPr>
            <w:r w:rsidRPr="001F014C">
              <w:t>Soluble in acetone, chlorobenzene, dichloromethane, ethanol, ethyl acetate, hexane, kerosene, methanol, n-octanol, toluene and xylene</w:t>
            </w:r>
          </w:p>
        </w:tc>
      </w:tr>
      <w:tr w:rsidR="00B446FD" w14:paraId="1FF4CF26" w14:textId="77777777" w:rsidTr="00302DB5">
        <w:trPr>
          <w:tblHeader/>
        </w:trPr>
        <w:tc>
          <w:tcPr>
            <w:tcW w:w="1471" w:type="pct"/>
            <w:tcBorders>
              <w:top w:val="single" w:sz="4" w:space="0" w:color="auto"/>
              <w:bottom w:val="single" w:sz="4" w:space="0" w:color="auto"/>
            </w:tcBorders>
            <w:shd w:val="clear" w:color="auto" w:fill="5C2946"/>
          </w:tcPr>
          <w:p w14:paraId="48C34DEC" w14:textId="0DBB9CB4" w:rsidR="00B446FD" w:rsidRPr="001F014C" w:rsidRDefault="00B446FD" w:rsidP="001F014C">
            <w:pPr>
              <w:pStyle w:val="TableHead"/>
            </w:pPr>
            <w:r w:rsidRPr="001F014C">
              <w:t>Octanol/water partition coefficient (Log Kow):</w:t>
            </w:r>
          </w:p>
        </w:tc>
        <w:tc>
          <w:tcPr>
            <w:tcW w:w="3529" w:type="pct"/>
            <w:tcBorders>
              <w:top w:val="single" w:sz="4" w:space="0" w:color="auto"/>
              <w:bottom w:val="single" w:sz="4" w:space="0" w:color="auto"/>
            </w:tcBorders>
          </w:tcPr>
          <w:p w14:paraId="151D8F4A" w14:textId="622DEE9D" w:rsidR="00B446FD" w:rsidRPr="001F014C" w:rsidRDefault="00B446FD" w:rsidP="001F014C">
            <w:pPr>
              <w:pStyle w:val="TableText"/>
            </w:pPr>
            <w:r w:rsidRPr="001F014C">
              <w:t>pH 7.85 to 7.94: 2.86</w:t>
            </w:r>
          </w:p>
        </w:tc>
      </w:tr>
      <w:tr w:rsidR="00B446FD" w14:paraId="56EEBDC6" w14:textId="77777777" w:rsidTr="00302DB5">
        <w:trPr>
          <w:tblHeader/>
        </w:trPr>
        <w:tc>
          <w:tcPr>
            <w:tcW w:w="1471" w:type="pct"/>
            <w:tcBorders>
              <w:top w:val="single" w:sz="4" w:space="0" w:color="auto"/>
              <w:bottom w:val="single" w:sz="4" w:space="0" w:color="auto"/>
            </w:tcBorders>
            <w:shd w:val="clear" w:color="auto" w:fill="5C2946"/>
          </w:tcPr>
          <w:p w14:paraId="44D23C40" w14:textId="1FF33FC8" w:rsidR="00B446FD" w:rsidRPr="001F014C" w:rsidRDefault="00B446FD" w:rsidP="001F014C">
            <w:pPr>
              <w:pStyle w:val="TableHead"/>
            </w:pPr>
            <w:r w:rsidRPr="001F014C">
              <w:t>Vapour pressure:</w:t>
            </w:r>
          </w:p>
        </w:tc>
        <w:tc>
          <w:tcPr>
            <w:tcW w:w="3529" w:type="pct"/>
            <w:tcBorders>
              <w:top w:val="single" w:sz="4" w:space="0" w:color="auto"/>
              <w:bottom w:val="single" w:sz="4" w:space="0" w:color="auto"/>
            </w:tcBorders>
          </w:tcPr>
          <w:p w14:paraId="11808FBC" w14:textId="1D95E329" w:rsidR="00B446FD" w:rsidRPr="001F014C" w:rsidRDefault="00B446FD" w:rsidP="001F014C">
            <w:pPr>
              <w:pStyle w:val="TableText"/>
            </w:pPr>
            <w:r w:rsidRPr="001F014C">
              <w:t>500 mPa at 25°C</w:t>
            </w:r>
          </w:p>
        </w:tc>
      </w:tr>
      <w:tr w:rsidR="00B446FD" w14:paraId="06047451" w14:textId="77777777" w:rsidTr="00302DB5">
        <w:trPr>
          <w:tblHeader/>
        </w:trPr>
        <w:tc>
          <w:tcPr>
            <w:tcW w:w="1471" w:type="pct"/>
            <w:tcBorders>
              <w:top w:val="single" w:sz="4" w:space="0" w:color="auto"/>
              <w:bottom w:val="single" w:sz="4" w:space="0" w:color="auto"/>
            </w:tcBorders>
            <w:shd w:val="clear" w:color="auto" w:fill="5C2946"/>
          </w:tcPr>
          <w:p w14:paraId="216DB95E" w14:textId="73EF01CB" w:rsidR="00B446FD" w:rsidRPr="001F014C" w:rsidRDefault="00B446FD" w:rsidP="001F014C">
            <w:pPr>
              <w:pStyle w:val="TableHead"/>
            </w:pPr>
            <w:r w:rsidRPr="001F014C">
              <w:t>Henry’s law constant:</w:t>
            </w:r>
          </w:p>
        </w:tc>
        <w:tc>
          <w:tcPr>
            <w:tcW w:w="3529" w:type="pct"/>
            <w:tcBorders>
              <w:top w:val="single" w:sz="4" w:space="0" w:color="auto"/>
              <w:bottom w:val="single" w:sz="4" w:space="0" w:color="auto"/>
            </w:tcBorders>
          </w:tcPr>
          <w:p w14:paraId="66669C25" w14:textId="1A386D6B" w:rsidR="00B446FD" w:rsidRPr="001F014C" w:rsidRDefault="00B446FD" w:rsidP="001F014C">
            <w:pPr>
              <w:pStyle w:val="TableText"/>
            </w:pPr>
            <w:r w:rsidRPr="001F014C">
              <w:t>0.687 Pa m3/mol-1</w:t>
            </w:r>
          </w:p>
        </w:tc>
      </w:tr>
    </w:tbl>
    <w:p w14:paraId="786C244F" w14:textId="77777777" w:rsidR="00B446FD" w:rsidRDefault="00B446FD" w:rsidP="001F014C">
      <w:pPr>
        <w:pStyle w:val="APVMAText"/>
      </w:pPr>
      <w:r>
        <w:t>Molinate technical active is a moderately volatile amber liquid, with an aromatic odour. It is soluble in a range of polar, aromatic, and aliphatic organic solvents, and only slightly soluble (1.1 g/L) in water.</w:t>
      </w:r>
    </w:p>
    <w:p w14:paraId="67B9DF23" w14:textId="486B6C96" w:rsidR="00B446FD" w:rsidRDefault="00B446FD" w:rsidP="001F014C">
      <w:pPr>
        <w:pStyle w:val="APVMAText"/>
      </w:pPr>
      <w:r>
        <w:t>There are 3 current approvals for molinate, 2 for technical active(s) and one for a manufacturing concentrate.</w:t>
      </w:r>
    </w:p>
    <w:p w14:paraId="288981B8" w14:textId="3C7D5295" w:rsidR="00B446FD" w:rsidRPr="001F014C" w:rsidRDefault="00B446FD" w:rsidP="001F014C">
      <w:pPr>
        <w:pStyle w:val="Caption"/>
      </w:pPr>
      <w:bookmarkStart w:id="18" w:name="_Toc96334724"/>
      <w:r w:rsidRPr="001F014C">
        <w:t xml:space="preserve">Table </w:t>
      </w:r>
      <w:fldSimple w:instr=" SEQ Table \* ARABIC ">
        <w:r w:rsidR="001F014C">
          <w:rPr>
            <w:noProof/>
          </w:rPr>
          <w:t>5</w:t>
        </w:r>
      </w:fldSimple>
      <w:r w:rsidRPr="001F014C">
        <w:t>:</w:t>
      </w:r>
      <w:r w:rsidR="00B10D09">
        <w:t xml:space="preserve"> </w:t>
      </w:r>
      <w:r w:rsidRPr="001F014C">
        <w:t>Current active approvals for molinate</w:t>
      </w:r>
      <w:bookmarkEnd w:id="18"/>
    </w:p>
    <w:tbl>
      <w:tblPr>
        <w:tblW w:w="5000" w:type="pct"/>
        <w:tblBorders>
          <w:bottom w:val="dotted" w:sz="2" w:space="0" w:color="auto"/>
          <w:insideH w:val="dotted" w:sz="2" w:space="0" w:color="auto"/>
        </w:tblBorders>
        <w:tblLook w:val="01E0" w:firstRow="1" w:lastRow="1" w:firstColumn="1" w:lastColumn="1" w:noHBand="0" w:noVBand="0"/>
      </w:tblPr>
      <w:tblGrid>
        <w:gridCol w:w="4811"/>
        <w:gridCol w:w="4827"/>
      </w:tblGrid>
      <w:tr w:rsidR="00B446FD" w14:paraId="39405BDF" w14:textId="77777777" w:rsidTr="00CC1E20">
        <w:trPr>
          <w:cantSplit/>
          <w:tblHeader/>
        </w:trPr>
        <w:tc>
          <w:tcPr>
            <w:tcW w:w="2496" w:type="pct"/>
            <w:tcBorders>
              <w:top w:val="single" w:sz="4" w:space="0" w:color="auto"/>
              <w:bottom w:val="single" w:sz="4" w:space="0" w:color="auto"/>
            </w:tcBorders>
            <w:shd w:val="clear" w:color="auto" w:fill="5C2946"/>
            <w:vAlign w:val="bottom"/>
          </w:tcPr>
          <w:p w14:paraId="3E423AD9" w14:textId="3360D6F7" w:rsidR="00B446FD" w:rsidRPr="001F014C" w:rsidRDefault="00B446FD" w:rsidP="001F014C">
            <w:pPr>
              <w:pStyle w:val="TableHead"/>
            </w:pPr>
            <w:r w:rsidRPr="001F014C">
              <w:t>Approval number</w:t>
            </w:r>
          </w:p>
        </w:tc>
        <w:tc>
          <w:tcPr>
            <w:tcW w:w="2504" w:type="pct"/>
            <w:tcBorders>
              <w:top w:val="single" w:sz="4" w:space="0" w:color="auto"/>
              <w:bottom w:val="single" w:sz="4" w:space="0" w:color="auto"/>
            </w:tcBorders>
            <w:shd w:val="clear" w:color="auto" w:fill="5C2946"/>
            <w:vAlign w:val="bottom"/>
          </w:tcPr>
          <w:p w14:paraId="0DD869DB" w14:textId="7411A577" w:rsidR="00B446FD" w:rsidRPr="001F014C" w:rsidRDefault="00B446FD" w:rsidP="001F014C">
            <w:pPr>
              <w:pStyle w:val="TableHead"/>
            </w:pPr>
            <w:r w:rsidRPr="001F014C">
              <w:t>Approval holder</w:t>
            </w:r>
          </w:p>
        </w:tc>
      </w:tr>
      <w:tr w:rsidR="00B446FD" w14:paraId="7AE40782" w14:textId="77777777" w:rsidTr="001F014C">
        <w:trPr>
          <w:cantSplit/>
        </w:trPr>
        <w:tc>
          <w:tcPr>
            <w:tcW w:w="2496" w:type="pct"/>
            <w:tcBorders>
              <w:top w:val="single" w:sz="4" w:space="0" w:color="auto"/>
              <w:bottom w:val="single" w:sz="4" w:space="0" w:color="auto"/>
            </w:tcBorders>
          </w:tcPr>
          <w:p w14:paraId="33B0F08B" w14:textId="28F9EAAE" w:rsidR="00B446FD" w:rsidRPr="001F014C" w:rsidRDefault="00B446FD" w:rsidP="001F014C">
            <w:pPr>
              <w:pStyle w:val="TableText"/>
            </w:pPr>
            <w:r w:rsidRPr="001F014C">
              <w:t>44008 (molinate manufacturing concentrate)</w:t>
            </w:r>
          </w:p>
        </w:tc>
        <w:tc>
          <w:tcPr>
            <w:tcW w:w="2504" w:type="pct"/>
            <w:tcBorders>
              <w:top w:val="single" w:sz="4" w:space="0" w:color="auto"/>
              <w:bottom w:val="single" w:sz="4" w:space="0" w:color="auto"/>
            </w:tcBorders>
          </w:tcPr>
          <w:p w14:paraId="2608CBC1" w14:textId="16ACE8AF" w:rsidR="00B446FD" w:rsidRPr="001F014C" w:rsidRDefault="00B446FD" w:rsidP="001F014C">
            <w:pPr>
              <w:pStyle w:val="TableText"/>
            </w:pPr>
            <w:r w:rsidRPr="001F014C">
              <w:t>Nufarm Australia Ltd</w:t>
            </w:r>
          </w:p>
        </w:tc>
      </w:tr>
      <w:tr w:rsidR="00B446FD" w14:paraId="6F176F87" w14:textId="77777777" w:rsidTr="001F014C">
        <w:trPr>
          <w:cantSplit/>
        </w:trPr>
        <w:tc>
          <w:tcPr>
            <w:tcW w:w="2496" w:type="pct"/>
            <w:tcBorders>
              <w:top w:val="single" w:sz="4" w:space="0" w:color="auto"/>
              <w:bottom w:val="single" w:sz="4" w:space="0" w:color="auto"/>
            </w:tcBorders>
          </w:tcPr>
          <w:p w14:paraId="58F5C966" w14:textId="02674264" w:rsidR="00B446FD" w:rsidRPr="001F014C" w:rsidRDefault="00B446FD" w:rsidP="001F014C">
            <w:pPr>
              <w:pStyle w:val="TableText"/>
            </w:pPr>
            <w:r w:rsidRPr="001F014C">
              <w:t>44458</w:t>
            </w:r>
          </w:p>
        </w:tc>
        <w:tc>
          <w:tcPr>
            <w:tcW w:w="2504" w:type="pct"/>
            <w:tcBorders>
              <w:top w:val="single" w:sz="4" w:space="0" w:color="auto"/>
              <w:bottom w:val="single" w:sz="4" w:space="0" w:color="auto"/>
            </w:tcBorders>
          </w:tcPr>
          <w:p w14:paraId="683C21D3" w14:textId="4E6AAE60" w:rsidR="00B446FD" w:rsidRPr="001F014C" w:rsidRDefault="00B446FD" w:rsidP="001F014C">
            <w:pPr>
              <w:pStyle w:val="TableText"/>
            </w:pPr>
            <w:r w:rsidRPr="001F014C">
              <w:t>Nufarm Australia Ltd</w:t>
            </w:r>
          </w:p>
        </w:tc>
      </w:tr>
      <w:tr w:rsidR="00B446FD" w14:paraId="484C2183" w14:textId="77777777" w:rsidTr="001F014C">
        <w:trPr>
          <w:cantSplit/>
        </w:trPr>
        <w:tc>
          <w:tcPr>
            <w:tcW w:w="2496" w:type="pct"/>
            <w:tcBorders>
              <w:top w:val="single" w:sz="4" w:space="0" w:color="auto"/>
              <w:bottom w:val="single" w:sz="4" w:space="0" w:color="auto"/>
            </w:tcBorders>
          </w:tcPr>
          <w:p w14:paraId="3BB9DED7" w14:textId="6DB06D9E" w:rsidR="00B446FD" w:rsidRPr="001F014C" w:rsidRDefault="00B446FD" w:rsidP="001F014C">
            <w:pPr>
              <w:pStyle w:val="TableText"/>
            </w:pPr>
            <w:r w:rsidRPr="001F014C">
              <w:t>52439</w:t>
            </w:r>
          </w:p>
        </w:tc>
        <w:tc>
          <w:tcPr>
            <w:tcW w:w="2504" w:type="pct"/>
            <w:tcBorders>
              <w:top w:val="single" w:sz="4" w:space="0" w:color="auto"/>
              <w:bottom w:val="single" w:sz="4" w:space="0" w:color="auto"/>
            </w:tcBorders>
          </w:tcPr>
          <w:p w14:paraId="64A6C488" w14:textId="246A47F4" w:rsidR="00B446FD" w:rsidRPr="001F014C" w:rsidRDefault="00B446FD" w:rsidP="001F014C">
            <w:pPr>
              <w:pStyle w:val="TableText"/>
            </w:pPr>
            <w:r w:rsidRPr="001F014C">
              <w:t>Sipcam Pacific Australia Pty Ltd</w:t>
            </w:r>
          </w:p>
        </w:tc>
      </w:tr>
    </w:tbl>
    <w:p w14:paraId="483E3323" w14:textId="79172656" w:rsidR="00B446FD" w:rsidRPr="00CA3748" w:rsidRDefault="00B446FD" w:rsidP="001F014C">
      <w:pPr>
        <w:pStyle w:val="APVMAText"/>
      </w:pPr>
      <w:r>
        <w:t xml:space="preserve">A </w:t>
      </w:r>
      <w:r w:rsidRPr="00B446FD">
        <w:t>Food and Agriculture Organization</w:t>
      </w:r>
      <w:r w:rsidRPr="00C6296D">
        <w:t xml:space="preserve"> </w:t>
      </w:r>
      <w:r>
        <w:t>(</w:t>
      </w:r>
      <w:r w:rsidRPr="00C6296D">
        <w:t>FAO</w:t>
      </w:r>
      <w:r>
        <w:t>)</w:t>
      </w:r>
      <w:r w:rsidRPr="00C6296D">
        <w:t xml:space="preserve"> specification has not been established for molinate or its formulated products.</w:t>
      </w:r>
      <w:r>
        <w:t xml:space="preserve"> </w:t>
      </w:r>
      <w:r w:rsidRPr="00C6296D">
        <w:t xml:space="preserve">The APVMA </w:t>
      </w:r>
      <w:r>
        <w:t xml:space="preserve">proposes to </w:t>
      </w:r>
      <w:r w:rsidRPr="00C6296D">
        <w:t xml:space="preserve">establish a </w:t>
      </w:r>
      <w:hyperlink r:id="rId31" w:history="1">
        <w:r w:rsidRPr="00C6296D">
          <w:rPr>
            <w:rStyle w:val="Hyperlink"/>
            <w:color w:val="auto"/>
            <w:u w:val="none"/>
          </w:rPr>
          <w:t>standard for the active constituent molinate</w:t>
        </w:r>
        <w:r>
          <w:rPr>
            <w:rStyle w:val="Hyperlink"/>
            <w:color w:val="auto"/>
            <w:u w:val="none"/>
          </w:rPr>
          <w:t>.</w:t>
        </w:r>
        <w:r w:rsidRPr="00C6296D">
          <w:rPr>
            <w:rStyle w:val="Hyperlink"/>
            <w:color w:val="auto"/>
            <w:u w:val="none"/>
          </w:rPr>
          <w:t xml:space="preserve"> </w:t>
        </w:r>
      </w:hyperlink>
      <w:r w:rsidRPr="00C6296D">
        <w:t>The minimum purity</w:t>
      </w:r>
      <w:r>
        <w:t xml:space="preserve"> of the standard will be established </w:t>
      </w:r>
      <w:r w:rsidRPr="00C6296D">
        <w:t>so that it applies to</w:t>
      </w:r>
      <w:r>
        <w:t xml:space="preserve"> active constituents and </w:t>
      </w:r>
      <w:r w:rsidRPr="00C6296D">
        <w:t>manufacturing concentrates on a dry weigh</w:t>
      </w:r>
      <w:r>
        <w:t>t</w:t>
      </w:r>
      <w:r w:rsidRPr="00C6296D">
        <w:t>/solvent free basis.</w:t>
      </w:r>
    </w:p>
    <w:p w14:paraId="10886D4B" w14:textId="145EED24" w:rsidR="00B446FD" w:rsidRPr="001F014C" w:rsidRDefault="00B446FD" w:rsidP="001F014C">
      <w:pPr>
        <w:pStyle w:val="Heading2"/>
      </w:pPr>
      <w:bookmarkStart w:id="19" w:name="_Toc96334684"/>
      <w:r w:rsidRPr="001F014C">
        <w:t>Formulated products</w:t>
      </w:r>
      <w:bookmarkEnd w:id="19"/>
    </w:p>
    <w:p w14:paraId="510F0B2E" w14:textId="495D6889" w:rsidR="00B446FD" w:rsidRPr="00B446FD" w:rsidRDefault="00B446FD" w:rsidP="001F014C">
      <w:pPr>
        <w:pStyle w:val="APVMAText"/>
      </w:pPr>
      <w:r>
        <w:t>There are 2</w:t>
      </w:r>
      <w:r w:rsidRPr="00B446FD">
        <w:t xml:space="preserve"> registered products containing molinate. How these products are formulated and the composition and form of constituents in the products has previously been assessed as acceptable.</w:t>
      </w:r>
    </w:p>
    <w:p w14:paraId="61AC54EC" w14:textId="6038068B" w:rsidR="00B446FD" w:rsidRDefault="00B446FD" w:rsidP="00B446FD">
      <w:pPr>
        <w:pStyle w:val="Caption"/>
      </w:pPr>
      <w:bookmarkStart w:id="20" w:name="_Toc96334725"/>
      <w:r>
        <w:t xml:space="preserve">Table </w:t>
      </w:r>
      <w:r>
        <w:rPr>
          <w:noProof/>
        </w:rPr>
        <w:fldChar w:fldCharType="begin"/>
      </w:r>
      <w:r>
        <w:rPr>
          <w:noProof/>
        </w:rPr>
        <w:instrText xml:space="preserve"> SEQ Table \* ARABIC </w:instrText>
      </w:r>
      <w:r>
        <w:rPr>
          <w:noProof/>
        </w:rPr>
        <w:fldChar w:fldCharType="separate"/>
      </w:r>
      <w:r w:rsidR="001F014C">
        <w:rPr>
          <w:noProof/>
        </w:rPr>
        <w:t>6</w:t>
      </w:r>
      <w:r>
        <w:rPr>
          <w:noProof/>
        </w:rPr>
        <w:fldChar w:fldCharType="end"/>
      </w:r>
      <w:r>
        <w:t>:</w:t>
      </w:r>
      <w:r w:rsidR="00B10D09">
        <w:t xml:space="preserve"> </w:t>
      </w:r>
      <w:r>
        <w:t>Currently registered products containing molinate</w:t>
      </w:r>
      <w:bookmarkEnd w:id="20"/>
    </w:p>
    <w:tbl>
      <w:tblPr>
        <w:tblW w:w="5000" w:type="pct"/>
        <w:tblBorders>
          <w:bottom w:val="dotted" w:sz="2" w:space="0" w:color="auto"/>
          <w:insideH w:val="dotted" w:sz="2" w:space="0" w:color="auto"/>
        </w:tblBorders>
        <w:tblLook w:val="01E0" w:firstRow="1" w:lastRow="1" w:firstColumn="1" w:lastColumn="1" w:noHBand="0" w:noVBand="0"/>
      </w:tblPr>
      <w:tblGrid>
        <w:gridCol w:w="2552"/>
        <w:gridCol w:w="3871"/>
        <w:gridCol w:w="3215"/>
      </w:tblGrid>
      <w:tr w:rsidR="00B446FD" w14:paraId="74805EDD" w14:textId="4D6223D6" w:rsidTr="00CC1E20">
        <w:trPr>
          <w:cantSplit/>
          <w:tblHeader/>
        </w:trPr>
        <w:tc>
          <w:tcPr>
            <w:tcW w:w="1324" w:type="pct"/>
            <w:tcBorders>
              <w:top w:val="single" w:sz="4" w:space="0" w:color="auto"/>
              <w:bottom w:val="single" w:sz="4" w:space="0" w:color="auto"/>
            </w:tcBorders>
            <w:shd w:val="clear" w:color="auto" w:fill="5C2946"/>
            <w:vAlign w:val="bottom"/>
          </w:tcPr>
          <w:p w14:paraId="2B42D3DA" w14:textId="1C0FA992" w:rsidR="00B446FD" w:rsidRPr="001F014C" w:rsidRDefault="00B446FD" w:rsidP="001F014C">
            <w:pPr>
              <w:pStyle w:val="TableHead"/>
            </w:pPr>
            <w:r w:rsidRPr="001F014C">
              <w:t>Registration number</w:t>
            </w:r>
          </w:p>
        </w:tc>
        <w:tc>
          <w:tcPr>
            <w:tcW w:w="2008" w:type="pct"/>
            <w:tcBorders>
              <w:top w:val="single" w:sz="4" w:space="0" w:color="auto"/>
              <w:bottom w:val="single" w:sz="4" w:space="0" w:color="auto"/>
            </w:tcBorders>
            <w:shd w:val="clear" w:color="auto" w:fill="5C2946"/>
            <w:vAlign w:val="bottom"/>
          </w:tcPr>
          <w:p w14:paraId="3DC61E2C" w14:textId="732FC19B" w:rsidR="00B446FD" w:rsidRPr="001F014C" w:rsidRDefault="00B446FD" w:rsidP="001F014C">
            <w:pPr>
              <w:pStyle w:val="TableHead"/>
            </w:pPr>
            <w:r w:rsidRPr="001F014C">
              <w:t>Holder</w:t>
            </w:r>
          </w:p>
        </w:tc>
        <w:tc>
          <w:tcPr>
            <w:tcW w:w="1668" w:type="pct"/>
            <w:tcBorders>
              <w:top w:val="single" w:sz="4" w:space="0" w:color="auto"/>
              <w:bottom w:val="single" w:sz="4" w:space="0" w:color="auto"/>
            </w:tcBorders>
            <w:shd w:val="clear" w:color="auto" w:fill="5C2946"/>
          </w:tcPr>
          <w:p w14:paraId="4905AE6B" w14:textId="3AC0A939" w:rsidR="00B446FD" w:rsidRPr="001F014C" w:rsidRDefault="00B446FD" w:rsidP="001F014C">
            <w:pPr>
              <w:pStyle w:val="TableHead"/>
            </w:pPr>
            <w:r w:rsidRPr="001F014C">
              <w:t>Product name</w:t>
            </w:r>
          </w:p>
        </w:tc>
      </w:tr>
      <w:tr w:rsidR="00B446FD" w14:paraId="5E3A3DDB" w14:textId="7A012B5D" w:rsidTr="001F014C">
        <w:trPr>
          <w:cantSplit/>
        </w:trPr>
        <w:tc>
          <w:tcPr>
            <w:tcW w:w="5000" w:type="pct"/>
            <w:gridSpan w:val="3"/>
            <w:tcBorders>
              <w:top w:val="single" w:sz="4" w:space="0" w:color="auto"/>
              <w:bottom w:val="single" w:sz="4" w:space="0" w:color="auto"/>
            </w:tcBorders>
          </w:tcPr>
          <w:p w14:paraId="19E98F97" w14:textId="1216BF10" w:rsidR="00B446FD" w:rsidRPr="001F014C" w:rsidRDefault="00B446FD" w:rsidP="001F014C">
            <w:pPr>
              <w:pStyle w:val="TableSubHead"/>
            </w:pPr>
            <w:r w:rsidRPr="001F014C">
              <w:t>Emulsifiable concentrate (EC) formulation containing 960 g/L molinate</w:t>
            </w:r>
          </w:p>
        </w:tc>
      </w:tr>
      <w:tr w:rsidR="00B446FD" w14:paraId="4D40EAA6" w14:textId="303650A0" w:rsidTr="001F014C">
        <w:trPr>
          <w:cantSplit/>
        </w:trPr>
        <w:tc>
          <w:tcPr>
            <w:tcW w:w="1324" w:type="pct"/>
            <w:tcBorders>
              <w:top w:val="single" w:sz="4" w:space="0" w:color="auto"/>
              <w:bottom w:val="single" w:sz="4" w:space="0" w:color="auto"/>
            </w:tcBorders>
          </w:tcPr>
          <w:p w14:paraId="7B63DB83" w14:textId="74B3EEB7" w:rsidR="00B446FD" w:rsidRPr="001F014C" w:rsidRDefault="00B446FD" w:rsidP="001F014C">
            <w:pPr>
              <w:pStyle w:val="TableText"/>
            </w:pPr>
            <w:r w:rsidRPr="001F014C">
              <w:t>49597</w:t>
            </w:r>
          </w:p>
        </w:tc>
        <w:tc>
          <w:tcPr>
            <w:tcW w:w="2008" w:type="pct"/>
            <w:tcBorders>
              <w:top w:val="single" w:sz="4" w:space="0" w:color="auto"/>
              <w:bottom w:val="single" w:sz="4" w:space="0" w:color="auto"/>
            </w:tcBorders>
          </w:tcPr>
          <w:p w14:paraId="40E93271" w14:textId="35D9DA24" w:rsidR="00B446FD" w:rsidRPr="001F014C" w:rsidRDefault="00B446FD" w:rsidP="001F014C">
            <w:pPr>
              <w:pStyle w:val="TableText"/>
            </w:pPr>
            <w:r w:rsidRPr="001F014C">
              <w:t>Nufarm Australia Ltd</w:t>
            </w:r>
          </w:p>
        </w:tc>
        <w:tc>
          <w:tcPr>
            <w:tcW w:w="1668" w:type="pct"/>
            <w:tcBorders>
              <w:top w:val="single" w:sz="4" w:space="0" w:color="auto"/>
              <w:bottom w:val="single" w:sz="4" w:space="0" w:color="auto"/>
            </w:tcBorders>
          </w:tcPr>
          <w:p w14:paraId="2EBFC984" w14:textId="01927411" w:rsidR="00B446FD" w:rsidRPr="001F014C" w:rsidRDefault="00B446FD" w:rsidP="001F014C">
            <w:pPr>
              <w:pStyle w:val="TableText"/>
            </w:pPr>
            <w:r w:rsidRPr="001F014C">
              <w:t>Ordram Herbicide</w:t>
            </w:r>
          </w:p>
        </w:tc>
      </w:tr>
      <w:tr w:rsidR="00B446FD" w14:paraId="0D55A3C1" w14:textId="0EA29A0F" w:rsidTr="001F014C">
        <w:trPr>
          <w:cantSplit/>
        </w:trPr>
        <w:tc>
          <w:tcPr>
            <w:tcW w:w="1324" w:type="pct"/>
            <w:tcBorders>
              <w:top w:val="single" w:sz="4" w:space="0" w:color="auto"/>
              <w:bottom w:val="single" w:sz="4" w:space="0" w:color="auto"/>
            </w:tcBorders>
          </w:tcPr>
          <w:p w14:paraId="4E76B4BA" w14:textId="6A7B739C" w:rsidR="00B446FD" w:rsidRPr="001F014C" w:rsidRDefault="00B446FD" w:rsidP="001F014C">
            <w:pPr>
              <w:pStyle w:val="TableText"/>
            </w:pPr>
            <w:r w:rsidRPr="001F014C">
              <w:t>56744</w:t>
            </w:r>
          </w:p>
        </w:tc>
        <w:tc>
          <w:tcPr>
            <w:tcW w:w="2008" w:type="pct"/>
            <w:tcBorders>
              <w:top w:val="single" w:sz="4" w:space="0" w:color="auto"/>
              <w:bottom w:val="single" w:sz="4" w:space="0" w:color="auto"/>
            </w:tcBorders>
          </w:tcPr>
          <w:p w14:paraId="3B0015EB" w14:textId="1D0F13CC" w:rsidR="00B446FD" w:rsidRPr="001F014C" w:rsidRDefault="00B446FD" w:rsidP="001F014C">
            <w:pPr>
              <w:pStyle w:val="TableText"/>
            </w:pPr>
            <w:r w:rsidRPr="001F014C">
              <w:t>Sipcam Pacific Australia Pty Ltd</w:t>
            </w:r>
          </w:p>
        </w:tc>
        <w:tc>
          <w:tcPr>
            <w:tcW w:w="1668" w:type="pct"/>
            <w:tcBorders>
              <w:top w:val="single" w:sz="4" w:space="0" w:color="auto"/>
              <w:bottom w:val="single" w:sz="4" w:space="0" w:color="auto"/>
            </w:tcBorders>
          </w:tcPr>
          <w:p w14:paraId="0EFCE168" w14:textId="66773C2B" w:rsidR="00B446FD" w:rsidRPr="001F014C" w:rsidRDefault="00B446FD" w:rsidP="001F014C">
            <w:pPr>
              <w:pStyle w:val="TableText"/>
            </w:pPr>
            <w:r w:rsidRPr="001F014C">
              <w:t>Sirion Herbicide</w:t>
            </w:r>
          </w:p>
        </w:tc>
      </w:tr>
    </w:tbl>
    <w:p w14:paraId="7B77D41E" w14:textId="77777777" w:rsidR="00B446FD" w:rsidRDefault="00B446FD" w:rsidP="00B446FD">
      <w:pPr>
        <w:sectPr w:rsidR="00B446FD">
          <w:headerReference w:type="default" r:id="rId32"/>
          <w:pgSz w:w="11906" w:h="16838" w:code="9"/>
          <w:pgMar w:top="2835" w:right="1134" w:bottom="1134" w:left="1134" w:header="1701" w:footer="680" w:gutter="0"/>
          <w:cols w:space="708"/>
          <w:docGrid w:linePitch="360"/>
        </w:sectPr>
      </w:pPr>
    </w:p>
    <w:p w14:paraId="18BC4005" w14:textId="152D104B" w:rsidR="00B446FD" w:rsidRPr="001F014C" w:rsidRDefault="00B446FD" w:rsidP="001F014C">
      <w:pPr>
        <w:pStyle w:val="Heading1"/>
      </w:pPr>
      <w:bookmarkStart w:id="21" w:name="_Toc96334685"/>
      <w:r w:rsidRPr="001F014C">
        <w:t>Toxicology</w:t>
      </w:r>
      <w:bookmarkEnd w:id="21"/>
    </w:p>
    <w:p w14:paraId="6E35D9B4" w14:textId="467473C2" w:rsidR="00B446FD" w:rsidRPr="00B446FD" w:rsidRDefault="00B446FD" w:rsidP="001F014C">
      <w:pPr>
        <w:pStyle w:val="APVMAText"/>
      </w:pPr>
      <w:r w:rsidRPr="00B446FD">
        <w:t>The original assessment of molinate (</w:t>
      </w:r>
      <w:r w:rsidR="001F014C" w:rsidRPr="001F014C">
        <w:rPr>
          <w:rFonts w:eastAsia="Arial Unicode MS"/>
        </w:rPr>
        <w:t>Toxicity Unit Information System</w:t>
      </w:r>
      <w:r w:rsidR="001F014C" w:rsidRPr="00B446FD">
        <w:t xml:space="preserve"> </w:t>
      </w:r>
      <w:r w:rsidR="001F014C">
        <w:t>(</w:t>
      </w:r>
      <w:r w:rsidRPr="00B446FD">
        <w:t>TUIS</w:t>
      </w:r>
      <w:r w:rsidR="001F014C">
        <w:t>)</w:t>
      </w:r>
      <w:r w:rsidRPr="00B446FD">
        <w:t xml:space="preserve">, 1986) considered metabolism and toxicokinetics studies, chronic toxicology studies, reproduction and developmental studies, and carcinogenicity studies. The preliminary review findings (APVMA, 2014) considered the toxicology of molinate based on consideration of submitted studies and the </w:t>
      </w:r>
      <w:r w:rsidRPr="006A6B20">
        <w:rPr>
          <w:iCs/>
        </w:rPr>
        <w:t>United States Environmental Protection Agency (US EPA) Revised Human Health Risk Assessment for Molinate</w:t>
      </w:r>
      <w:r w:rsidRPr="00B446FD">
        <w:rPr>
          <w:i/>
        </w:rPr>
        <w:t xml:space="preserve"> </w:t>
      </w:r>
      <w:r w:rsidRPr="00B446FD">
        <w:t xml:space="preserve">(2001). These assessments and other </w:t>
      </w:r>
      <w:r w:rsidR="001F014C" w:rsidRPr="00B446FD">
        <w:t>publicly</w:t>
      </w:r>
      <w:r w:rsidRPr="00B446FD">
        <w:t xml:space="preserve"> available information have been considered here.</w:t>
      </w:r>
    </w:p>
    <w:p w14:paraId="7CD6D1A7" w14:textId="37053AF6" w:rsidR="00B446FD" w:rsidRPr="001F014C" w:rsidRDefault="00B446FD" w:rsidP="001F014C">
      <w:pPr>
        <w:pStyle w:val="Heading2"/>
      </w:pPr>
      <w:bookmarkStart w:id="22" w:name="_Toc96334686"/>
      <w:r w:rsidRPr="001F014C">
        <w:t>Metabolism and toxicokinetics</w:t>
      </w:r>
      <w:bookmarkEnd w:id="22"/>
    </w:p>
    <w:p w14:paraId="592AC820" w14:textId="48B5310C" w:rsidR="00B446FD" w:rsidRDefault="00B446FD" w:rsidP="001F014C">
      <w:pPr>
        <w:pStyle w:val="APVMAText"/>
      </w:pPr>
      <w:r w:rsidRPr="00D320F2">
        <w:t xml:space="preserve">Available data indicates that following oral dosing </w:t>
      </w:r>
      <w:r w:rsidRPr="00435A70">
        <w:rPr>
          <w:vertAlign w:val="superscript"/>
        </w:rPr>
        <w:t>14</w:t>
      </w:r>
      <w:r>
        <w:t>C-</w:t>
      </w:r>
      <w:r w:rsidRPr="00D320F2">
        <w:t>molinate is rapidly metabolized by rats. Under low dose conditions the likely major pathway of metabolism is cytochrome P450-mediated ring hydroxylation to form</w:t>
      </w:r>
      <w:r w:rsidR="006A6B20">
        <w:t xml:space="preserve"> </w:t>
      </w:r>
      <w:r w:rsidRPr="00D320F2">
        <w:t>4-hydroxy molinate which then undergoes conjugation. Under high dose conditions the predominant pathway is likely via cytochrome P450-mediated sulfoxidation of the thiocarbamate side chain followed by either conjugation with glutathione or further cytochrome P450-mediated oxidation to molinate sulfone</w:t>
      </w:r>
      <w:r>
        <w:t xml:space="preserve"> (Jewell, W.T. and Miller, M.G (1999))</w:t>
      </w:r>
      <w:r w:rsidRPr="00D320F2">
        <w:t>. Glutathione conjugates are then eventually further metabolised to molinate mercapturate. Molinate sulfone is further metabolised by cleavage of the sulfone sidechain and the formation of hexahydroazepine.</w:t>
      </w:r>
    </w:p>
    <w:p w14:paraId="594C64C4" w14:textId="13B6D1BF" w:rsidR="00B446FD" w:rsidRPr="00D320F2" w:rsidRDefault="00B446FD" w:rsidP="001F014C">
      <w:pPr>
        <w:pStyle w:val="APVMAText"/>
      </w:pPr>
      <w:r w:rsidRPr="00D320F2">
        <w:t>Based on studies with thiocabamate</w:t>
      </w:r>
      <w:r>
        <w:t>-</w:t>
      </w:r>
      <w:r w:rsidRPr="00D320F2">
        <w:t xml:space="preserve">labelled </w:t>
      </w:r>
      <w:r w:rsidRPr="00CC0DDB">
        <w:rPr>
          <w:vertAlign w:val="superscript"/>
        </w:rPr>
        <w:t>14</w:t>
      </w:r>
      <w:r w:rsidRPr="00D320F2">
        <w:t>C-mol</w:t>
      </w:r>
      <w:r>
        <w:t xml:space="preserve">inate, about 50% </w:t>
      </w:r>
      <w:r w:rsidRPr="00D320F2">
        <w:t xml:space="preserve">of administered radioactivity is eventually metabolised to carbon dioxide and excreted via exhalation with the remaining balance of the administered radioactivity being excreted in urine and faeces. </w:t>
      </w:r>
      <w:r w:rsidRPr="00CC0DDB">
        <w:rPr>
          <w:i/>
        </w:rPr>
        <w:t>In vitro</w:t>
      </w:r>
      <w:r w:rsidRPr="00D320F2">
        <w:t xml:space="preserve"> data suggest that humans are more capable than the rats to detoxify the sulfoxide via glutathione conjugation</w:t>
      </w:r>
      <w:r>
        <w:t xml:space="preserve"> (Jewell, W.T and Miller, M.G. (1999)).</w:t>
      </w:r>
    </w:p>
    <w:p w14:paraId="62C297AE" w14:textId="5609855A" w:rsidR="00B446FD" w:rsidRDefault="00B446FD" w:rsidP="001F014C">
      <w:pPr>
        <w:pStyle w:val="APVMAText"/>
      </w:pPr>
      <w:r>
        <w:rPr>
          <w:lang w:val="en"/>
        </w:rPr>
        <w:t xml:space="preserve">Following oral dosing of rats with ring labeled </w:t>
      </w:r>
      <w:r w:rsidRPr="005354D7">
        <w:rPr>
          <w:vertAlign w:val="superscript"/>
          <w:lang w:val="en"/>
        </w:rPr>
        <w:t>14</w:t>
      </w:r>
      <w:r>
        <w:rPr>
          <w:lang w:val="en"/>
        </w:rPr>
        <w:t xml:space="preserve">C-molinate, about 88% of the administered radioactivity was excreted in urine and about 11% was excreted in feces. Excretion was </w:t>
      </w:r>
      <w:r w:rsidRPr="005354D7">
        <w:rPr>
          <w:lang w:val="en"/>
        </w:rPr>
        <w:t>95</w:t>
      </w:r>
      <w:r>
        <w:rPr>
          <w:lang w:val="en"/>
        </w:rPr>
        <w:t xml:space="preserve">% to 96% complete by 48 hours following dosing. </w:t>
      </w:r>
      <w:r w:rsidRPr="005354D7">
        <w:rPr>
          <w:lang w:val="en"/>
        </w:rPr>
        <w:t>Tissue levels were approximately 13.8</w:t>
      </w:r>
      <w:r>
        <w:rPr>
          <w:lang w:val="en"/>
        </w:rPr>
        <w:t>%</w:t>
      </w:r>
      <w:r w:rsidRPr="005354D7">
        <w:rPr>
          <w:lang w:val="en"/>
        </w:rPr>
        <w:t xml:space="preserve"> </w:t>
      </w:r>
      <w:r>
        <w:rPr>
          <w:lang w:val="en"/>
        </w:rPr>
        <w:t>of the administered dose after one</w:t>
      </w:r>
      <w:r w:rsidRPr="005354D7">
        <w:rPr>
          <w:lang w:val="en"/>
        </w:rPr>
        <w:t xml:space="preserve"> day and 3.7</w:t>
      </w:r>
      <w:r>
        <w:rPr>
          <w:lang w:val="en"/>
        </w:rPr>
        <w:t>% after 7 </w:t>
      </w:r>
      <w:r w:rsidRPr="005354D7">
        <w:rPr>
          <w:lang w:val="en"/>
        </w:rPr>
        <w:t>days</w:t>
      </w:r>
      <w:r>
        <w:rPr>
          <w:lang w:val="en"/>
        </w:rPr>
        <w:t>. There was no evidence of bioaccumulation.</w:t>
      </w:r>
    </w:p>
    <w:p w14:paraId="5E41DE4D" w14:textId="7579F07A" w:rsidR="00B446FD" w:rsidRDefault="00B446FD" w:rsidP="001F014C">
      <w:pPr>
        <w:pStyle w:val="APVMAText"/>
      </w:pPr>
      <w:r>
        <w:t xml:space="preserve">Residues of concern in plants include molinate, 4-hydroxymolinate and molinate acid. However, because of the timing of application of molinate to rice paddies in Australia, plant residues of concern are considered unlikely to occur in treated rice (see </w:t>
      </w:r>
      <w:r w:rsidRPr="00CC1E20">
        <w:rPr>
          <w:i/>
          <w:iCs/>
        </w:rPr>
        <w:t>Residues and Trade</w:t>
      </w:r>
      <w:r>
        <w:t>).</w:t>
      </w:r>
    </w:p>
    <w:p w14:paraId="1FFA25FD" w14:textId="6ADB193A" w:rsidR="00B446FD" w:rsidRDefault="00B446FD" w:rsidP="001F014C">
      <w:pPr>
        <w:pStyle w:val="APVMAText"/>
      </w:pPr>
      <w:r>
        <w:t xml:space="preserve">No dermal absorption data were submitted for evaluation. The US EPA (2001) has recommended a dermal absorption factor (DAF) of 0.4 (40% dermal absorption), which has been used in this assessment. An inhalation absorption factor (IAF) of 100% </w:t>
      </w:r>
      <w:r w:rsidRPr="00A35DAB">
        <w:t>ha</w:t>
      </w:r>
      <w:r>
        <w:t>s been used for occupational exposure assessment</w:t>
      </w:r>
      <w:r w:rsidRPr="00A35DAB">
        <w:t>.</w:t>
      </w:r>
    </w:p>
    <w:p w14:paraId="5EB3C83B" w14:textId="5B923B2E" w:rsidR="00B446FD" w:rsidRPr="001F014C" w:rsidRDefault="00B446FD" w:rsidP="001F014C">
      <w:pPr>
        <w:pStyle w:val="Heading2"/>
      </w:pPr>
      <w:bookmarkStart w:id="23" w:name="_Toc96334687"/>
      <w:r w:rsidRPr="001F014C">
        <w:t>Acute toxicology</w:t>
      </w:r>
      <w:bookmarkEnd w:id="23"/>
    </w:p>
    <w:p w14:paraId="78EA6DC4" w14:textId="075DEAAE" w:rsidR="00B446FD" w:rsidRPr="00B446FD" w:rsidRDefault="00B446FD" w:rsidP="001F014C">
      <w:pPr>
        <w:pStyle w:val="APVMAText"/>
      </w:pPr>
      <w:r w:rsidRPr="00B446FD">
        <w:t xml:space="preserve">Based on the study available in the </w:t>
      </w:r>
      <w:r w:rsidRPr="006A6B20">
        <w:rPr>
          <w:iCs/>
        </w:rPr>
        <w:t xml:space="preserve">US EPA Revised Human Health Risk Assessment for Molinate </w:t>
      </w:r>
      <w:r w:rsidRPr="00B446FD">
        <w:t xml:space="preserve">(2001) and the data submitted to the APVMA by SIPCAM Pacific Australia (SIPCAM), sufficient relevant data were available for evaluation. The acute toxicology findings relevant to human hazard assessment are shown in Table </w:t>
      </w:r>
      <w:r w:rsidR="001F014C">
        <w:t>7</w:t>
      </w:r>
      <w:r w:rsidRPr="00B446FD">
        <w:t xml:space="preserve"> (APVMA, 2004; US EPA, 2001). Critically, the US EPA has determined that acute exposure to molinate is a potential cause of delayed neuropathy in the relevant animal model.</w:t>
      </w:r>
    </w:p>
    <w:p w14:paraId="599AA72C" w14:textId="591E9AB5" w:rsidR="00B446FD" w:rsidRPr="001F014C" w:rsidRDefault="00B446FD" w:rsidP="001F014C">
      <w:pPr>
        <w:pStyle w:val="Caption"/>
      </w:pPr>
      <w:bookmarkStart w:id="24" w:name="_Toc96334726"/>
      <w:r w:rsidRPr="001F014C">
        <w:t xml:space="preserve">Table </w:t>
      </w:r>
      <w:fldSimple w:instr=" SEQ Table \* ARABIC ">
        <w:r w:rsidR="001F014C">
          <w:rPr>
            <w:noProof/>
          </w:rPr>
          <w:t>7</w:t>
        </w:r>
      </w:fldSimple>
      <w:r w:rsidRPr="001F014C">
        <w:t>:</w:t>
      </w:r>
      <w:r w:rsidR="00B10D09">
        <w:t xml:space="preserve"> </w:t>
      </w:r>
      <w:r w:rsidRPr="001F014C">
        <w:t>Acute toxicology of molinate</w:t>
      </w:r>
      <w:bookmarkEnd w:id="24"/>
    </w:p>
    <w:tbl>
      <w:tblPr>
        <w:tblW w:w="5000" w:type="pct"/>
        <w:tblBorders>
          <w:bottom w:val="dotted" w:sz="2" w:space="0" w:color="auto"/>
          <w:insideH w:val="dotted" w:sz="2" w:space="0" w:color="auto"/>
        </w:tblBorders>
        <w:tblLook w:val="01E0" w:firstRow="1" w:lastRow="1" w:firstColumn="1" w:lastColumn="1" w:noHBand="0" w:noVBand="0"/>
      </w:tblPr>
      <w:tblGrid>
        <w:gridCol w:w="3830"/>
        <w:gridCol w:w="5808"/>
      </w:tblGrid>
      <w:tr w:rsidR="00B446FD" w14:paraId="7565F32B" w14:textId="77777777" w:rsidTr="00CC1E20">
        <w:trPr>
          <w:cantSplit/>
          <w:tblHeader/>
        </w:trPr>
        <w:tc>
          <w:tcPr>
            <w:tcW w:w="1987" w:type="pct"/>
            <w:tcBorders>
              <w:top w:val="single" w:sz="4" w:space="0" w:color="auto"/>
              <w:bottom w:val="single" w:sz="4" w:space="0" w:color="auto"/>
            </w:tcBorders>
            <w:shd w:val="clear" w:color="auto" w:fill="5C2946"/>
            <w:vAlign w:val="bottom"/>
          </w:tcPr>
          <w:p w14:paraId="1D0C16AF" w14:textId="6972D98A" w:rsidR="00B446FD" w:rsidRPr="001F014C" w:rsidRDefault="00B446FD" w:rsidP="001F014C">
            <w:pPr>
              <w:pStyle w:val="TableHead"/>
            </w:pPr>
            <w:r w:rsidRPr="001F014C">
              <w:t>Species</w:t>
            </w:r>
          </w:p>
        </w:tc>
        <w:tc>
          <w:tcPr>
            <w:tcW w:w="3013" w:type="pct"/>
            <w:tcBorders>
              <w:top w:val="single" w:sz="4" w:space="0" w:color="auto"/>
              <w:bottom w:val="single" w:sz="4" w:space="0" w:color="auto"/>
            </w:tcBorders>
            <w:shd w:val="clear" w:color="auto" w:fill="5C2946"/>
            <w:vAlign w:val="bottom"/>
          </w:tcPr>
          <w:p w14:paraId="73CEE6ED" w14:textId="3FB600C2" w:rsidR="00B446FD" w:rsidRPr="001F014C" w:rsidRDefault="00B446FD" w:rsidP="001F014C">
            <w:pPr>
              <w:pStyle w:val="TableHead"/>
            </w:pPr>
            <w:r w:rsidRPr="001F014C">
              <w:t>Results</w:t>
            </w:r>
          </w:p>
        </w:tc>
      </w:tr>
      <w:tr w:rsidR="00B446FD" w14:paraId="70659F9C" w14:textId="77777777" w:rsidTr="001F014C">
        <w:trPr>
          <w:cantSplit/>
        </w:trPr>
        <w:tc>
          <w:tcPr>
            <w:tcW w:w="5000" w:type="pct"/>
            <w:gridSpan w:val="2"/>
            <w:tcBorders>
              <w:top w:val="single" w:sz="4" w:space="0" w:color="auto"/>
              <w:bottom w:val="single" w:sz="4" w:space="0" w:color="auto"/>
            </w:tcBorders>
          </w:tcPr>
          <w:p w14:paraId="057BEF2D" w14:textId="18189BA8" w:rsidR="00B446FD" w:rsidRPr="001F014C" w:rsidRDefault="00B446FD" w:rsidP="001F014C">
            <w:pPr>
              <w:pStyle w:val="TableSubHead"/>
            </w:pPr>
            <w:r w:rsidRPr="001F014C">
              <w:t>Acute oral toxicity</w:t>
            </w:r>
          </w:p>
        </w:tc>
      </w:tr>
      <w:tr w:rsidR="00B446FD" w14:paraId="51F1352E" w14:textId="77777777" w:rsidTr="001F014C">
        <w:trPr>
          <w:cantSplit/>
        </w:trPr>
        <w:tc>
          <w:tcPr>
            <w:tcW w:w="1987" w:type="pct"/>
            <w:tcBorders>
              <w:top w:val="single" w:sz="4" w:space="0" w:color="auto"/>
              <w:bottom w:val="single" w:sz="4" w:space="0" w:color="auto"/>
            </w:tcBorders>
            <w:vAlign w:val="center"/>
          </w:tcPr>
          <w:p w14:paraId="05A916B1" w14:textId="331A9F57" w:rsidR="00B446FD" w:rsidRPr="001F014C" w:rsidRDefault="00B446FD" w:rsidP="001F014C">
            <w:pPr>
              <w:pStyle w:val="TableText"/>
            </w:pPr>
            <w:r w:rsidRPr="001F014C">
              <w:t>Rat</w:t>
            </w:r>
          </w:p>
        </w:tc>
        <w:tc>
          <w:tcPr>
            <w:tcW w:w="3013" w:type="pct"/>
            <w:tcBorders>
              <w:top w:val="single" w:sz="4" w:space="0" w:color="auto"/>
              <w:bottom w:val="single" w:sz="4" w:space="0" w:color="auto"/>
            </w:tcBorders>
            <w:vAlign w:val="center"/>
          </w:tcPr>
          <w:p w14:paraId="1F5F9211" w14:textId="77777777" w:rsidR="00B446FD" w:rsidRPr="001F014C" w:rsidRDefault="00B446FD" w:rsidP="001F014C">
            <w:pPr>
              <w:pStyle w:val="TableText"/>
            </w:pPr>
            <w:r w:rsidRPr="001F014C">
              <w:t>LD50 730 mg/kg bw male</w:t>
            </w:r>
          </w:p>
          <w:p w14:paraId="30735844" w14:textId="77777777" w:rsidR="00B446FD" w:rsidRPr="001F014C" w:rsidRDefault="00B446FD" w:rsidP="001F014C">
            <w:pPr>
              <w:pStyle w:val="TableText"/>
            </w:pPr>
            <w:r w:rsidRPr="001F014C">
              <w:t>LD50 700 mg/kg bw female</w:t>
            </w:r>
          </w:p>
          <w:p w14:paraId="42D830E2" w14:textId="540DE41F" w:rsidR="00B446FD" w:rsidRPr="001F014C" w:rsidRDefault="00B446FD" w:rsidP="001F014C">
            <w:pPr>
              <w:pStyle w:val="TableText"/>
            </w:pPr>
            <w:r w:rsidRPr="001F014C">
              <w:t xml:space="preserve">LD50 549 mg/kg bw </w:t>
            </w:r>
          </w:p>
        </w:tc>
      </w:tr>
      <w:tr w:rsidR="00B446FD" w14:paraId="7A6B5E68" w14:textId="77777777" w:rsidTr="001F014C">
        <w:trPr>
          <w:cantSplit/>
        </w:trPr>
        <w:tc>
          <w:tcPr>
            <w:tcW w:w="5000" w:type="pct"/>
            <w:gridSpan w:val="2"/>
            <w:tcBorders>
              <w:top w:val="single" w:sz="4" w:space="0" w:color="auto"/>
              <w:bottom w:val="single" w:sz="4" w:space="0" w:color="auto"/>
            </w:tcBorders>
          </w:tcPr>
          <w:p w14:paraId="2E75DB50" w14:textId="6FE2E7DD" w:rsidR="00B446FD" w:rsidRPr="001F014C" w:rsidRDefault="00B446FD" w:rsidP="001F014C">
            <w:pPr>
              <w:pStyle w:val="TableSubHead"/>
            </w:pPr>
            <w:r w:rsidRPr="001F014C">
              <w:t>Acute dermal toxicity</w:t>
            </w:r>
          </w:p>
        </w:tc>
      </w:tr>
      <w:tr w:rsidR="00B446FD" w14:paraId="1AB7D33E" w14:textId="77777777" w:rsidTr="001F014C">
        <w:trPr>
          <w:cantSplit/>
        </w:trPr>
        <w:tc>
          <w:tcPr>
            <w:tcW w:w="1987" w:type="pct"/>
            <w:tcBorders>
              <w:top w:val="single" w:sz="4" w:space="0" w:color="auto"/>
              <w:bottom w:val="single" w:sz="4" w:space="0" w:color="auto"/>
            </w:tcBorders>
            <w:vAlign w:val="center"/>
          </w:tcPr>
          <w:p w14:paraId="08E51970" w14:textId="4FDB72FF" w:rsidR="00B446FD" w:rsidRPr="001F014C" w:rsidRDefault="00B446FD" w:rsidP="001F014C">
            <w:pPr>
              <w:pStyle w:val="TableText"/>
            </w:pPr>
            <w:r w:rsidRPr="001F014C">
              <w:t>Rat</w:t>
            </w:r>
          </w:p>
        </w:tc>
        <w:tc>
          <w:tcPr>
            <w:tcW w:w="3013" w:type="pct"/>
            <w:tcBorders>
              <w:top w:val="single" w:sz="4" w:space="0" w:color="auto"/>
              <w:bottom w:val="single" w:sz="4" w:space="0" w:color="auto"/>
            </w:tcBorders>
            <w:vAlign w:val="center"/>
          </w:tcPr>
          <w:p w14:paraId="580D8BC4" w14:textId="30D773CF" w:rsidR="00B446FD" w:rsidRPr="001F014C" w:rsidRDefault="00B446FD" w:rsidP="001F014C">
            <w:pPr>
              <w:pStyle w:val="TableText"/>
            </w:pPr>
            <w:r w:rsidRPr="001F014C">
              <w:t>LD50 4350 mg/kg bw</w:t>
            </w:r>
          </w:p>
        </w:tc>
      </w:tr>
      <w:tr w:rsidR="00B446FD" w14:paraId="37C71663" w14:textId="77777777" w:rsidTr="001F014C">
        <w:trPr>
          <w:cantSplit/>
        </w:trPr>
        <w:tc>
          <w:tcPr>
            <w:tcW w:w="1987" w:type="pct"/>
            <w:tcBorders>
              <w:top w:val="single" w:sz="4" w:space="0" w:color="auto"/>
              <w:bottom w:val="single" w:sz="4" w:space="0" w:color="auto"/>
            </w:tcBorders>
            <w:vAlign w:val="center"/>
          </w:tcPr>
          <w:p w14:paraId="53E0348E" w14:textId="54829780" w:rsidR="00B446FD" w:rsidRPr="001F014C" w:rsidRDefault="00B446FD" w:rsidP="001F014C">
            <w:pPr>
              <w:pStyle w:val="TableText"/>
            </w:pPr>
            <w:r w:rsidRPr="001F014C">
              <w:t>Rabbit</w:t>
            </w:r>
          </w:p>
        </w:tc>
        <w:tc>
          <w:tcPr>
            <w:tcW w:w="3013" w:type="pct"/>
            <w:tcBorders>
              <w:top w:val="single" w:sz="4" w:space="0" w:color="auto"/>
              <w:bottom w:val="single" w:sz="4" w:space="0" w:color="auto"/>
            </w:tcBorders>
            <w:vAlign w:val="center"/>
          </w:tcPr>
          <w:p w14:paraId="5B4D190E" w14:textId="30FAF865" w:rsidR="00B446FD" w:rsidRPr="001F014C" w:rsidRDefault="00B446FD" w:rsidP="001F014C">
            <w:pPr>
              <w:pStyle w:val="TableText"/>
            </w:pPr>
            <w:r w:rsidRPr="001F014C">
              <w:t>LD50 &gt; 2000 mg/kg bw</w:t>
            </w:r>
          </w:p>
        </w:tc>
      </w:tr>
      <w:tr w:rsidR="00B446FD" w14:paraId="4BECF883" w14:textId="77777777" w:rsidTr="001F014C">
        <w:trPr>
          <w:cantSplit/>
        </w:trPr>
        <w:tc>
          <w:tcPr>
            <w:tcW w:w="5000" w:type="pct"/>
            <w:gridSpan w:val="2"/>
            <w:tcBorders>
              <w:top w:val="single" w:sz="4" w:space="0" w:color="auto"/>
              <w:bottom w:val="single" w:sz="4" w:space="0" w:color="auto"/>
            </w:tcBorders>
          </w:tcPr>
          <w:p w14:paraId="63B90475" w14:textId="75B1FD0A" w:rsidR="00B446FD" w:rsidRPr="001F014C" w:rsidRDefault="00B446FD" w:rsidP="001F014C">
            <w:pPr>
              <w:pStyle w:val="TableSubHead"/>
            </w:pPr>
            <w:r w:rsidRPr="001F014C">
              <w:t>Acute inhalation toxicity</w:t>
            </w:r>
          </w:p>
        </w:tc>
      </w:tr>
      <w:tr w:rsidR="00B446FD" w14:paraId="421FA228" w14:textId="77777777" w:rsidTr="001F014C">
        <w:trPr>
          <w:cantSplit/>
        </w:trPr>
        <w:tc>
          <w:tcPr>
            <w:tcW w:w="1987" w:type="pct"/>
            <w:tcBorders>
              <w:top w:val="single" w:sz="4" w:space="0" w:color="auto"/>
              <w:bottom w:val="single" w:sz="4" w:space="0" w:color="auto"/>
            </w:tcBorders>
            <w:vAlign w:val="center"/>
          </w:tcPr>
          <w:p w14:paraId="6DCECB45" w14:textId="1898548F" w:rsidR="00B446FD" w:rsidRPr="001F014C" w:rsidRDefault="00B446FD" w:rsidP="001F014C">
            <w:pPr>
              <w:pStyle w:val="TableText"/>
            </w:pPr>
            <w:r w:rsidRPr="001F014C">
              <w:t>Rat</w:t>
            </w:r>
          </w:p>
        </w:tc>
        <w:tc>
          <w:tcPr>
            <w:tcW w:w="3013" w:type="pct"/>
            <w:tcBorders>
              <w:top w:val="single" w:sz="4" w:space="0" w:color="auto"/>
              <w:bottom w:val="single" w:sz="4" w:space="0" w:color="auto"/>
            </w:tcBorders>
            <w:vAlign w:val="center"/>
          </w:tcPr>
          <w:p w14:paraId="26F0B3D0" w14:textId="77777777" w:rsidR="00B446FD" w:rsidRPr="001F014C" w:rsidRDefault="00B446FD" w:rsidP="001F014C">
            <w:pPr>
              <w:pStyle w:val="TableText"/>
            </w:pPr>
            <w:r w:rsidRPr="001F014C">
              <w:t>LC50 2.9 mg/L males</w:t>
            </w:r>
          </w:p>
          <w:p w14:paraId="315918F8" w14:textId="7B2EFF70" w:rsidR="00B446FD" w:rsidRPr="001F014C" w:rsidRDefault="00B446FD" w:rsidP="001F014C">
            <w:pPr>
              <w:pStyle w:val="TableText"/>
            </w:pPr>
            <w:r w:rsidRPr="001F014C">
              <w:t>LC50 2.4 mg/L females</w:t>
            </w:r>
          </w:p>
        </w:tc>
      </w:tr>
      <w:tr w:rsidR="00B446FD" w14:paraId="45D8FE99" w14:textId="77777777" w:rsidTr="001F014C">
        <w:trPr>
          <w:cantSplit/>
        </w:trPr>
        <w:tc>
          <w:tcPr>
            <w:tcW w:w="5000" w:type="pct"/>
            <w:gridSpan w:val="2"/>
            <w:tcBorders>
              <w:top w:val="single" w:sz="4" w:space="0" w:color="auto"/>
              <w:bottom w:val="single" w:sz="4" w:space="0" w:color="auto"/>
            </w:tcBorders>
          </w:tcPr>
          <w:p w14:paraId="4824C651" w14:textId="02CA574E" w:rsidR="00B446FD" w:rsidRPr="001F014C" w:rsidRDefault="00B446FD" w:rsidP="001F014C">
            <w:pPr>
              <w:pStyle w:val="TableSubHead"/>
            </w:pPr>
            <w:r w:rsidRPr="001F014C">
              <w:t>Skin irritancy</w:t>
            </w:r>
          </w:p>
        </w:tc>
      </w:tr>
      <w:tr w:rsidR="00B446FD" w14:paraId="680F2648" w14:textId="77777777" w:rsidTr="001F014C">
        <w:trPr>
          <w:cantSplit/>
        </w:trPr>
        <w:tc>
          <w:tcPr>
            <w:tcW w:w="1987" w:type="pct"/>
            <w:tcBorders>
              <w:top w:val="single" w:sz="4" w:space="0" w:color="auto"/>
              <w:bottom w:val="single" w:sz="4" w:space="0" w:color="auto"/>
            </w:tcBorders>
            <w:vAlign w:val="center"/>
          </w:tcPr>
          <w:p w14:paraId="4A579FD9" w14:textId="4D2B5B23" w:rsidR="00B446FD" w:rsidRPr="001F014C" w:rsidRDefault="00B446FD" w:rsidP="001F014C">
            <w:pPr>
              <w:pStyle w:val="TableText"/>
            </w:pPr>
            <w:r w:rsidRPr="001F014C">
              <w:t>Rabbit</w:t>
            </w:r>
          </w:p>
        </w:tc>
        <w:tc>
          <w:tcPr>
            <w:tcW w:w="3013" w:type="pct"/>
            <w:tcBorders>
              <w:top w:val="single" w:sz="4" w:space="0" w:color="auto"/>
              <w:bottom w:val="single" w:sz="4" w:space="0" w:color="auto"/>
            </w:tcBorders>
            <w:vAlign w:val="center"/>
          </w:tcPr>
          <w:p w14:paraId="1E9C2A4A" w14:textId="135433D8" w:rsidR="00B446FD" w:rsidRPr="001F014C" w:rsidRDefault="00B446FD" w:rsidP="001F014C">
            <w:pPr>
              <w:pStyle w:val="TableText"/>
            </w:pPr>
            <w:r w:rsidRPr="001F014C">
              <w:t>Slight</w:t>
            </w:r>
          </w:p>
        </w:tc>
      </w:tr>
      <w:tr w:rsidR="00B446FD" w14:paraId="4FA14695" w14:textId="77777777" w:rsidTr="001F014C">
        <w:trPr>
          <w:cantSplit/>
        </w:trPr>
        <w:tc>
          <w:tcPr>
            <w:tcW w:w="5000" w:type="pct"/>
            <w:gridSpan w:val="2"/>
            <w:tcBorders>
              <w:top w:val="single" w:sz="4" w:space="0" w:color="auto"/>
              <w:bottom w:val="single" w:sz="4" w:space="0" w:color="auto"/>
            </w:tcBorders>
          </w:tcPr>
          <w:p w14:paraId="005ECB13" w14:textId="6867693B" w:rsidR="00B446FD" w:rsidRPr="001F014C" w:rsidRDefault="00B446FD" w:rsidP="001F014C">
            <w:pPr>
              <w:pStyle w:val="TableSubHead"/>
            </w:pPr>
            <w:r w:rsidRPr="001F014C">
              <w:t>Eye irritancy</w:t>
            </w:r>
          </w:p>
        </w:tc>
      </w:tr>
      <w:tr w:rsidR="00B446FD" w14:paraId="5F20A300" w14:textId="77777777" w:rsidTr="001F014C">
        <w:trPr>
          <w:cantSplit/>
        </w:trPr>
        <w:tc>
          <w:tcPr>
            <w:tcW w:w="1987" w:type="pct"/>
            <w:tcBorders>
              <w:top w:val="single" w:sz="4" w:space="0" w:color="auto"/>
              <w:bottom w:val="single" w:sz="4" w:space="0" w:color="auto"/>
            </w:tcBorders>
            <w:vAlign w:val="center"/>
          </w:tcPr>
          <w:p w14:paraId="4BE1458D" w14:textId="6E7F7C76" w:rsidR="00B446FD" w:rsidRPr="001F014C" w:rsidRDefault="00B446FD" w:rsidP="001F014C">
            <w:pPr>
              <w:pStyle w:val="TableText"/>
            </w:pPr>
            <w:r w:rsidRPr="001F014C">
              <w:t>Rabbit</w:t>
            </w:r>
          </w:p>
        </w:tc>
        <w:tc>
          <w:tcPr>
            <w:tcW w:w="3013" w:type="pct"/>
            <w:tcBorders>
              <w:top w:val="single" w:sz="4" w:space="0" w:color="auto"/>
              <w:bottom w:val="single" w:sz="4" w:space="0" w:color="auto"/>
            </w:tcBorders>
            <w:vAlign w:val="center"/>
          </w:tcPr>
          <w:p w14:paraId="1C360313" w14:textId="2BD6ACE9" w:rsidR="00B446FD" w:rsidRPr="001F014C" w:rsidRDefault="00B446FD" w:rsidP="001F014C">
            <w:pPr>
              <w:pStyle w:val="TableText"/>
            </w:pPr>
            <w:r w:rsidRPr="001F014C">
              <w:t>Slight</w:t>
            </w:r>
          </w:p>
        </w:tc>
      </w:tr>
      <w:tr w:rsidR="00B446FD" w14:paraId="56A90535" w14:textId="77777777" w:rsidTr="001F014C">
        <w:trPr>
          <w:cantSplit/>
        </w:trPr>
        <w:tc>
          <w:tcPr>
            <w:tcW w:w="5000" w:type="pct"/>
            <w:gridSpan w:val="2"/>
            <w:tcBorders>
              <w:top w:val="single" w:sz="4" w:space="0" w:color="auto"/>
              <w:bottom w:val="single" w:sz="4" w:space="0" w:color="auto"/>
            </w:tcBorders>
          </w:tcPr>
          <w:p w14:paraId="1B63971D" w14:textId="62347D92" w:rsidR="00B446FD" w:rsidRPr="001F014C" w:rsidRDefault="00B446FD" w:rsidP="001F014C">
            <w:pPr>
              <w:pStyle w:val="TableSubHead"/>
            </w:pPr>
            <w:r w:rsidRPr="001F014C">
              <w:t>Skin sensitizer</w:t>
            </w:r>
          </w:p>
        </w:tc>
      </w:tr>
      <w:tr w:rsidR="00B446FD" w14:paraId="310554F7" w14:textId="77777777" w:rsidTr="001F014C">
        <w:trPr>
          <w:cantSplit/>
        </w:trPr>
        <w:tc>
          <w:tcPr>
            <w:tcW w:w="1987" w:type="pct"/>
            <w:tcBorders>
              <w:top w:val="single" w:sz="4" w:space="0" w:color="auto"/>
              <w:bottom w:val="single" w:sz="4" w:space="0" w:color="auto"/>
            </w:tcBorders>
            <w:vAlign w:val="center"/>
          </w:tcPr>
          <w:p w14:paraId="7C05F401" w14:textId="755665B7" w:rsidR="00B446FD" w:rsidRPr="001F014C" w:rsidRDefault="00B446FD" w:rsidP="001F014C">
            <w:pPr>
              <w:pStyle w:val="TableText"/>
            </w:pPr>
            <w:r w:rsidRPr="001F014C">
              <w:t>Guinea pig (maximisation test)</w:t>
            </w:r>
          </w:p>
        </w:tc>
        <w:tc>
          <w:tcPr>
            <w:tcW w:w="3013" w:type="pct"/>
            <w:tcBorders>
              <w:top w:val="single" w:sz="4" w:space="0" w:color="auto"/>
              <w:bottom w:val="single" w:sz="4" w:space="0" w:color="auto"/>
            </w:tcBorders>
            <w:vAlign w:val="center"/>
          </w:tcPr>
          <w:p w14:paraId="0B6EB43E" w14:textId="0E891944" w:rsidR="00B446FD" w:rsidRPr="001F014C" w:rsidRDefault="00B446FD" w:rsidP="001F014C">
            <w:pPr>
              <w:pStyle w:val="TableText"/>
            </w:pPr>
            <w:r w:rsidRPr="001F014C">
              <w:t>Positive</w:t>
            </w:r>
          </w:p>
        </w:tc>
      </w:tr>
    </w:tbl>
    <w:p w14:paraId="4920A3EB" w14:textId="359656CC" w:rsidR="00B446FD" w:rsidRPr="001F014C" w:rsidRDefault="00B446FD" w:rsidP="001F014C">
      <w:pPr>
        <w:pStyle w:val="Heading2"/>
      </w:pPr>
      <w:bookmarkStart w:id="25" w:name="_Toc96334688"/>
      <w:r w:rsidRPr="001F014C">
        <w:t>Repeat dose toxicology</w:t>
      </w:r>
      <w:bookmarkEnd w:id="25"/>
    </w:p>
    <w:p w14:paraId="0522065B" w14:textId="11EC19B0" w:rsidR="00B446FD" w:rsidRPr="00B446FD" w:rsidRDefault="00B446FD" w:rsidP="001F014C">
      <w:pPr>
        <w:pStyle w:val="APVMAText"/>
      </w:pPr>
      <w:r w:rsidRPr="00B446FD">
        <w:t>In the original consideration of the toxicology of molinate (TUIS, 1986), chronic studies were submitted and reviewed</w:t>
      </w:r>
      <w:r>
        <w:t xml:space="preserve">. A </w:t>
      </w:r>
      <w:r w:rsidR="00CC1E20">
        <w:t>2-year</w:t>
      </w:r>
      <w:r w:rsidRPr="00B446FD">
        <w:t xml:space="preserve"> dietary study in rats supported the establishment of a no-effect level at 0.63 mg/kg bw/day, based on increased testicular weight at 2 mg/kg bw/day. In addition, a combined chronic toxicity and reproductive toxicity </w:t>
      </w:r>
      <w:r w:rsidR="00CC1E20">
        <w:t>2-year</w:t>
      </w:r>
      <w:r w:rsidRPr="00B446FD">
        <w:t xml:space="preserve"> dietary study in mice was reviewed which supported the establishment of a no-effect level of 7.2 mg/kg bw/day. Only short</w:t>
      </w:r>
      <w:r w:rsidR="00302DB5">
        <w:t>-</w:t>
      </w:r>
      <w:r w:rsidRPr="00B446FD">
        <w:t>term repeat oral dose toxicology studies were submitted to the APVMA for assessment under this review.</w:t>
      </w:r>
    </w:p>
    <w:p w14:paraId="055A740E" w14:textId="6FC1D068" w:rsidR="00B446FD" w:rsidRPr="00B446FD" w:rsidRDefault="00B446FD" w:rsidP="001F014C">
      <w:pPr>
        <w:pStyle w:val="APVMAText"/>
      </w:pPr>
      <w:r w:rsidRPr="00B446FD">
        <w:t xml:space="preserve">The key findings of a rat combined chronic/carcinogenicity toxicology study were evaluated in the US EPA (2001) assessment. No repeat dermal dose toxicology studies were available. The dose levels relevant to human health risk assessment are shown in Table </w:t>
      </w:r>
      <w:r w:rsidR="001F014C">
        <w:t>8</w:t>
      </w:r>
      <w:r w:rsidRPr="00B446FD">
        <w:t xml:space="preserve"> (APVMA 2004, US EPA, 2001). The studies were considered to meet the standards of the time and are sufficient for consideration of overall effects.</w:t>
      </w:r>
    </w:p>
    <w:p w14:paraId="6E090F9E" w14:textId="5D60C303" w:rsidR="00B446FD" w:rsidRDefault="00B446FD" w:rsidP="00B446FD">
      <w:pPr>
        <w:pStyle w:val="Caption"/>
      </w:pPr>
      <w:bookmarkStart w:id="26" w:name="_Toc96334727"/>
      <w:r>
        <w:t xml:space="preserve">Table </w:t>
      </w:r>
      <w:r>
        <w:rPr>
          <w:noProof/>
        </w:rPr>
        <w:fldChar w:fldCharType="begin"/>
      </w:r>
      <w:r>
        <w:rPr>
          <w:noProof/>
        </w:rPr>
        <w:instrText xml:space="preserve"> SEQ Table \* ARABIC </w:instrText>
      </w:r>
      <w:r>
        <w:rPr>
          <w:noProof/>
        </w:rPr>
        <w:fldChar w:fldCharType="separate"/>
      </w:r>
      <w:r w:rsidR="001F014C">
        <w:rPr>
          <w:noProof/>
        </w:rPr>
        <w:t>8</w:t>
      </w:r>
      <w:r>
        <w:rPr>
          <w:noProof/>
        </w:rPr>
        <w:fldChar w:fldCharType="end"/>
      </w:r>
      <w:r>
        <w:t>:</w:t>
      </w:r>
      <w:r w:rsidR="00B10D09">
        <w:t xml:space="preserve"> </w:t>
      </w:r>
      <w:r>
        <w:t>Repeat dose toxicology dose levels relevant to the human health risk assessment of molinate</w:t>
      </w:r>
      <w:bookmarkEnd w:id="26"/>
    </w:p>
    <w:tbl>
      <w:tblPr>
        <w:tblW w:w="5000" w:type="pct"/>
        <w:tblBorders>
          <w:bottom w:val="dotted" w:sz="2" w:space="0" w:color="auto"/>
          <w:insideH w:val="dotted" w:sz="2" w:space="0" w:color="auto"/>
        </w:tblBorders>
        <w:tblLook w:val="01E0" w:firstRow="1" w:lastRow="1" w:firstColumn="1" w:lastColumn="1" w:noHBand="0" w:noVBand="0"/>
      </w:tblPr>
      <w:tblGrid>
        <w:gridCol w:w="955"/>
        <w:gridCol w:w="1469"/>
        <w:gridCol w:w="1095"/>
        <w:gridCol w:w="2938"/>
        <w:gridCol w:w="1662"/>
        <w:gridCol w:w="1519"/>
      </w:tblGrid>
      <w:tr w:rsidR="00B446FD" w14:paraId="58C4211D" w14:textId="065A0BC2" w:rsidTr="00CC1E20">
        <w:trPr>
          <w:cantSplit/>
          <w:tblHeader/>
        </w:trPr>
        <w:tc>
          <w:tcPr>
            <w:tcW w:w="496" w:type="pct"/>
            <w:tcBorders>
              <w:top w:val="single" w:sz="4" w:space="0" w:color="auto"/>
              <w:bottom w:val="single" w:sz="4" w:space="0" w:color="auto"/>
            </w:tcBorders>
            <w:shd w:val="clear" w:color="auto" w:fill="5C2946"/>
            <w:vAlign w:val="bottom"/>
          </w:tcPr>
          <w:p w14:paraId="6CA92193" w14:textId="1784F431" w:rsidR="00B446FD" w:rsidRPr="001F014C" w:rsidRDefault="00B446FD" w:rsidP="001F014C">
            <w:pPr>
              <w:pStyle w:val="TableHead"/>
            </w:pPr>
            <w:r w:rsidRPr="001F014C">
              <w:t>Species</w:t>
            </w:r>
          </w:p>
        </w:tc>
        <w:tc>
          <w:tcPr>
            <w:tcW w:w="762" w:type="pct"/>
            <w:tcBorders>
              <w:top w:val="single" w:sz="4" w:space="0" w:color="auto"/>
              <w:bottom w:val="single" w:sz="4" w:space="0" w:color="auto"/>
            </w:tcBorders>
            <w:shd w:val="clear" w:color="auto" w:fill="5C2946"/>
            <w:vAlign w:val="bottom"/>
          </w:tcPr>
          <w:p w14:paraId="2F79E3F0" w14:textId="18AF7B34" w:rsidR="00B446FD" w:rsidRPr="001F014C" w:rsidRDefault="00B446FD" w:rsidP="001F014C">
            <w:pPr>
              <w:pStyle w:val="TableHead"/>
            </w:pPr>
            <w:r w:rsidRPr="001F014C">
              <w:t>Study type</w:t>
            </w:r>
          </w:p>
        </w:tc>
        <w:tc>
          <w:tcPr>
            <w:tcW w:w="568" w:type="pct"/>
            <w:tcBorders>
              <w:top w:val="single" w:sz="4" w:space="0" w:color="auto"/>
              <w:bottom w:val="single" w:sz="4" w:space="0" w:color="auto"/>
            </w:tcBorders>
            <w:shd w:val="clear" w:color="auto" w:fill="5C2946"/>
            <w:vAlign w:val="bottom"/>
          </w:tcPr>
          <w:p w14:paraId="722A3870" w14:textId="12CD1C34" w:rsidR="00B446FD" w:rsidRPr="001F014C" w:rsidRDefault="00B446FD" w:rsidP="001F014C">
            <w:pPr>
              <w:pStyle w:val="TableHead"/>
            </w:pPr>
            <w:r w:rsidRPr="001F014C">
              <w:t>Route of exposure</w:t>
            </w:r>
          </w:p>
        </w:tc>
        <w:tc>
          <w:tcPr>
            <w:tcW w:w="1524" w:type="pct"/>
            <w:tcBorders>
              <w:top w:val="single" w:sz="4" w:space="0" w:color="auto"/>
              <w:bottom w:val="single" w:sz="4" w:space="0" w:color="auto"/>
            </w:tcBorders>
            <w:shd w:val="clear" w:color="auto" w:fill="5C2946"/>
            <w:vAlign w:val="bottom"/>
          </w:tcPr>
          <w:p w14:paraId="112FF6C4" w14:textId="0DFFA711" w:rsidR="00B446FD" w:rsidRPr="001F014C" w:rsidRDefault="00B446FD" w:rsidP="001F014C">
            <w:pPr>
              <w:pStyle w:val="TableHead"/>
            </w:pPr>
            <w:r w:rsidRPr="001F014C">
              <w:t>Critical effect</w:t>
            </w:r>
          </w:p>
        </w:tc>
        <w:tc>
          <w:tcPr>
            <w:tcW w:w="862" w:type="pct"/>
            <w:tcBorders>
              <w:top w:val="single" w:sz="4" w:space="0" w:color="auto"/>
              <w:bottom w:val="single" w:sz="4" w:space="0" w:color="auto"/>
            </w:tcBorders>
            <w:shd w:val="clear" w:color="auto" w:fill="5C2946"/>
            <w:vAlign w:val="bottom"/>
          </w:tcPr>
          <w:p w14:paraId="1B8F431B" w14:textId="4BEBC518" w:rsidR="00B446FD" w:rsidRPr="001F014C" w:rsidRDefault="00B446FD" w:rsidP="001F014C">
            <w:pPr>
              <w:pStyle w:val="TableHead"/>
            </w:pPr>
            <w:r w:rsidRPr="001F014C">
              <w:t>Lowest relevant NOEL or NOAEL</w:t>
            </w:r>
          </w:p>
        </w:tc>
        <w:tc>
          <w:tcPr>
            <w:tcW w:w="789" w:type="pct"/>
            <w:tcBorders>
              <w:top w:val="single" w:sz="4" w:space="0" w:color="auto"/>
              <w:bottom w:val="single" w:sz="4" w:space="0" w:color="auto"/>
            </w:tcBorders>
            <w:shd w:val="clear" w:color="auto" w:fill="5C2946"/>
            <w:vAlign w:val="bottom"/>
          </w:tcPr>
          <w:p w14:paraId="4781CFF7" w14:textId="7D996E6B" w:rsidR="00B446FD" w:rsidRPr="001F014C" w:rsidRDefault="00B446FD" w:rsidP="001F014C">
            <w:pPr>
              <w:pStyle w:val="TableHead"/>
            </w:pPr>
            <w:r w:rsidRPr="001F014C">
              <w:t>Lowest relevant LOEL or LOAEL</w:t>
            </w:r>
          </w:p>
        </w:tc>
      </w:tr>
      <w:tr w:rsidR="00B446FD" w14:paraId="1D0FB14E" w14:textId="5A14234D" w:rsidTr="001F014C">
        <w:trPr>
          <w:cantSplit/>
        </w:trPr>
        <w:tc>
          <w:tcPr>
            <w:tcW w:w="1826" w:type="pct"/>
            <w:gridSpan w:val="3"/>
            <w:tcBorders>
              <w:top w:val="single" w:sz="4" w:space="0" w:color="auto"/>
              <w:bottom w:val="single" w:sz="4" w:space="0" w:color="auto"/>
            </w:tcBorders>
            <w:vAlign w:val="center"/>
          </w:tcPr>
          <w:p w14:paraId="77373C42" w14:textId="4DFDB048" w:rsidR="00B446FD" w:rsidRPr="00B446FD" w:rsidRDefault="00B446FD" w:rsidP="00B446FD">
            <w:pPr>
              <w:pStyle w:val="TableSubHead"/>
            </w:pPr>
            <w:r w:rsidRPr="00B446FD">
              <w:t>Short</w:t>
            </w:r>
            <w:r w:rsidR="00302DB5">
              <w:t>-</w:t>
            </w:r>
            <w:r w:rsidRPr="00B446FD">
              <w:t>term studies</w:t>
            </w:r>
          </w:p>
        </w:tc>
        <w:tc>
          <w:tcPr>
            <w:tcW w:w="1524" w:type="pct"/>
            <w:tcBorders>
              <w:top w:val="single" w:sz="4" w:space="0" w:color="auto"/>
              <w:bottom w:val="single" w:sz="4" w:space="0" w:color="auto"/>
            </w:tcBorders>
          </w:tcPr>
          <w:p w14:paraId="2AAF05E2" w14:textId="77777777" w:rsidR="00B446FD" w:rsidRPr="00B446FD" w:rsidRDefault="00B446FD" w:rsidP="00B446FD">
            <w:pPr>
              <w:pStyle w:val="TableSubHead"/>
            </w:pPr>
          </w:p>
        </w:tc>
        <w:tc>
          <w:tcPr>
            <w:tcW w:w="862" w:type="pct"/>
            <w:tcBorders>
              <w:top w:val="single" w:sz="4" w:space="0" w:color="auto"/>
              <w:bottom w:val="single" w:sz="4" w:space="0" w:color="auto"/>
            </w:tcBorders>
          </w:tcPr>
          <w:p w14:paraId="50AAC981" w14:textId="77777777" w:rsidR="00B446FD" w:rsidRPr="00B446FD" w:rsidRDefault="00B446FD" w:rsidP="00B446FD">
            <w:pPr>
              <w:pStyle w:val="TableSubHead"/>
            </w:pPr>
          </w:p>
        </w:tc>
        <w:tc>
          <w:tcPr>
            <w:tcW w:w="789" w:type="pct"/>
            <w:tcBorders>
              <w:top w:val="single" w:sz="4" w:space="0" w:color="auto"/>
              <w:bottom w:val="single" w:sz="4" w:space="0" w:color="auto"/>
            </w:tcBorders>
          </w:tcPr>
          <w:p w14:paraId="519B2261" w14:textId="77777777" w:rsidR="00B446FD" w:rsidRPr="00B446FD" w:rsidRDefault="00B446FD" w:rsidP="00B446FD">
            <w:pPr>
              <w:pStyle w:val="TableSubHead"/>
            </w:pPr>
          </w:p>
        </w:tc>
      </w:tr>
      <w:tr w:rsidR="00B446FD" w14:paraId="00D0A4F0" w14:textId="4782C22C" w:rsidTr="001F014C">
        <w:trPr>
          <w:cantSplit/>
        </w:trPr>
        <w:tc>
          <w:tcPr>
            <w:tcW w:w="496" w:type="pct"/>
            <w:tcBorders>
              <w:top w:val="single" w:sz="4" w:space="0" w:color="auto"/>
              <w:bottom w:val="single" w:sz="4" w:space="0" w:color="auto"/>
            </w:tcBorders>
            <w:vAlign w:val="center"/>
          </w:tcPr>
          <w:p w14:paraId="7E11C497" w14:textId="4F27FB1A" w:rsidR="00B446FD" w:rsidRPr="00B446FD" w:rsidRDefault="00B446FD" w:rsidP="00B446FD">
            <w:pPr>
              <w:pStyle w:val="TableText"/>
            </w:pPr>
            <w:r>
              <w:t>Rat</w:t>
            </w:r>
          </w:p>
        </w:tc>
        <w:tc>
          <w:tcPr>
            <w:tcW w:w="762" w:type="pct"/>
            <w:tcBorders>
              <w:top w:val="single" w:sz="4" w:space="0" w:color="auto"/>
              <w:bottom w:val="single" w:sz="4" w:space="0" w:color="auto"/>
            </w:tcBorders>
            <w:vAlign w:val="center"/>
          </w:tcPr>
          <w:p w14:paraId="0AAFCB19" w14:textId="6EA35986" w:rsidR="00B446FD" w:rsidRPr="00B446FD" w:rsidRDefault="00B446FD" w:rsidP="00B446FD">
            <w:pPr>
              <w:pStyle w:val="TableText"/>
            </w:pPr>
            <w:r>
              <w:t>90</w:t>
            </w:r>
            <w:r w:rsidR="00CC1E20">
              <w:t>-</w:t>
            </w:r>
            <w:r>
              <w:t>day repeat dose study</w:t>
            </w:r>
          </w:p>
        </w:tc>
        <w:tc>
          <w:tcPr>
            <w:tcW w:w="568" w:type="pct"/>
            <w:tcBorders>
              <w:top w:val="single" w:sz="4" w:space="0" w:color="auto"/>
              <w:bottom w:val="single" w:sz="4" w:space="0" w:color="auto"/>
            </w:tcBorders>
            <w:vAlign w:val="center"/>
          </w:tcPr>
          <w:p w14:paraId="150F2379" w14:textId="39A89CE3" w:rsidR="00B446FD" w:rsidRPr="00B446FD" w:rsidRDefault="00B446FD" w:rsidP="00CC1E20">
            <w:pPr>
              <w:pStyle w:val="TableText"/>
            </w:pPr>
            <w:r>
              <w:t>Oral</w:t>
            </w:r>
            <w:r w:rsidR="00CC1E20">
              <w:t xml:space="preserve"> </w:t>
            </w:r>
            <w:r>
              <w:t>(dietary)</w:t>
            </w:r>
          </w:p>
        </w:tc>
        <w:tc>
          <w:tcPr>
            <w:tcW w:w="1524" w:type="pct"/>
            <w:tcBorders>
              <w:top w:val="single" w:sz="4" w:space="0" w:color="auto"/>
              <w:bottom w:val="single" w:sz="4" w:space="0" w:color="auto"/>
            </w:tcBorders>
            <w:vAlign w:val="center"/>
          </w:tcPr>
          <w:p w14:paraId="5CBD7642" w14:textId="014F8905" w:rsidR="00B446FD" w:rsidRDefault="00B446FD" w:rsidP="00B446FD">
            <w:pPr>
              <w:pStyle w:val="TableText"/>
            </w:pPr>
            <w:r>
              <w:t xml:space="preserve">Reduced body weight gain. </w:t>
            </w:r>
            <w:r w:rsidRPr="00DD134C">
              <w:t xml:space="preserve">Irreversible testicular degeneration </w:t>
            </w:r>
            <w:r>
              <w:t xml:space="preserve">occurred at and above 100 ppm (equivalent to </w:t>
            </w:r>
            <w:r w:rsidRPr="00DD134C">
              <w:t>10</w:t>
            </w:r>
            <w:r>
              <w:t> </w:t>
            </w:r>
            <w:r w:rsidRPr="00DD134C">
              <w:t>mg/kg</w:t>
            </w:r>
            <w:r>
              <w:t> </w:t>
            </w:r>
            <w:r w:rsidRPr="00DD134C">
              <w:t>bw/d)</w:t>
            </w:r>
            <w:r>
              <w:t>. Bodyweight gain was significantly reduced at every dose.</w:t>
            </w:r>
          </w:p>
        </w:tc>
        <w:tc>
          <w:tcPr>
            <w:tcW w:w="862" w:type="pct"/>
            <w:tcBorders>
              <w:top w:val="single" w:sz="4" w:space="0" w:color="auto"/>
              <w:bottom w:val="single" w:sz="4" w:space="0" w:color="auto"/>
            </w:tcBorders>
            <w:vAlign w:val="center"/>
          </w:tcPr>
          <w:p w14:paraId="1E91246E" w14:textId="634843D4" w:rsidR="00B446FD" w:rsidRDefault="00B446FD" w:rsidP="00B446FD">
            <w:pPr>
              <w:pStyle w:val="TableText"/>
            </w:pPr>
            <w:r>
              <w:t>Not determined</w:t>
            </w:r>
          </w:p>
        </w:tc>
        <w:tc>
          <w:tcPr>
            <w:tcW w:w="789" w:type="pct"/>
            <w:tcBorders>
              <w:top w:val="single" w:sz="4" w:space="0" w:color="auto"/>
              <w:bottom w:val="single" w:sz="4" w:space="0" w:color="auto"/>
            </w:tcBorders>
            <w:vAlign w:val="center"/>
          </w:tcPr>
          <w:p w14:paraId="7E5FF124" w14:textId="1203E225" w:rsidR="00B446FD" w:rsidRDefault="00B446FD" w:rsidP="00CC1E20">
            <w:pPr>
              <w:pStyle w:val="TableText"/>
            </w:pPr>
            <w:r>
              <w:t>20 ppm</w:t>
            </w:r>
            <w:r w:rsidR="00CC1E20">
              <w:t xml:space="preserve"> </w:t>
            </w:r>
            <w:r>
              <w:t>(equivalent to 2 mg/kg bw/d)</w:t>
            </w:r>
          </w:p>
        </w:tc>
      </w:tr>
      <w:tr w:rsidR="00B446FD" w14:paraId="59A28431" w14:textId="41B2E624" w:rsidTr="001F014C">
        <w:trPr>
          <w:cantSplit/>
        </w:trPr>
        <w:tc>
          <w:tcPr>
            <w:tcW w:w="5000" w:type="pct"/>
            <w:gridSpan w:val="6"/>
            <w:tcBorders>
              <w:top w:val="single" w:sz="4" w:space="0" w:color="auto"/>
              <w:bottom w:val="single" w:sz="4" w:space="0" w:color="auto"/>
            </w:tcBorders>
            <w:vAlign w:val="center"/>
          </w:tcPr>
          <w:p w14:paraId="0733DADC" w14:textId="64F54287" w:rsidR="00B446FD" w:rsidRDefault="00B446FD" w:rsidP="00B446FD">
            <w:pPr>
              <w:pStyle w:val="TableSubHead"/>
            </w:pPr>
            <w:r>
              <w:t>Long</w:t>
            </w:r>
            <w:r w:rsidR="00302DB5">
              <w:t>-</w:t>
            </w:r>
            <w:r>
              <w:t>term studies</w:t>
            </w:r>
          </w:p>
        </w:tc>
      </w:tr>
      <w:tr w:rsidR="00B446FD" w14:paraId="647255F8" w14:textId="77777777" w:rsidTr="001F014C">
        <w:trPr>
          <w:cantSplit/>
        </w:trPr>
        <w:tc>
          <w:tcPr>
            <w:tcW w:w="496" w:type="pct"/>
            <w:tcBorders>
              <w:top w:val="single" w:sz="4" w:space="0" w:color="auto"/>
              <w:bottom w:val="single" w:sz="4" w:space="0" w:color="auto"/>
            </w:tcBorders>
            <w:vAlign w:val="center"/>
          </w:tcPr>
          <w:p w14:paraId="50A2749C" w14:textId="1158E516" w:rsidR="00B446FD" w:rsidRDefault="00B446FD" w:rsidP="00B446FD">
            <w:pPr>
              <w:pStyle w:val="TableText"/>
            </w:pPr>
            <w:r w:rsidRPr="00CC552A">
              <w:t>Rat</w:t>
            </w:r>
          </w:p>
        </w:tc>
        <w:tc>
          <w:tcPr>
            <w:tcW w:w="762" w:type="pct"/>
            <w:tcBorders>
              <w:top w:val="single" w:sz="4" w:space="0" w:color="auto"/>
              <w:bottom w:val="single" w:sz="4" w:space="0" w:color="auto"/>
            </w:tcBorders>
            <w:vAlign w:val="center"/>
          </w:tcPr>
          <w:p w14:paraId="1A59363D" w14:textId="77777777" w:rsidR="00B446FD" w:rsidRDefault="00B446FD" w:rsidP="00B446FD">
            <w:pPr>
              <w:pStyle w:val="TableText"/>
            </w:pPr>
            <w:r>
              <w:t>Chronic toxicity</w:t>
            </w:r>
          </w:p>
          <w:p w14:paraId="036076CB" w14:textId="6B82934E" w:rsidR="00B446FD" w:rsidRPr="00B446FD" w:rsidRDefault="00B446FD" w:rsidP="00B446FD">
            <w:pPr>
              <w:pStyle w:val="TableText"/>
            </w:pPr>
            <w:r>
              <w:t>Carcinogenicity study</w:t>
            </w:r>
          </w:p>
        </w:tc>
        <w:tc>
          <w:tcPr>
            <w:tcW w:w="568" w:type="pct"/>
            <w:tcBorders>
              <w:top w:val="single" w:sz="4" w:space="0" w:color="auto"/>
              <w:bottom w:val="single" w:sz="4" w:space="0" w:color="auto"/>
            </w:tcBorders>
            <w:vAlign w:val="center"/>
          </w:tcPr>
          <w:p w14:paraId="26B9EF5D" w14:textId="0B5A0CAD" w:rsidR="00B446FD" w:rsidRPr="00B446FD" w:rsidRDefault="00B446FD" w:rsidP="00B446FD">
            <w:pPr>
              <w:pStyle w:val="TableText"/>
            </w:pPr>
            <w:r>
              <w:t>Oral</w:t>
            </w:r>
          </w:p>
        </w:tc>
        <w:tc>
          <w:tcPr>
            <w:tcW w:w="1524" w:type="pct"/>
            <w:tcBorders>
              <w:top w:val="single" w:sz="4" w:space="0" w:color="auto"/>
              <w:bottom w:val="single" w:sz="4" w:space="0" w:color="auto"/>
            </w:tcBorders>
            <w:vAlign w:val="center"/>
          </w:tcPr>
          <w:p w14:paraId="46207D4E" w14:textId="18A50DB6" w:rsidR="00B446FD" w:rsidRDefault="00B446FD" w:rsidP="00B446FD">
            <w:pPr>
              <w:pStyle w:val="TableText"/>
            </w:pPr>
            <w:r w:rsidRPr="00DB680F">
              <w:t>Degeneration/demyelination in sciatic nerve and atrophy/reserve cell hyperplasia of muscle</w:t>
            </w:r>
          </w:p>
        </w:tc>
        <w:tc>
          <w:tcPr>
            <w:tcW w:w="862" w:type="pct"/>
            <w:tcBorders>
              <w:top w:val="single" w:sz="4" w:space="0" w:color="auto"/>
              <w:bottom w:val="single" w:sz="4" w:space="0" w:color="auto"/>
            </w:tcBorders>
            <w:vAlign w:val="center"/>
          </w:tcPr>
          <w:p w14:paraId="6773EDDA" w14:textId="0F0BAFD3" w:rsidR="00B446FD" w:rsidRDefault="00B446FD" w:rsidP="00B446FD">
            <w:pPr>
              <w:pStyle w:val="TableText"/>
            </w:pPr>
            <w:r>
              <w:t>Not determined</w:t>
            </w:r>
          </w:p>
        </w:tc>
        <w:tc>
          <w:tcPr>
            <w:tcW w:w="789" w:type="pct"/>
            <w:tcBorders>
              <w:top w:val="single" w:sz="4" w:space="0" w:color="auto"/>
              <w:bottom w:val="single" w:sz="4" w:space="0" w:color="auto"/>
            </w:tcBorders>
            <w:vAlign w:val="center"/>
          </w:tcPr>
          <w:p w14:paraId="6578C033" w14:textId="4E64E7AD" w:rsidR="00B446FD" w:rsidRDefault="00B446FD" w:rsidP="00B446FD">
            <w:pPr>
              <w:pStyle w:val="TableText"/>
            </w:pPr>
            <w:r>
              <w:t>0.3 mg/kg bw/d</w:t>
            </w:r>
          </w:p>
        </w:tc>
      </w:tr>
      <w:tr w:rsidR="00B446FD" w14:paraId="3A623062" w14:textId="77777777" w:rsidTr="001F014C">
        <w:trPr>
          <w:cantSplit/>
        </w:trPr>
        <w:tc>
          <w:tcPr>
            <w:tcW w:w="496" w:type="pct"/>
            <w:tcBorders>
              <w:top w:val="single" w:sz="4" w:space="0" w:color="auto"/>
              <w:bottom w:val="single" w:sz="4" w:space="0" w:color="auto"/>
            </w:tcBorders>
            <w:vAlign w:val="center"/>
          </w:tcPr>
          <w:p w14:paraId="3C811F80" w14:textId="63E6F325" w:rsidR="00B446FD" w:rsidRPr="00CC552A" w:rsidRDefault="00B446FD" w:rsidP="00B446FD">
            <w:pPr>
              <w:pStyle w:val="TableText"/>
            </w:pPr>
            <w:r>
              <w:t>Rat</w:t>
            </w:r>
          </w:p>
        </w:tc>
        <w:tc>
          <w:tcPr>
            <w:tcW w:w="762" w:type="pct"/>
            <w:tcBorders>
              <w:top w:val="single" w:sz="4" w:space="0" w:color="auto"/>
              <w:bottom w:val="single" w:sz="4" w:space="0" w:color="auto"/>
            </w:tcBorders>
            <w:vAlign w:val="center"/>
          </w:tcPr>
          <w:p w14:paraId="40A23B74" w14:textId="2E0AC096" w:rsidR="00B446FD" w:rsidRDefault="00B446FD" w:rsidP="00B446FD">
            <w:pPr>
              <w:pStyle w:val="TableText"/>
            </w:pPr>
            <w:r>
              <w:t>Chronic toxicity</w:t>
            </w:r>
          </w:p>
        </w:tc>
        <w:tc>
          <w:tcPr>
            <w:tcW w:w="568" w:type="pct"/>
            <w:tcBorders>
              <w:top w:val="single" w:sz="4" w:space="0" w:color="auto"/>
              <w:bottom w:val="single" w:sz="4" w:space="0" w:color="auto"/>
            </w:tcBorders>
            <w:vAlign w:val="center"/>
          </w:tcPr>
          <w:p w14:paraId="2ACFB5B2" w14:textId="6D8B14C7" w:rsidR="00B446FD" w:rsidRDefault="00B446FD" w:rsidP="00B446FD">
            <w:pPr>
              <w:pStyle w:val="TableText"/>
            </w:pPr>
            <w:r>
              <w:t>Oral</w:t>
            </w:r>
          </w:p>
        </w:tc>
        <w:tc>
          <w:tcPr>
            <w:tcW w:w="1524" w:type="pct"/>
            <w:tcBorders>
              <w:top w:val="single" w:sz="4" w:space="0" w:color="auto"/>
              <w:bottom w:val="single" w:sz="4" w:space="0" w:color="auto"/>
            </w:tcBorders>
            <w:vAlign w:val="center"/>
          </w:tcPr>
          <w:p w14:paraId="7D7A3E5C" w14:textId="0BA911C7" w:rsidR="00B446FD" w:rsidRPr="00DB680F" w:rsidRDefault="00B446FD" w:rsidP="00B446FD">
            <w:pPr>
              <w:pStyle w:val="TableText"/>
            </w:pPr>
            <w:r>
              <w:t>Increased testicular weight</w:t>
            </w:r>
          </w:p>
        </w:tc>
        <w:tc>
          <w:tcPr>
            <w:tcW w:w="862" w:type="pct"/>
            <w:tcBorders>
              <w:top w:val="single" w:sz="4" w:space="0" w:color="auto"/>
              <w:bottom w:val="single" w:sz="4" w:space="0" w:color="auto"/>
            </w:tcBorders>
            <w:vAlign w:val="center"/>
          </w:tcPr>
          <w:p w14:paraId="55B74150" w14:textId="701BBFF4" w:rsidR="00B446FD" w:rsidRDefault="00B446FD" w:rsidP="00B446FD">
            <w:pPr>
              <w:pStyle w:val="TableText"/>
            </w:pPr>
            <w:r>
              <w:t>0.63 mg/kg bw/d</w:t>
            </w:r>
          </w:p>
        </w:tc>
        <w:tc>
          <w:tcPr>
            <w:tcW w:w="789" w:type="pct"/>
            <w:tcBorders>
              <w:top w:val="single" w:sz="4" w:space="0" w:color="auto"/>
              <w:bottom w:val="single" w:sz="4" w:space="0" w:color="auto"/>
            </w:tcBorders>
            <w:vAlign w:val="center"/>
          </w:tcPr>
          <w:p w14:paraId="7251777F" w14:textId="739FEA79" w:rsidR="00B446FD" w:rsidRDefault="00B446FD" w:rsidP="00B446FD">
            <w:pPr>
              <w:pStyle w:val="TableText"/>
            </w:pPr>
            <w:r>
              <w:t>2 mg/kg bw/d</w:t>
            </w:r>
          </w:p>
        </w:tc>
      </w:tr>
    </w:tbl>
    <w:p w14:paraId="2AB78967" w14:textId="77777777" w:rsidR="00B446FD" w:rsidRPr="003E22D4" w:rsidRDefault="00B446FD" w:rsidP="00B446FD">
      <w:pPr>
        <w:pStyle w:val="SourceTableNote"/>
      </w:pPr>
      <w:r w:rsidRPr="003E22D4">
        <w:t>†</w:t>
      </w:r>
      <w:r>
        <w:t xml:space="preserve"> LOED = lowest observed effect; </w:t>
      </w:r>
      <w:r w:rsidRPr="003E22D4">
        <w:t xml:space="preserve">LOAEL = lowest observed adverse effect level; </w:t>
      </w:r>
      <w:r>
        <w:t xml:space="preserve">NOEL = no observed effect level; </w:t>
      </w:r>
      <w:r w:rsidRPr="003E22D4">
        <w:t>NOAEL = no observed adverse effect level</w:t>
      </w:r>
    </w:p>
    <w:p w14:paraId="638C915F" w14:textId="01378D9C" w:rsidR="00B446FD" w:rsidRDefault="00B446FD" w:rsidP="00B446FD">
      <w:pPr>
        <w:pStyle w:val="Heading2"/>
      </w:pPr>
      <w:bookmarkStart w:id="27" w:name="_Toc96334689"/>
      <w:r>
        <w:t>Genotoxicity studies</w:t>
      </w:r>
      <w:bookmarkEnd w:id="27"/>
    </w:p>
    <w:p w14:paraId="0DB9288C" w14:textId="189B6896" w:rsidR="00B446FD" w:rsidRPr="00B446FD" w:rsidRDefault="00B446FD" w:rsidP="001F014C">
      <w:pPr>
        <w:pStyle w:val="APVMAText"/>
      </w:pPr>
      <w:r w:rsidRPr="00B446FD">
        <w:t xml:space="preserve">In the </w:t>
      </w:r>
      <w:r w:rsidRPr="00B446FD">
        <w:rPr>
          <w:i/>
        </w:rPr>
        <w:t>Molinate preliminary review findings</w:t>
      </w:r>
      <w:r w:rsidR="00CC1E20">
        <w:rPr>
          <w:i/>
        </w:rPr>
        <w:t xml:space="preserve"> report</w:t>
      </w:r>
      <w:r w:rsidRPr="00B446FD">
        <w:t xml:space="preserve"> (APVMA, 2014), </w:t>
      </w:r>
      <w:r>
        <w:t>m</w:t>
      </w:r>
      <w:r w:rsidRPr="00B446FD">
        <w:t>olinate was determined not to be mutagenic based on the findings; in a forward mutation assay in mouse lymphoma L5178Y cells, it did not induce sister chromatid exchanges in Chinese hamster ovary cells or unscheduled DNA synthesis in HeLa cells either in the presence or absence of exogenous metabolic activation. Molinate did not induce micronuclei in mouse bone marrow erythrocytes.</w:t>
      </w:r>
    </w:p>
    <w:p w14:paraId="4B403997" w14:textId="55C9DCB4" w:rsidR="00B446FD" w:rsidRDefault="00B446FD" w:rsidP="00B446FD">
      <w:pPr>
        <w:pStyle w:val="Heading2"/>
      </w:pPr>
      <w:bookmarkStart w:id="28" w:name="_Toc47108355"/>
      <w:bookmarkStart w:id="29" w:name="_Toc50996196"/>
      <w:bookmarkStart w:id="30" w:name="_Toc96334690"/>
      <w:r w:rsidRPr="00B446FD">
        <w:t>Carcinogenicity studies</w:t>
      </w:r>
      <w:bookmarkEnd w:id="28"/>
      <w:bookmarkEnd w:id="29"/>
      <w:bookmarkEnd w:id="30"/>
    </w:p>
    <w:p w14:paraId="71138225" w14:textId="775E18C4" w:rsidR="00B446FD" w:rsidRPr="00B446FD" w:rsidRDefault="00B446FD" w:rsidP="001F014C">
      <w:pPr>
        <w:pStyle w:val="APVMAText"/>
      </w:pPr>
      <w:r w:rsidRPr="00B446FD">
        <w:t xml:space="preserve">Carcinogenicity studies were relied on for the initial approval of molinate (TUIS, 1986). The US EPA (2001) considered the available studies insufficient for human health risk assessment. The US EPA HED Cancer Assessment Review Committee (CARC) has therefore determined that the available evaluations of molinate provide ‘suggestive evidence for carcinogenicity but not sufficient to assess human carcinogenic potential’ based on the limited evidence of kidney tumours in rats. Based on the current Australian use pattern (one to </w:t>
      </w:r>
      <w:r>
        <w:t>2</w:t>
      </w:r>
      <w:r w:rsidR="00302DB5">
        <w:t> </w:t>
      </w:r>
      <w:r w:rsidRPr="00B446FD">
        <w:t>applications per season to rice) with no detectable food residues, long</w:t>
      </w:r>
      <w:r w:rsidR="00302DB5">
        <w:t>-</w:t>
      </w:r>
      <w:r w:rsidRPr="00B446FD">
        <w:t>term repeat daily exposure is not considered likely.</w:t>
      </w:r>
    </w:p>
    <w:p w14:paraId="3C24C899" w14:textId="03D0A68B" w:rsidR="00B446FD" w:rsidRPr="001F014C" w:rsidRDefault="00B446FD" w:rsidP="001F014C">
      <w:pPr>
        <w:pStyle w:val="Heading2"/>
      </w:pPr>
      <w:bookmarkStart w:id="31" w:name="_Toc96334691"/>
      <w:r w:rsidRPr="001F014C">
        <w:t>Reproductive and developmental toxicology studies</w:t>
      </w:r>
      <w:bookmarkEnd w:id="31"/>
    </w:p>
    <w:p w14:paraId="67AA7B33" w14:textId="1DC3DA22" w:rsidR="00B446FD" w:rsidRPr="00B446FD" w:rsidRDefault="00B446FD" w:rsidP="001F014C">
      <w:pPr>
        <w:pStyle w:val="APVMAText"/>
      </w:pPr>
      <w:r w:rsidRPr="00B446FD">
        <w:t xml:space="preserve">The APVMA was satisfied on the reproductive and developmental aspects of Molinate (TUIS, 1986). No additional reproductive or developmental toxicology studies were submitted for consideration as part of the review. Additional summary data that are available from the US EPA assessment (US EPA, 2001) is shown in Table </w:t>
      </w:r>
      <w:r w:rsidR="001F014C">
        <w:t>9</w:t>
      </w:r>
      <w:r w:rsidRPr="00B446FD">
        <w:t>, the APVMA is satisfied with these findings.</w:t>
      </w:r>
    </w:p>
    <w:p w14:paraId="6AC2A52D" w14:textId="278AA422" w:rsidR="00B446FD" w:rsidRPr="001F014C" w:rsidRDefault="00B446FD" w:rsidP="001F014C">
      <w:pPr>
        <w:pStyle w:val="Caption"/>
      </w:pPr>
      <w:bookmarkStart w:id="32" w:name="_Toc96334728"/>
      <w:r w:rsidRPr="001F014C">
        <w:t xml:space="preserve">Table </w:t>
      </w:r>
      <w:fldSimple w:instr=" SEQ Table \* ARABIC ">
        <w:r w:rsidR="001F014C">
          <w:rPr>
            <w:noProof/>
          </w:rPr>
          <w:t>9</w:t>
        </w:r>
      </w:fldSimple>
      <w:r w:rsidRPr="001F014C">
        <w:t>:</w:t>
      </w:r>
      <w:r w:rsidR="00B10D09">
        <w:t xml:space="preserve"> </w:t>
      </w:r>
      <w:r w:rsidRPr="001F014C">
        <w:t>Reproductive and developmental toxicology dose levels relevant to the human health risk assessment of molinate</w:t>
      </w:r>
      <w:bookmarkEnd w:id="32"/>
    </w:p>
    <w:tbl>
      <w:tblPr>
        <w:tblW w:w="5000" w:type="pct"/>
        <w:tblBorders>
          <w:bottom w:val="dotted" w:sz="2" w:space="0" w:color="auto"/>
          <w:insideH w:val="dotted" w:sz="2" w:space="0" w:color="auto"/>
        </w:tblBorders>
        <w:tblLook w:val="01E0" w:firstRow="1" w:lastRow="1" w:firstColumn="1" w:lastColumn="1" w:noHBand="0" w:noVBand="0"/>
      </w:tblPr>
      <w:tblGrid>
        <w:gridCol w:w="994"/>
        <w:gridCol w:w="1700"/>
        <w:gridCol w:w="1417"/>
        <w:gridCol w:w="2269"/>
        <w:gridCol w:w="1700"/>
        <w:gridCol w:w="1558"/>
      </w:tblGrid>
      <w:tr w:rsidR="00B446FD" w14:paraId="64B16A4F" w14:textId="77777777" w:rsidTr="00CC1E20">
        <w:trPr>
          <w:cantSplit/>
          <w:tblHeader/>
        </w:trPr>
        <w:tc>
          <w:tcPr>
            <w:tcW w:w="516" w:type="pct"/>
            <w:tcBorders>
              <w:top w:val="single" w:sz="4" w:space="0" w:color="auto"/>
              <w:bottom w:val="single" w:sz="4" w:space="0" w:color="auto"/>
            </w:tcBorders>
            <w:shd w:val="clear" w:color="auto" w:fill="5C2946"/>
            <w:vAlign w:val="bottom"/>
          </w:tcPr>
          <w:p w14:paraId="48479E9E" w14:textId="77777777" w:rsidR="00B446FD" w:rsidRPr="00FB0015" w:rsidRDefault="00B446FD" w:rsidP="007D27BA">
            <w:pPr>
              <w:pStyle w:val="TableHead"/>
            </w:pPr>
            <w:r>
              <w:t>Species</w:t>
            </w:r>
          </w:p>
        </w:tc>
        <w:tc>
          <w:tcPr>
            <w:tcW w:w="882" w:type="pct"/>
            <w:tcBorders>
              <w:top w:val="single" w:sz="4" w:space="0" w:color="auto"/>
              <w:bottom w:val="single" w:sz="4" w:space="0" w:color="auto"/>
            </w:tcBorders>
            <w:shd w:val="clear" w:color="auto" w:fill="5C2946"/>
            <w:vAlign w:val="bottom"/>
          </w:tcPr>
          <w:p w14:paraId="7E9CE31E" w14:textId="77777777" w:rsidR="00B446FD" w:rsidRPr="00FB0015" w:rsidRDefault="00B446FD" w:rsidP="007D27BA">
            <w:pPr>
              <w:pStyle w:val="TableHead"/>
            </w:pPr>
            <w:r>
              <w:t>Study type</w:t>
            </w:r>
          </w:p>
        </w:tc>
        <w:tc>
          <w:tcPr>
            <w:tcW w:w="735" w:type="pct"/>
            <w:tcBorders>
              <w:top w:val="single" w:sz="4" w:space="0" w:color="auto"/>
              <w:bottom w:val="single" w:sz="4" w:space="0" w:color="auto"/>
            </w:tcBorders>
            <w:shd w:val="clear" w:color="auto" w:fill="5C2946"/>
            <w:vAlign w:val="bottom"/>
          </w:tcPr>
          <w:p w14:paraId="63C2004A" w14:textId="77777777" w:rsidR="00B446FD" w:rsidRDefault="00B446FD" w:rsidP="007D27BA">
            <w:pPr>
              <w:pStyle w:val="TableHead"/>
            </w:pPr>
            <w:r>
              <w:t>Route of exposure</w:t>
            </w:r>
          </w:p>
        </w:tc>
        <w:tc>
          <w:tcPr>
            <w:tcW w:w="1177" w:type="pct"/>
            <w:tcBorders>
              <w:top w:val="single" w:sz="4" w:space="0" w:color="auto"/>
              <w:bottom w:val="single" w:sz="4" w:space="0" w:color="auto"/>
            </w:tcBorders>
            <w:shd w:val="clear" w:color="auto" w:fill="5C2946"/>
            <w:vAlign w:val="bottom"/>
          </w:tcPr>
          <w:p w14:paraId="2492039B" w14:textId="0E185BB1" w:rsidR="00B446FD" w:rsidRDefault="00B446FD" w:rsidP="007D27BA">
            <w:pPr>
              <w:pStyle w:val="TableHead"/>
            </w:pPr>
            <w:r>
              <w:t>Critical effects</w:t>
            </w:r>
          </w:p>
        </w:tc>
        <w:tc>
          <w:tcPr>
            <w:tcW w:w="882" w:type="pct"/>
            <w:tcBorders>
              <w:top w:val="single" w:sz="4" w:space="0" w:color="auto"/>
              <w:bottom w:val="single" w:sz="4" w:space="0" w:color="auto"/>
            </w:tcBorders>
            <w:shd w:val="clear" w:color="auto" w:fill="5C2946"/>
            <w:vAlign w:val="bottom"/>
          </w:tcPr>
          <w:p w14:paraId="10A11A4B" w14:textId="77777777" w:rsidR="00B446FD" w:rsidRDefault="00B446FD" w:rsidP="007D27BA">
            <w:pPr>
              <w:pStyle w:val="TableHead"/>
            </w:pPr>
            <w:r>
              <w:t>Lowest relevant NOEL or NOAEL</w:t>
            </w:r>
          </w:p>
        </w:tc>
        <w:tc>
          <w:tcPr>
            <w:tcW w:w="808" w:type="pct"/>
            <w:tcBorders>
              <w:top w:val="single" w:sz="4" w:space="0" w:color="auto"/>
              <w:bottom w:val="single" w:sz="4" w:space="0" w:color="auto"/>
            </w:tcBorders>
            <w:shd w:val="clear" w:color="auto" w:fill="5C2946"/>
            <w:vAlign w:val="bottom"/>
          </w:tcPr>
          <w:p w14:paraId="0F7A5F94" w14:textId="77777777" w:rsidR="00B446FD" w:rsidRDefault="00B446FD" w:rsidP="007D27BA">
            <w:pPr>
              <w:pStyle w:val="TableHead"/>
            </w:pPr>
            <w:r>
              <w:t>Lowest relevant LOEL or LOAEL</w:t>
            </w:r>
          </w:p>
        </w:tc>
      </w:tr>
      <w:tr w:rsidR="00B446FD" w14:paraId="23B275D4" w14:textId="77777777" w:rsidTr="001F014C">
        <w:trPr>
          <w:cantSplit/>
        </w:trPr>
        <w:tc>
          <w:tcPr>
            <w:tcW w:w="5000" w:type="pct"/>
            <w:gridSpan w:val="6"/>
            <w:tcBorders>
              <w:top w:val="single" w:sz="4" w:space="0" w:color="auto"/>
              <w:bottom w:val="single" w:sz="4" w:space="0" w:color="auto"/>
            </w:tcBorders>
            <w:vAlign w:val="center"/>
          </w:tcPr>
          <w:p w14:paraId="44203C34" w14:textId="025F9989" w:rsidR="00B446FD" w:rsidRPr="00B446FD" w:rsidRDefault="00B446FD" w:rsidP="00B446FD">
            <w:pPr>
              <w:pStyle w:val="TableSubHead"/>
            </w:pPr>
            <w:r w:rsidRPr="00B446FD">
              <w:t>Developmental neurotoxicology studies</w:t>
            </w:r>
          </w:p>
        </w:tc>
      </w:tr>
      <w:tr w:rsidR="00B446FD" w14:paraId="237A8FAF" w14:textId="77777777" w:rsidTr="001F014C">
        <w:trPr>
          <w:cantSplit/>
        </w:trPr>
        <w:tc>
          <w:tcPr>
            <w:tcW w:w="516" w:type="pct"/>
            <w:tcBorders>
              <w:top w:val="single" w:sz="4" w:space="0" w:color="auto"/>
              <w:bottom w:val="single" w:sz="4" w:space="0" w:color="auto"/>
            </w:tcBorders>
            <w:vAlign w:val="center"/>
          </w:tcPr>
          <w:p w14:paraId="105EFED1" w14:textId="6F79E61A" w:rsidR="00B446FD" w:rsidRPr="00B446FD" w:rsidRDefault="00B446FD" w:rsidP="00B446FD">
            <w:pPr>
              <w:pStyle w:val="TableText"/>
            </w:pPr>
            <w:r>
              <w:t>Rat</w:t>
            </w:r>
          </w:p>
        </w:tc>
        <w:tc>
          <w:tcPr>
            <w:tcW w:w="882" w:type="pct"/>
            <w:tcBorders>
              <w:top w:val="single" w:sz="4" w:space="0" w:color="auto"/>
              <w:bottom w:val="single" w:sz="4" w:space="0" w:color="auto"/>
            </w:tcBorders>
            <w:vAlign w:val="center"/>
          </w:tcPr>
          <w:p w14:paraId="27623F44" w14:textId="327D7320" w:rsidR="00B446FD" w:rsidRPr="00B446FD" w:rsidRDefault="00B446FD" w:rsidP="00B446FD">
            <w:pPr>
              <w:pStyle w:val="TableText"/>
            </w:pPr>
            <w:r>
              <w:t>Developmental neurotoxicology study</w:t>
            </w:r>
          </w:p>
        </w:tc>
        <w:tc>
          <w:tcPr>
            <w:tcW w:w="735" w:type="pct"/>
            <w:tcBorders>
              <w:top w:val="single" w:sz="4" w:space="0" w:color="auto"/>
              <w:bottom w:val="single" w:sz="4" w:space="0" w:color="auto"/>
            </w:tcBorders>
            <w:vAlign w:val="center"/>
          </w:tcPr>
          <w:p w14:paraId="4FF6C975" w14:textId="13378D30" w:rsidR="00B446FD" w:rsidRPr="00B446FD" w:rsidRDefault="00B446FD" w:rsidP="00B446FD">
            <w:pPr>
              <w:pStyle w:val="APVMATableText"/>
            </w:pPr>
            <w:r>
              <w:t>Oral (gavage)</w:t>
            </w:r>
          </w:p>
        </w:tc>
        <w:tc>
          <w:tcPr>
            <w:tcW w:w="1177" w:type="pct"/>
            <w:tcBorders>
              <w:top w:val="single" w:sz="4" w:space="0" w:color="auto"/>
              <w:bottom w:val="single" w:sz="4" w:space="0" w:color="auto"/>
            </w:tcBorders>
            <w:vAlign w:val="center"/>
          </w:tcPr>
          <w:p w14:paraId="499B6BD7" w14:textId="57B5FC6C" w:rsidR="00B446FD" w:rsidRDefault="00B446FD" w:rsidP="00B446FD">
            <w:pPr>
              <w:pStyle w:val="TableText"/>
            </w:pPr>
            <w:r>
              <w:t>R</w:t>
            </w:r>
            <w:r w:rsidRPr="00B62D45">
              <w:t>eduction in startle amplitude</w:t>
            </w:r>
          </w:p>
        </w:tc>
        <w:tc>
          <w:tcPr>
            <w:tcW w:w="882" w:type="pct"/>
            <w:tcBorders>
              <w:top w:val="single" w:sz="4" w:space="0" w:color="auto"/>
              <w:bottom w:val="single" w:sz="4" w:space="0" w:color="auto"/>
            </w:tcBorders>
            <w:vAlign w:val="center"/>
          </w:tcPr>
          <w:p w14:paraId="6A84E4E1" w14:textId="7BA19FA3" w:rsidR="00B446FD" w:rsidRDefault="00B446FD" w:rsidP="00B446FD">
            <w:pPr>
              <w:pStyle w:val="TableText"/>
            </w:pPr>
            <w:r>
              <w:t>Not determined</w:t>
            </w:r>
          </w:p>
        </w:tc>
        <w:tc>
          <w:tcPr>
            <w:tcW w:w="808" w:type="pct"/>
            <w:tcBorders>
              <w:top w:val="single" w:sz="4" w:space="0" w:color="auto"/>
              <w:bottom w:val="single" w:sz="4" w:space="0" w:color="auto"/>
            </w:tcBorders>
            <w:vAlign w:val="center"/>
          </w:tcPr>
          <w:p w14:paraId="425DCC7C" w14:textId="02761958" w:rsidR="00B446FD" w:rsidRDefault="00B446FD" w:rsidP="00B446FD">
            <w:pPr>
              <w:pStyle w:val="TableText"/>
            </w:pPr>
            <w:r>
              <w:t>1.8 mg/kg bw</w:t>
            </w:r>
          </w:p>
        </w:tc>
      </w:tr>
      <w:tr w:rsidR="00B446FD" w14:paraId="4C03E4F4" w14:textId="77777777" w:rsidTr="001F014C">
        <w:trPr>
          <w:cantSplit/>
        </w:trPr>
        <w:tc>
          <w:tcPr>
            <w:tcW w:w="5000" w:type="pct"/>
            <w:gridSpan w:val="6"/>
            <w:tcBorders>
              <w:top w:val="single" w:sz="4" w:space="0" w:color="auto"/>
              <w:bottom w:val="single" w:sz="4" w:space="0" w:color="auto"/>
            </w:tcBorders>
            <w:vAlign w:val="center"/>
          </w:tcPr>
          <w:p w14:paraId="1DC5E58C" w14:textId="122BD678" w:rsidR="00B446FD" w:rsidRDefault="00B446FD" w:rsidP="00B446FD">
            <w:pPr>
              <w:pStyle w:val="TableSubHead"/>
            </w:pPr>
            <w:r>
              <w:t>Reproductive and developmental toxicology studies</w:t>
            </w:r>
          </w:p>
        </w:tc>
      </w:tr>
      <w:tr w:rsidR="00B446FD" w14:paraId="5A6E2AB2" w14:textId="77777777" w:rsidTr="001F014C">
        <w:trPr>
          <w:cantSplit/>
        </w:trPr>
        <w:tc>
          <w:tcPr>
            <w:tcW w:w="516" w:type="pct"/>
            <w:tcBorders>
              <w:top w:val="single" w:sz="4" w:space="0" w:color="auto"/>
              <w:bottom w:val="single" w:sz="4" w:space="0" w:color="auto"/>
            </w:tcBorders>
            <w:vAlign w:val="center"/>
          </w:tcPr>
          <w:p w14:paraId="3CFB03A9" w14:textId="4F68D88A" w:rsidR="00B446FD" w:rsidRDefault="00B446FD" w:rsidP="00B446FD">
            <w:pPr>
              <w:pStyle w:val="TableText"/>
            </w:pPr>
            <w:r w:rsidRPr="00CC552A">
              <w:t>Rat</w:t>
            </w:r>
          </w:p>
        </w:tc>
        <w:tc>
          <w:tcPr>
            <w:tcW w:w="882" w:type="pct"/>
            <w:tcBorders>
              <w:top w:val="single" w:sz="4" w:space="0" w:color="auto"/>
              <w:bottom w:val="single" w:sz="4" w:space="0" w:color="auto"/>
            </w:tcBorders>
            <w:vAlign w:val="center"/>
          </w:tcPr>
          <w:p w14:paraId="04C84762" w14:textId="0447F2DD" w:rsidR="00B446FD" w:rsidRDefault="00B446FD" w:rsidP="00B446FD">
            <w:pPr>
              <w:pStyle w:val="TableText"/>
            </w:pPr>
            <w:r w:rsidRPr="00DF2A36">
              <w:t>3 generation reproduction study</w:t>
            </w:r>
          </w:p>
        </w:tc>
        <w:tc>
          <w:tcPr>
            <w:tcW w:w="735" w:type="pct"/>
            <w:tcBorders>
              <w:top w:val="single" w:sz="4" w:space="0" w:color="auto"/>
              <w:bottom w:val="single" w:sz="4" w:space="0" w:color="auto"/>
            </w:tcBorders>
            <w:vAlign w:val="center"/>
          </w:tcPr>
          <w:p w14:paraId="12673E0A" w14:textId="573CBBC3" w:rsidR="00B446FD" w:rsidRDefault="00B446FD" w:rsidP="00B446FD">
            <w:pPr>
              <w:pStyle w:val="TableText"/>
            </w:pPr>
            <w:r>
              <w:t>Oral</w:t>
            </w:r>
          </w:p>
        </w:tc>
        <w:tc>
          <w:tcPr>
            <w:tcW w:w="1177" w:type="pct"/>
            <w:tcBorders>
              <w:top w:val="single" w:sz="4" w:space="0" w:color="auto"/>
              <w:bottom w:val="single" w:sz="4" w:space="0" w:color="auto"/>
            </w:tcBorders>
            <w:vAlign w:val="center"/>
          </w:tcPr>
          <w:p w14:paraId="1DC3CB65" w14:textId="4FFBF983" w:rsidR="00B446FD" w:rsidRDefault="00B446FD" w:rsidP="00B446FD">
            <w:pPr>
              <w:pStyle w:val="TableText"/>
            </w:pPr>
            <w:r w:rsidRPr="00063851">
              <w:t>Reproductive effects including decrease in following: % viable sperm, % motile sperm, % normal sperm, sperm counts, number of implants, number of viable fetuses; increase in implantation loss</w:t>
            </w:r>
          </w:p>
        </w:tc>
        <w:tc>
          <w:tcPr>
            <w:tcW w:w="882" w:type="pct"/>
            <w:tcBorders>
              <w:top w:val="single" w:sz="4" w:space="0" w:color="auto"/>
              <w:bottom w:val="single" w:sz="4" w:space="0" w:color="auto"/>
            </w:tcBorders>
            <w:vAlign w:val="center"/>
          </w:tcPr>
          <w:p w14:paraId="7B5E9949" w14:textId="109FEFFC" w:rsidR="00B446FD" w:rsidRDefault="00B446FD" w:rsidP="00B446FD">
            <w:pPr>
              <w:pStyle w:val="TableText"/>
            </w:pPr>
            <w:r>
              <w:t>0.2 mg/kg bw/d</w:t>
            </w:r>
          </w:p>
        </w:tc>
        <w:tc>
          <w:tcPr>
            <w:tcW w:w="808" w:type="pct"/>
            <w:tcBorders>
              <w:top w:val="single" w:sz="4" w:space="0" w:color="auto"/>
              <w:bottom w:val="single" w:sz="4" w:space="0" w:color="auto"/>
            </w:tcBorders>
            <w:vAlign w:val="center"/>
          </w:tcPr>
          <w:p w14:paraId="772B7D2D" w14:textId="62C63E68" w:rsidR="00B446FD" w:rsidRDefault="00B446FD" w:rsidP="00B446FD">
            <w:pPr>
              <w:pStyle w:val="TableText"/>
            </w:pPr>
            <w:r>
              <w:t>Not reported</w:t>
            </w:r>
          </w:p>
        </w:tc>
      </w:tr>
      <w:tr w:rsidR="00B446FD" w14:paraId="274FFF90" w14:textId="77777777" w:rsidTr="001F014C">
        <w:trPr>
          <w:cantSplit/>
        </w:trPr>
        <w:tc>
          <w:tcPr>
            <w:tcW w:w="516" w:type="pct"/>
            <w:tcBorders>
              <w:top w:val="single" w:sz="4" w:space="0" w:color="auto"/>
              <w:bottom w:val="single" w:sz="4" w:space="0" w:color="auto"/>
            </w:tcBorders>
            <w:vAlign w:val="center"/>
          </w:tcPr>
          <w:p w14:paraId="2B8E66F8" w14:textId="430C1220" w:rsidR="00B446FD" w:rsidRPr="00CC552A" w:rsidRDefault="00B446FD" w:rsidP="00B446FD">
            <w:pPr>
              <w:pStyle w:val="TableText"/>
            </w:pPr>
            <w:r>
              <w:t>Rat</w:t>
            </w:r>
          </w:p>
        </w:tc>
        <w:tc>
          <w:tcPr>
            <w:tcW w:w="882" w:type="pct"/>
            <w:tcBorders>
              <w:top w:val="single" w:sz="4" w:space="0" w:color="auto"/>
              <w:bottom w:val="single" w:sz="4" w:space="0" w:color="auto"/>
            </w:tcBorders>
            <w:vAlign w:val="center"/>
          </w:tcPr>
          <w:p w14:paraId="1110FF47" w14:textId="41203529" w:rsidR="00B446FD" w:rsidRPr="00DF2A36" w:rsidRDefault="00B446FD" w:rsidP="00B446FD">
            <w:pPr>
              <w:pStyle w:val="TableText"/>
            </w:pPr>
            <w:r w:rsidRPr="00063851">
              <w:t xml:space="preserve">Reproduction and developmental toxicity </w:t>
            </w:r>
            <w:r>
              <w:t>study</w:t>
            </w:r>
          </w:p>
        </w:tc>
        <w:tc>
          <w:tcPr>
            <w:tcW w:w="735" w:type="pct"/>
            <w:tcBorders>
              <w:top w:val="single" w:sz="4" w:space="0" w:color="auto"/>
              <w:bottom w:val="single" w:sz="4" w:space="0" w:color="auto"/>
            </w:tcBorders>
            <w:vAlign w:val="center"/>
          </w:tcPr>
          <w:p w14:paraId="541E0FB3" w14:textId="0BA43014" w:rsidR="00B446FD" w:rsidRDefault="00B446FD" w:rsidP="00B446FD">
            <w:pPr>
              <w:pStyle w:val="TableText"/>
            </w:pPr>
            <w:r>
              <w:t>Inhalation</w:t>
            </w:r>
          </w:p>
        </w:tc>
        <w:tc>
          <w:tcPr>
            <w:tcW w:w="1177" w:type="pct"/>
            <w:tcBorders>
              <w:top w:val="single" w:sz="4" w:space="0" w:color="auto"/>
              <w:bottom w:val="single" w:sz="4" w:space="0" w:color="auto"/>
            </w:tcBorders>
            <w:vAlign w:val="center"/>
          </w:tcPr>
          <w:p w14:paraId="204D15C1" w14:textId="34D51C00" w:rsidR="00B446FD" w:rsidRPr="00063851" w:rsidRDefault="00B446FD" w:rsidP="00B446FD">
            <w:pPr>
              <w:pStyle w:val="TableText"/>
            </w:pPr>
            <w:r w:rsidRPr="00063851">
              <w:t>Reproductive effects including decreased number of implants and increased % of abnormal sperm</w:t>
            </w:r>
          </w:p>
        </w:tc>
        <w:tc>
          <w:tcPr>
            <w:tcW w:w="882" w:type="pct"/>
            <w:tcBorders>
              <w:top w:val="single" w:sz="4" w:space="0" w:color="auto"/>
              <w:bottom w:val="single" w:sz="4" w:space="0" w:color="auto"/>
            </w:tcBorders>
            <w:vAlign w:val="center"/>
          </w:tcPr>
          <w:p w14:paraId="48484AC7" w14:textId="6E9FF055" w:rsidR="00B446FD" w:rsidRDefault="00B446FD" w:rsidP="00B446FD">
            <w:pPr>
              <w:pStyle w:val="TableText"/>
            </w:pPr>
            <w:r>
              <w:t>0.0003 mg/mL</w:t>
            </w:r>
          </w:p>
        </w:tc>
        <w:tc>
          <w:tcPr>
            <w:tcW w:w="808" w:type="pct"/>
            <w:tcBorders>
              <w:top w:val="single" w:sz="4" w:space="0" w:color="auto"/>
              <w:bottom w:val="single" w:sz="4" w:space="0" w:color="auto"/>
            </w:tcBorders>
            <w:vAlign w:val="center"/>
          </w:tcPr>
          <w:p w14:paraId="1869A0F1" w14:textId="08D3DFE6" w:rsidR="00B446FD" w:rsidRDefault="00B446FD" w:rsidP="00B446FD">
            <w:pPr>
              <w:pStyle w:val="TableText"/>
            </w:pPr>
            <w:r>
              <w:t>Not reported</w:t>
            </w:r>
          </w:p>
        </w:tc>
      </w:tr>
    </w:tbl>
    <w:p w14:paraId="7691DDFC" w14:textId="057D0885" w:rsidR="00B446FD" w:rsidRDefault="00B446FD" w:rsidP="00B446FD">
      <w:pPr>
        <w:pStyle w:val="Heading2"/>
      </w:pPr>
      <w:bookmarkStart w:id="33" w:name="_Toc96334692"/>
      <w:r>
        <w:t>Neurotoxicology studies</w:t>
      </w:r>
      <w:bookmarkEnd w:id="33"/>
    </w:p>
    <w:p w14:paraId="7B309122" w14:textId="79018781" w:rsidR="00B446FD" w:rsidRPr="00B446FD" w:rsidRDefault="00B446FD" w:rsidP="001F014C">
      <w:pPr>
        <w:pStyle w:val="APVMAText"/>
      </w:pPr>
      <w:r w:rsidRPr="00B446FD">
        <w:t>The APVMA has considered and accepted the findings on information assessed by the US EPA (2001) as the basis for consideration of these aspects of the toxicology of molinate. The acute delayed neurotoxicity study in hens supported a NOAEL of 0.2 g/kg, based on axonal degeneration in brain and cervical spinal cord and an acute inhalation study in rats supported an acute inhalation NOAEL of 0.12 mg/L due to the presence of hind leg m</w:t>
      </w:r>
      <w:r>
        <w:t>uscle weakness at higher doses.</w:t>
      </w:r>
    </w:p>
    <w:p w14:paraId="113CC316" w14:textId="7A379408" w:rsidR="00B446FD" w:rsidRDefault="00B446FD" w:rsidP="001F014C">
      <w:pPr>
        <w:pStyle w:val="APVMAText"/>
      </w:pPr>
      <w:r w:rsidRPr="00B446FD">
        <w:t>In an acute oral neurotoxicity study in rats, the US EPA noted effects on motor activity, however the study was not considered acceptable for regulatory purposes because the measurement of effects on neurotarget esterase, cholinesterase and glial fibrillary acidic protein were not performed appropriately</w:t>
      </w:r>
      <w:r>
        <w:t>.</w:t>
      </w:r>
      <w:r>
        <w:br w:type="page"/>
      </w:r>
    </w:p>
    <w:p w14:paraId="6FEB35C0" w14:textId="5ABC36C5" w:rsidR="00B446FD" w:rsidRDefault="00B446FD" w:rsidP="00B446FD">
      <w:pPr>
        <w:pStyle w:val="Caption"/>
        <w:ind w:left="907" w:hanging="907"/>
      </w:pPr>
      <w:bookmarkStart w:id="34" w:name="_Toc96334729"/>
      <w:r>
        <w:t xml:space="preserve">Table </w:t>
      </w:r>
      <w:r>
        <w:rPr>
          <w:noProof/>
        </w:rPr>
        <w:fldChar w:fldCharType="begin"/>
      </w:r>
      <w:r>
        <w:rPr>
          <w:noProof/>
        </w:rPr>
        <w:instrText xml:space="preserve"> SEQ Table \* ARABIC </w:instrText>
      </w:r>
      <w:r>
        <w:rPr>
          <w:noProof/>
        </w:rPr>
        <w:fldChar w:fldCharType="separate"/>
      </w:r>
      <w:r w:rsidR="001F014C">
        <w:rPr>
          <w:noProof/>
        </w:rPr>
        <w:t>10</w:t>
      </w:r>
      <w:r>
        <w:rPr>
          <w:noProof/>
        </w:rPr>
        <w:fldChar w:fldCharType="end"/>
      </w:r>
      <w:r>
        <w:t>:</w:t>
      </w:r>
      <w:r w:rsidR="00B10D09">
        <w:t xml:space="preserve"> </w:t>
      </w:r>
      <w:r>
        <w:t>Acute neurotoxicity toxicology of molinate</w:t>
      </w:r>
      <w:bookmarkEnd w:id="34"/>
    </w:p>
    <w:tbl>
      <w:tblPr>
        <w:tblW w:w="5000" w:type="pct"/>
        <w:tblBorders>
          <w:bottom w:val="dotted" w:sz="2" w:space="0" w:color="auto"/>
          <w:insideH w:val="dotted" w:sz="2" w:space="0" w:color="auto"/>
        </w:tblBorders>
        <w:tblLook w:val="01E0" w:firstRow="1" w:lastRow="1" w:firstColumn="1" w:lastColumn="1" w:noHBand="0" w:noVBand="0"/>
      </w:tblPr>
      <w:tblGrid>
        <w:gridCol w:w="3554"/>
        <w:gridCol w:w="6084"/>
      </w:tblGrid>
      <w:tr w:rsidR="00B446FD" w14:paraId="35B65C1C" w14:textId="77777777" w:rsidTr="00CC1E20">
        <w:trPr>
          <w:cantSplit/>
          <w:tblHeader/>
        </w:trPr>
        <w:tc>
          <w:tcPr>
            <w:tcW w:w="1844" w:type="pct"/>
            <w:tcBorders>
              <w:top w:val="single" w:sz="4" w:space="0" w:color="auto"/>
              <w:bottom w:val="single" w:sz="4" w:space="0" w:color="auto"/>
            </w:tcBorders>
            <w:shd w:val="clear" w:color="auto" w:fill="5C2946"/>
            <w:vAlign w:val="bottom"/>
          </w:tcPr>
          <w:p w14:paraId="2D79F306" w14:textId="2BBB6EAE" w:rsidR="00B446FD" w:rsidRPr="00FB0015" w:rsidRDefault="00B446FD" w:rsidP="007D27BA">
            <w:pPr>
              <w:pStyle w:val="TableHead"/>
            </w:pPr>
            <w:r>
              <w:t>Species</w:t>
            </w:r>
          </w:p>
        </w:tc>
        <w:tc>
          <w:tcPr>
            <w:tcW w:w="3156" w:type="pct"/>
            <w:tcBorders>
              <w:top w:val="single" w:sz="4" w:space="0" w:color="auto"/>
              <w:bottom w:val="single" w:sz="4" w:space="0" w:color="auto"/>
            </w:tcBorders>
            <w:shd w:val="clear" w:color="auto" w:fill="5C2946"/>
            <w:vAlign w:val="bottom"/>
          </w:tcPr>
          <w:p w14:paraId="3A6CF2CA" w14:textId="56A3DC44" w:rsidR="00B446FD" w:rsidRPr="00FB0015" w:rsidRDefault="00B446FD" w:rsidP="007D27BA">
            <w:pPr>
              <w:pStyle w:val="TableHead"/>
            </w:pPr>
            <w:r>
              <w:t>Results</w:t>
            </w:r>
          </w:p>
        </w:tc>
      </w:tr>
      <w:tr w:rsidR="00B446FD" w14:paraId="225087C5" w14:textId="77777777" w:rsidTr="001F014C">
        <w:trPr>
          <w:cantSplit/>
        </w:trPr>
        <w:tc>
          <w:tcPr>
            <w:tcW w:w="1844" w:type="pct"/>
            <w:tcBorders>
              <w:top w:val="single" w:sz="4" w:space="0" w:color="auto"/>
              <w:bottom w:val="single" w:sz="4" w:space="0" w:color="auto"/>
            </w:tcBorders>
            <w:vAlign w:val="center"/>
          </w:tcPr>
          <w:p w14:paraId="7A6BC09C" w14:textId="51104FB5" w:rsidR="00B446FD" w:rsidRPr="00B446FD" w:rsidRDefault="00B446FD" w:rsidP="00B446FD">
            <w:pPr>
              <w:pStyle w:val="TableText"/>
            </w:pPr>
            <w:r w:rsidRPr="00B446FD">
              <w:t xml:space="preserve">Hen (acute delayed neurotoxicity) </w:t>
            </w:r>
          </w:p>
        </w:tc>
        <w:tc>
          <w:tcPr>
            <w:tcW w:w="3156" w:type="pct"/>
            <w:tcBorders>
              <w:top w:val="single" w:sz="4" w:space="0" w:color="auto"/>
              <w:bottom w:val="single" w:sz="4" w:space="0" w:color="auto"/>
            </w:tcBorders>
            <w:vAlign w:val="center"/>
          </w:tcPr>
          <w:p w14:paraId="12C90E72" w14:textId="79CEC3AB" w:rsidR="00B446FD" w:rsidRPr="00B446FD" w:rsidRDefault="00B446FD" w:rsidP="00B446FD">
            <w:pPr>
              <w:pStyle w:val="TableText"/>
            </w:pPr>
            <w:r w:rsidRPr="00B446FD">
              <w:t>NOAEL = 0.2 g/kg, based on axonal degeneration in brain and cervical spinal cord; delayed neurotoxicant.</w:t>
            </w:r>
          </w:p>
        </w:tc>
      </w:tr>
      <w:tr w:rsidR="00B446FD" w14:paraId="71683D0D" w14:textId="77777777" w:rsidTr="001F014C">
        <w:trPr>
          <w:cantSplit/>
        </w:trPr>
        <w:tc>
          <w:tcPr>
            <w:tcW w:w="1844" w:type="pct"/>
            <w:tcBorders>
              <w:top w:val="single" w:sz="4" w:space="0" w:color="auto"/>
              <w:bottom w:val="single" w:sz="4" w:space="0" w:color="auto"/>
            </w:tcBorders>
            <w:vAlign w:val="center"/>
          </w:tcPr>
          <w:p w14:paraId="072B98C4" w14:textId="46FB152E" w:rsidR="00B446FD" w:rsidRPr="00B446FD" w:rsidRDefault="00B446FD" w:rsidP="00B446FD">
            <w:pPr>
              <w:pStyle w:val="TableText"/>
            </w:pPr>
            <w:r w:rsidRPr="00B446FD">
              <w:t>Rat (acute inhalation study)</w:t>
            </w:r>
          </w:p>
        </w:tc>
        <w:tc>
          <w:tcPr>
            <w:tcW w:w="3156" w:type="pct"/>
            <w:tcBorders>
              <w:top w:val="single" w:sz="4" w:space="0" w:color="auto"/>
              <w:bottom w:val="single" w:sz="4" w:space="0" w:color="auto"/>
            </w:tcBorders>
            <w:vAlign w:val="center"/>
          </w:tcPr>
          <w:p w14:paraId="2E905060" w14:textId="2968707C" w:rsidR="00B446FD" w:rsidRPr="00B446FD" w:rsidRDefault="00B446FD" w:rsidP="00B446FD">
            <w:pPr>
              <w:pStyle w:val="TableText"/>
            </w:pPr>
            <w:r w:rsidRPr="00B446FD">
              <w:t>NOAEL of 0.12 mg/L due to the presence of hind leg muscle weakness at higher doses.</w:t>
            </w:r>
          </w:p>
        </w:tc>
      </w:tr>
    </w:tbl>
    <w:p w14:paraId="1B74F749" w14:textId="59EF1CA7" w:rsidR="00B446FD" w:rsidRDefault="00B446FD" w:rsidP="001F014C">
      <w:pPr>
        <w:pStyle w:val="APVMAText"/>
      </w:pPr>
      <w:r>
        <w:t xml:space="preserve">Although the chronic dietary exposure in rats resulted in </w:t>
      </w:r>
      <w:r w:rsidRPr="00A35DAB">
        <w:t xml:space="preserve">sciatic nerve </w:t>
      </w:r>
      <w:r>
        <w:t xml:space="preserve">neuropathy and microscopic anatomic findings consistent with denervation myopathy, the use pattern (one to 2 </w:t>
      </w:r>
      <w:r w:rsidRPr="00A35DAB">
        <w:t>applications per season to rice) with no detectable food residues does not indicate any potential long</w:t>
      </w:r>
      <w:r w:rsidR="00302DB5">
        <w:t>-</w:t>
      </w:r>
      <w:r w:rsidRPr="00A35DAB">
        <w:t>term repeat daily exposure.</w:t>
      </w:r>
    </w:p>
    <w:p w14:paraId="28BC7DBB" w14:textId="50D1C7BE" w:rsidR="00B446FD" w:rsidRPr="001F014C" w:rsidRDefault="00B446FD" w:rsidP="001F014C">
      <w:pPr>
        <w:pStyle w:val="Heading2"/>
      </w:pPr>
      <w:bookmarkStart w:id="35" w:name="_Toc96334693"/>
      <w:r w:rsidRPr="001F014C">
        <w:t>Health</w:t>
      </w:r>
      <w:r w:rsidR="00656F27">
        <w:t xml:space="preserve"> </w:t>
      </w:r>
      <w:r w:rsidRPr="001F014C">
        <w:t>based guidance values and points of departure for human health risk assessment</w:t>
      </w:r>
      <w:bookmarkEnd w:id="35"/>
    </w:p>
    <w:p w14:paraId="0D1D8563" w14:textId="2D5AA23A" w:rsidR="00B446FD" w:rsidRPr="001F014C" w:rsidRDefault="00B446FD" w:rsidP="001F014C">
      <w:pPr>
        <w:pStyle w:val="Heading3"/>
      </w:pPr>
      <w:bookmarkStart w:id="36" w:name="_Toc96334694"/>
      <w:r w:rsidRPr="001F014C">
        <w:t>Acceptable daily intake</w:t>
      </w:r>
      <w:bookmarkEnd w:id="36"/>
    </w:p>
    <w:p w14:paraId="2313A282" w14:textId="1C785D87" w:rsidR="00B446FD" w:rsidRPr="00B446FD" w:rsidRDefault="00B446FD" w:rsidP="001F014C">
      <w:pPr>
        <w:pStyle w:val="APVMAText"/>
      </w:pPr>
      <w:r w:rsidRPr="00B446FD">
        <w:t>Based on the additional information considered under this review, a new acceptable daily intake (ADI) will be established for molinate. The lowest appropriate point of departure is the oral dietary LOAEL of 0.3 mg/kg bw/d from the rat chronic toxicity/carcinogenicity study. A total safety factor of 1</w:t>
      </w:r>
      <w:r>
        <w:t>,</w:t>
      </w:r>
      <w:r w:rsidRPr="00B446FD">
        <w:t xml:space="preserve">000 should be applied (10 for extrapolation from the LOAEL to the NOAEL, 10 for interspecies extrapolation and 10 for intraspecies extrapolation). </w:t>
      </w:r>
      <w:r w:rsidR="006A6B20" w:rsidRPr="00B446FD">
        <w:t>Thus,</w:t>
      </w:r>
      <w:r w:rsidRPr="00B446FD">
        <w:t xml:space="preserve"> the new ADI is 0.3/1000≈ 0.0003 mg/kg </w:t>
      </w:r>
      <w:r>
        <w:t>bw/d.</w:t>
      </w:r>
    </w:p>
    <w:p w14:paraId="434E21CE" w14:textId="4B4F4B97" w:rsidR="00B446FD" w:rsidRPr="00B446FD" w:rsidRDefault="00B446FD" w:rsidP="001F014C">
      <w:pPr>
        <w:pStyle w:val="APVMAText"/>
      </w:pPr>
      <w:r w:rsidRPr="00B446FD">
        <w:t xml:space="preserve">An ADI of 0.0003 mg/kg bw/d is considered to be sufficiently protective against the testicular effects seen in the rat </w:t>
      </w:r>
      <w:r>
        <w:t>3</w:t>
      </w:r>
      <w:r w:rsidRPr="00B446FD">
        <w:t xml:space="preserve"> generation reproduction study (NOAEL of 0.2 mg/kg bw/d; the point of departure used for the current molinate ADI established in 1986), the fertility effects seen in the rat reproduction and developmental study (NOAEL 0.2 mg/kg bw/d) and the effects on body weight and the male reproductive system seen in the 90 day repeat dose oral toxicity study in rats (LOAEL 2 mg/kg bw/d). It is also considered sufficiently protective for the delayed neurotoxicity observed in hens (NOAEL 0.2 mg/kg bw/day).</w:t>
      </w:r>
    </w:p>
    <w:p w14:paraId="090E479E" w14:textId="09C15CA3" w:rsidR="00B446FD" w:rsidRPr="001F014C" w:rsidRDefault="00B446FD" w:rsidP="001F014C">
      <w:pPr>
        <w:pStyle w:val="Heading3"/>
      </w:pPr>
      <w:bookmarkStart w:id="37" w:name="_Toc96334695"/>
      <w:r w:rsidRPr="001F014C">
        <w:t>Acute reference dose</w:t>
      </w:r>
      <w:bookmarkEnd w:id="37"/>
    </w:p>
    <w:p w14:paraId="0E6900AD" w14:textId="56DBFA28" w:rsidR="00B446FD" w:rsidRPr="00B446FD" w:rsidRDefault="00B446FD" w:rsidP="001F014C">
      <w:pPr>
        <w:pStyle w:val="APVMAText"/>
      </w:pPr>
      <w:r w:rsidRPr="00B446FD">
        <w:t>An acute reference dose (ARfD) has been established for molinate. The lowest relevant point of departure is the LOAEL of 1.8 mg/kg bw for the rat developmental neurotoxicity study. A total safety factor of 1</w:t>
      </w:r>
      <w:r>
        <w:t>,</w:t>
      </w:r>
      <w:r w:rsidRPr="00B446FD">
        <w:t xml:space="preserve">000 should be applied (10 for extrapolation from the LOAEL to the NOAEL, 10 for interspecies extrapolation and 10 for intraspecies extrapolation). </w:t>
      </w:r>
      <w:r w:rsidR="006A6B20" w:rsidRPr="00B446FD">
        <w:t>Thus,</w:t>
      </w:r>
      <w:r w:rsidRPr="00B446FD">
        <w:t xml:space="preserve"> the ARfD is 1.8/1000≈ 0.002 mg/kg bw. An additional supporting study is the acute delayed neurotoxicity study in hens, where a NOAEL of 0.2 mg/kg bw/day was observed. The application of a total safety factor of 100 to this value (10 for interspecies extrapolation and 10 for intraspecies extrapolation) yields a similar ARfD of 0.002 mg/kg bw.</w:t>
      </w:r>
    </w:p>
    <w:p w14:paraId="5A0B8D83" w14:textId="4CB5A853" w:rsidR="00B446FD" w:rsidRPr="001F014C" w:rsidRDefault="00B446FD" w:rsidP="001F014C">
      <w:pPr>
        <w:pStyle w:val="Heading3"/>
      </w:pPr>
      <w:bookmarkStart w:id="38" w:name="_Toc96334696"/>
      <w:r w:rsidRPr="001F014C">
        <w:t>Short</w:t>
      </w:r>
      <w:r w:rsidR="00302DB5">
        <w:t>-</w:t>
      </w:r>
      <w:r w:rsidRPr="001F014C">
        <w:t>term exposure points of departure for work health and safety risk assessment</w:t>
      </w:r>
      <w:bookmarkEnd w:id="38"/>
    </w:p>
    <w:p w14:paraId="175F440D" w14:textId="60F38915" w:rsidR="00B446FD" w:rsidRPr="00B446FD" w:rsidRDefault="00B446FD" w:rsidP="001F014C">
      <w:pPr>
        <w:pStyle w:val="APVMAText"/>
      </w:pPr>
      <w:r w:rsidRPr="00B446FD">
        <w:t>The lowest relevant point of departure is the oral LOAEL of 1.8 mg/kg bw for the rat developmental neurotoxicity study. A DAF of 0.4 and a MOE of greater than or equal to</w:t>
      </w:r>
      <w:r>
        <w:t xml:space="preserve"> </w:t>
      </w:r>
      <w:r w:rsidRPr="00B446FD">
        <w:t>1</w:t>
      </w:r>
      <w:r>
        <w:t>,</w:t>
      </w:r>
      <w:r w:rsidRPr="00B446FD">
        <w:t>000 are appropriate for dermal exposure assessment.</w:t>
      </w:r>
    </w:p>
    <w:p w14:paraId="16D4B3F8" w14:textId="34DB333D" w:rsidR="00B446FD" w:rsidRPr="001F014C" w:rsidRDefault="00B446FD" w:rsidP="001F014C">
      <w:pPr>
        <w:pStyle w:val="Heading3"/>
      </w:pPr>
      <w:bookmarkStart w:id="39" w:name="_Toc50996202"/>
      <w:bookmarkStart w:id="40" w:name="_Toc96334697"/>
      <w:r w:rsidRPr="001F014C">
        <w:t>Intermediate</w:t>
      </w:r>
      <w:r w:rsidR="00656F27">
        <w:t xml:space="preserve"> </w:t>
      </w:r>
      <w:r w:rsidRPr="001F014C">
        <w:t>term exposure points of departure for work health and safety risk assessment</w:t>
      </w:r>
      <w:bookmarkEnd w:id="39"/>
      <w:bookmarkEnd w:id="40"/>
    </w:p>
    <w:p w14:paraId="47F82B35" w14:textId="52BE85DD" w:rsidR="00B446FD" w:rsidRPr="00B446FD" w:rsidRDefault="00B446FD" w:rsidP="001F014C">
      <w:pPr>
        <w:pStyle w:val="APVMAText"/>
      </w:pPr>
      <w:r w:rsidRPr="00B446FD">
        <w:t xml:space="preserve">The lowest relevant point of departure is the oral LOAEL of 1.8 mg/kg bw for the rat developmental neurotoxicity study. A DAF of 0.4 and </w:t>
      </w:r>
      <w:r w:rsidR="006A6B20" w:rsidRPr="00B446FD">
        <w:t>an</w:t>
      </w:r>
      <w:r w:rsidRPr="00B446FD">
        <w:t xml:space="preserve"> MOE of greater than or equal to 1</w:t>
      </w:r>
      <w:r>
        <w:t>,</w:t>
      </w:r>
      <w:r w:rsidRPr="00B446FD">
        <w:t>000 are appropriate for dermal exposure assessment. This is considered suitably protective for the effects of delayed neurotoxicity in hens, where a NOAEL of 0.2 mg/kg bw/day was observed.</w:t>
      </w:r>
    </w:p>
    <w:p w14:paraId="312F6F42" w14:textId="1ECDF170" w:rsidR="00B446FD" w:rsidRPr="001F014C" w:rsidRDefault="00B446FD" w:rsidP="001F014C">
      <w:pPr>
        <w:pStyle w:val="Heading3"/>
      </w:pPr>
      <w:bookmarkStart w:id="41" w:name="_Toc50996203"/>
      <w:bookmarkStart w:id="42" w:name="_Toc96334698"/>
      <w:r w:rsidRPr="001F014C">
        <w:t>Long</w:t>
      </w:r>
      <w:r w:rsidR="00302DB5">
        <w:t>-</w:t>
      </w:r>
      <w:r w:rsidRPr="001F014C">
        <w:t>term exposure points of departure for work health and safety risk assessment</w:t>
      </w:r>
      <w:bookmarkEnd w:id="41"/>
      <w:bookmarkEnd w:id="42"/>
    </w:p>
    <w:p w14:paraId="5239C819" w14:textId="5F435CC1" w:rsidR="00B446FD" w:rsidRPr="00B446FD" w:rsidRDefault="00B446FD" w:rsidP="001F014C">
      <w:pPr>
        <w:pStyle w:val="APVMAText"/>
      </w:pPr>
      <w:r w:rsidRPr="00B446FD">
        <w:t>The use pattern (</w:t>
      </w:r>
      <w:r>
        <w:t>one to 2</w:t>
      </w:r>
      <w:r w:rsidRPr="00B446FD">
        <w:t xml:space="preserve"> applications per season to rice) indicates that long</w:t>
      </w:r>
      <w:r w:rsidR="00302DB5">
        <w:t>-</w:t>
      </w:r>
      <w:r w:rsidRPr="00B446FD">
        <w:t>term occupational exposure points of departure for occupation exposure risk assessment associated with the pesticidal use of molinate in Australia are not required.</w:t>
      </w:r>
    </w:p>
    <w:p w14:paraId="6073FE2A" w14:textId="180960B7" w:rsidR="00B446FD" w:rsidRPr="001F014C" w:rsidRDefault="00B446FD" w:rsidP="001F014C">
      <w:pPr>
        <w:pStyle w:val="Heading2"/>
      </w:pPr>
      <w:bookmarkStart w:id="43" w:name="_Toc96334699"/>
      <w:r w:rsidRPr="001F014C">
        <w:t>Poisons scheduling</w:t>
      </w:r>
      <w:bookmarkEnd w:id="43"/>
    </w:p>
    <w:p w14:paraId="18D15D46" w14:textId="0849BD26" w:rsidR="00B446FD" w:rsidRPr="00B446FD" w:rsidRDefault="00B446FD" w:rsidP="001F014C">
      <w:pPr>
        <w:pStyle w:val="APVMAText"/>
      </w:pPr>
      <w:r w:rsidRPr="00B446FD">
        <w:t>The scheduling of molinate was considered by the National Drugs and Poisons Scheduling Committee on 4</w:t>
      </w:r>
      <w:r w:rsidR="00302DB5">
        <w:t> </w:t>
      </w:r>
      <w:r w:rsidRPr="00B446FD">
        <w:t>June 2004. The committee recommended that molinate be included in Schedule 7 of the Standard for the Uniform Scheduling of Medicines and Poisons, and also be included in Appendix J. On this basis, molinate is not available except to authorised or licensed persons. No additional authorisation considerations are recommended for molinate.</w:t>
      </w:r>
    </w:p>
    <w:p w14:paraId="32F406F2" w14:textId="77777777" w:rsidR="00B446FD" w:rsidRPr="00B446FD" w:rsidRDefault="00B446FD" w:rsidP="001F014C">
      <w:pPr>
        <w:pStyle w:val="APVMAText"/>
      </w:pPr>
      <w:r w:rsidRPr="00B446FD">
        <w:t>No changes are proposed to the scheduling of molinate.</w:t>
      </w:r>
    </w:p>
    <w:p w14:paraId="3AD00E1E" w14:textId="14221501" w:rsidR="00B446FD" w:rsidRPr="001F014C" w:rsidRDefault="00B446FD" w:rsidP="001F014C">
      <w:pPr>
        <w:pStyle w:val="Heading2"/>
      </w:pPr>
      <w:bookmarkStart w:id="44" w:name="_Toc96334700"/>
      <w:r w:rsidRPr="001F014C">
        <w:t>Recommendations</w:t>
      </w:r>
      <w:bookmarkEnd w:id="44"/>
    </w:p>
    <w:p w14:paraId="7751CC74" w14:textId="5D2CCB2B" w:rsidR="00B446FD" w:rsidRPr="00B446FD" w:rsidRDefault="00B446FD" w:rsidP="001F014C">
      <w:pPr>
        <w:pStyle w:val="APVMAText"/>
      </w:pPr>
      <w:r w:rsidRPr="00B446FD">
        <w:t>Very limited new toxicology information was submitted for consideration during the review, and certain recommendations have been built on the APVMA’s consideration of information drawn from the US EPA 2001 review of molinate. The review concludes th</w:t>
      </w:r>
      <w:r>
        <w:t>e following</w:t>
      </w:r>
      <w:r w:rsidRPr="00B446FD">
        <w:t>:</w:t>
      </w:r>
    </w:p>
    <w:p w14:paraId="181D6D69" w14:textId="77777777" w:rsidR="00B446FD" w:rsidRPr="00CC1E20" w:rsidRDefault="00B446FD" w:rsidP="00CC1E20">
      <w:pPr>
        <w:pStyle w:val="Bullet1"/>
      </w:pPr>
      <w:r w:rsidRPr="00CC1E20">
        <w:t>The approval of molinate active constituents and registration of products containing molinate would not be an undue health hazard to the safety of people exposed to it during its handling or people using anything containing its residues, provided label restrictions are followed.</w:t>
      </w:r>
    </w:p>
    <w:p w14:paraId="3BFB24F2" w14:textId="15FB38C0" w:rsidR="00B446FD" w:rsidRPr="00CC1E20" w:rsidRDefault="00B446FD" w:rsidP="00CC1E20">
      <w:pPr>
        <w:pStyle w:val="Bullet1"/>
      </w:pPr>
      <w:r w:rsidRPr="00CC1E20">
        <w:t>The ADI should be revised to 0.0003 milligrams of molinate per kilogram body weight per day, based on degeneration or demyelination in the sciatic nerve in rats at 0.3 mg/kg bw/day following dosing for 2</w:t>
      </w:r>
      <w:r w:rsidR="00302DB5">
        <w:t> </w:t>
      </w:r>
      <w:r w:rsidRPr="00CC1E20">
        <w:t>years. The ADI incorporates a 1,000-fold uncertainty factor to account for inter- and intra-species variation in sensitivity, as well as for the use of a low observed adverse effect level rather than a no observed adverse effect level.</w:t>
      </w:r>
    </w:p>
    <w:p w14:paraId="2CC51C8D" w14:textId="514868C3" w:rsidR="00B446FD" w:rsidRPr="00CC1E20" w:rsidRDefault="00B446FD" w:rsidP="00CC1E20">
      <w:pPr>
        <w:pStyle w:val="Bullet1"/>
      </w:pPr>
      <w:r w:rsidRPr="00CC1E20">
        <w:t>An ARfD should be established at 0.002 mg/kg bw, based on a low observed adverse effect level of 1.8 mg/kg bw in a rat development neurotoxicity study, and the application of a 1,000-fold safety factor to account for inter- and intra-species variation in sensitivity, as well as for the use of a low observed adverse effect level rather than a no observed adverse effect level.</w:t>
      </w:r>
    </w:p>
    <w:p w14:paraId="3267DB4C" w14:textId="77777777" w:rsidR="00B446FD" w:rsidRPr="00CC1E20" w:rsidRDefault="00B446FD" w:rsidP="00CC1E20">
      <w:pPr>
        <w:pStyle w:val="Bullet1"/>
        <w:sectPr w:rsidR="00B446FD" w:rsidRPr="00CC1E20">
          <w:headerReference w:type="default" r:id="rId33"/>
          <w:pgSz w:w="11906" w:h="16838" w:code="9"/>
          <w:pgMar w:top="2835" w:right="1134" w:bottom="1134" w:left="1134" w:header="1701" w:footer="680" w:gutter="0"/>
          <w:cols w:space="708"/>
          <w:docGrid w:linePitch="360"/>
        </w:sectPr>
      </w:pPr>
      <w:r w:rsidRPr="00CC1E20">
        <w:t>Molinate should remain in Schedule 7 and Appendix J of the Standard for the Uniform Scheduling of Medicines and Poisons.</w:t>
      </w:r>
    </w:p>
    <w:p w14:paraId="7A8C8866" w14:textId="49CEE008" w:rsidR="00B446FD" w:rsidRDefault="00B446FD" w:rsidP="00B446FD">
      <w:pPr>
        <w:pStyle w:val="Heading1"/>
      </w:pPr>
      <w:bookmarkStart w:id="45" w:name="_Toc96334701"/>
      <w:r>
        <w:t>Work health and safety</w:t>
      </w:r>
      <w:bookmarkEnd w:id="45"/>
    </w:p>
    <w:p w14:paraId="2DE9CB35" w14:textId="31C58A52" w:rsidR="00B446FD" w:rsidRPr="00B446FD" w:rsidRDefault="00B446FD" w:rsidP="001F014C">
      <w:pPr>
        <w:pStyle w:val="APVMAText"/>
      </w:pPr>
      <w:r w:rsidRPr="00B446FD">
        <w:t>Advice received from</w:t>
      </w:r>
      <w:r>
        <w:t xml:space="preserve"> the</w:t>
      </w:r>
      <w:r w:rsidRPr="00B446FD">
        <w:t xml:space="preserve"> Ricegrowers</w:t>
      </w:r>
      <w:r>
        <w:t>’</w:t>
      </w:r>
      <w:r w:rsidRPr="00B446FD">
        <w:t xml:space="preserve"> Association of Australia and CropCare Australasia indicated that the area treated by aerial application of molinate is likely to be in the range of 150</w:t>
      </w:r>
      <w:r>
        <w:t xml:space="preserve"> to </w:t>
      </w:r>
      <w:r w:rsidRPr="00B446FD">
        <w:t xml:space="preserve">300 ha/d over a </w:t>
      </w:r>
      <w:r>
        <w:t>4 to 8</w:t>
      </w:r>
      <w:r w:rsidRPr="00B446FD">
        <w:t xml:space="preserve"> week period during the rice growing season. </w:t>
      </w:r>
      <w:r w:rsidR="006A6B20" w:rsidRPr="00B446FD">
        <w:t>Accordingly,</w:t>
      </w:r>
      <w:r w:rsidRPr="00B446FD">
        <w:t xml:space="preserve"> the </w:t>
      </w:r>
      <w:r w:rsidR="00CC1E20" w:rsidRPr="00B446FD">
        <w:t>short</w:t>
      </w:r>
      <w:r w:rsidR="00CC1E20">
        <w:t>-term</w:t>
      </w:r>
      <w:r w:rsidRPr="00B446FD">
        <w:t xml:space="preserve"> exposure points of departure for work health and safety risk assessment are considered to be appropriate.</w:t>
      </w:r>
    </w:p>
    <w:p w14:paraId="7D25848B" w14:textId="031CE174" w:rsidR="00B446FD" w:rsidRPr="00B446FD" w:rsidRDefault="00B446FD" w:rsidP="001F014C">
      <w:pPr>
        <w:pStyle w:val="APVMAText"/>
      </w:pPr>
      <w:r w:rsidRPr="00B446FD">
        <w:t>In 2006, an interim work health and safety (WHS) assessment was completed by the Office of Chemical Safety. From this interim assessment, it was concluded that the ground application of molinate via herbigation/SCWIIRT methods could no longer be supported given that they posed an unacceptable dermal and inhalation risk to workers. In 2011, as an interim collaborative effort with the APVMA, registrants voluntarily amended product labels for use in closed supply and delivery systems by tractor or helicopter only to reduce worker exposure to molinate. The interim measure was implemented while additional WHS information was sought from registrants and interested parties.</w:t>
      </w:r>
    </w:p>
    <w:p w14:paraId="235AD5F6" w14:textId="256B3BF5" w:rsidR="00B446FD" w:rsidRPr="001F014C" w:rsidRDefault="00B446FD" w:rsidP="001F014C">
      <w:pPr>
        <w:pStyle w:val="APVMAText"/>
      </w:pPr>
      <w:r w:rsidRPr="00B446FD">
        <w:t xml:space="preserve">In 2012, the additional WHS assessment work concluded that the worker exposure concerns raised in the 2006 interim risk could still not be adequately addressed. No specific occupational exposure studies using the SCWIIRT method and Bickley </w:t>
      </w:r>
      <w:r w:rsidR="00302DB5">
        <w:t>b</w:t>
      </w:r>
      <w:r w:rsidRPr="00B446FD">
        <w:t xml:space="preserve">oom (single nozzle delivery per wing) were available at that time and the risk assessment was based on available exposure data in the PHED database (US EPA 1998) that did not closely address the exposure scenario. The WHS assessment concluded that there was an unacceptable risk to operators involved in closed system mixing and loading and for pilots during fixed wing and helicopter application (APVMA, 2012). For a copy of the full 2012 WHS assessment refer to the </w:t>
      </w:r>
      <w:hyperlink r:id="rId34" w:history="1">
        <w:r w:rsidRPr="001F014C">
          <w:rPr>
            <w:rStyle w:val="Hyperlink"/>
          </w:rPr>
          <w:t>Occupational Health and Safety risk assessment of the ground and aerial application of molinate</w:t>
        </w:r>
      </w:hyperlink>
      <w:r w:rsidRPr="001F014C">
        <w:t>.</w:t>
      </w:r>
    </w:p>
    <w:p w14:paraId="3F28517D" w14:textId="3E8E5B0C" w:rsidR="00B10D09" w:rsidRDefault="00B446FD" w:rsidP="001F014C">
      <w:pPr>
        <w:pStyle w:val="APVMAText"/>
      </w:pPr>
      <w:r w:rsidRPr="00B446FD">
        <w:t xml:space="preserve">In 2014, a preliminary study with </w:t>
      </w:r>
      <w:r>
        <w:t>3</w:t>
      </w:r>
      <w:r w:rsidRPr="00B446FD">
        <w:t xml:space="preserve"> operators (</w:t>
      </w:r>
      <w:r>
        <w:t>3</w:t>
      </w:r>
      <w:r w:rsidRPr="00B446FD">
        <w:t xml:space="preserve"> replicates) was conducted to assess the extent of dermal exposure when wearing specified PPE during mixing and loading of a registered molinate herbicide (Agrisearch, 2014). The purpose of this study was to assess whether the proposed PPE provided adequate health and safety protection following application of a molinate formulation containing 960 g ac/L at a rate of 3.75 L/ha when utilising appropriate personal protective equipment. The personal protective equipment used for mixing and loading was:</w:t>
      </w:r>
    </w:p>
    <w:p w14:paraId="6E41F879" w14:textId="38D6CD80" w:rsidR="00B10D09" w:rsidRDefault="00B446FD" w:rsidP="00B10D09">
      <w:pPr>
        <w:pStyle w:val="Bullet1"/>
      </w:pPr>
      <w:r w:rsidRPr="00B446FD">
        <w:t>cotton overalls buttoned to the neck and wrist</w:t>
      </w:r>
    </w:p>
    <w:p w14:paraId="5D7B204E" w14:textId="5F8AFCAC" w:rsidR="00B10D09" w:rsidRDefault="00B446FD" w:rsidP="00B10D09">
      <w:pPr>
        <w:pStyle w:val="Bullet1"/>
      </w:pPr>
      <w:r w:rsidRPr="00B446FD">
        <w:t>water resistant footwear (gumboots)</w:t>
      </w:r>
    </w:p>
    <w:p w14:paraId="4C35947D" w14:textId="5BBC1367" w:rsidR="00B10D09" w:rsidRDefault="00B446FD" w:rsidP="00B10D09">
      <w:pPr>
        <w:pStyle w:val="Bullet1"/>
      </w:pPr>
      <w:r w:rsidRPr="00B446FD">
        <w:t>a washable hat</w:t>
      </w:r>
    </w:p>
    <w:p w14:paraId="456F3EE1" w14:textId="39407378" w:rsidR="00B10D09" w:rsidRDefault="00B446FD" w:rsidP="00B10D09">
      <w:pPr>
        <w:pStyle w:val="Bullet1"/>
      </w:pPr>
      <w:r w:rsidRPr="00B446FD">
        <w:t>elbow length chemical resistant PVC gloves</w:t>
      </w:r>
    </w:p>
    <w:p w14:paraId="5ECE1CE2" w14:textId="77777777" w:rsidR="00B10D09" w:rsidRDefault="00B446FD" w:rsidP="00B10D09">
      <w:pPr>
        <w:pStyle w:val="Bullet1"/>
      </w:pPr>
      <w:r w:rsidRPr="00B446FD">
        <w:t xml:space="preserve">a PVC or rubber apron extending down over the </w:t>
      </w:r>
      <w:r w:rsidR="00B10D09" w:rsidRPr="00B446FD">
        <w:t>water-resistant</w:t>
      </w:r>
      <w:r w:rsidRPr="00B446FD">
        <w:t xml:space="preserve"> footwear.</w:t>
      </w:r>
    </w:p>
    <w:p w14:paraId="38761B84" w14:textId="2436F088" w:rsidR="00FE6DBB" w:rsidRDefault="00FE6DBB" w:rsidP="001F014C">
      <w:pPr>
        <w:pStyle w:val="APVMAText"/>
      </w:pPr>
      <w:r>
        <w:t>The product was sourced from refillable containers.</w:t>
      </w:r>
    </w:p>
    <w:p w14:paraId="6ECF15CE" w14:textId="38C5AD64" w:rsidR="00B446FD" w:rsidRPr="00B446FD" w:rsidRDefault="00B446FD" w:rsidP="001F014C">
      <w:pPr>
        <w:pStyle w:val="APVMAText"/>
      </w:pPr>
      <w:r w:rsidRPr="00B446FD">
        <w:t>Based on the results of this pilot study, using the short and intermediate exposure point of departure of 1.8 mg/kg bw, a DAF of 0.4 and an acceptable MOE of greater than or equal to 1</w:t>
      </w:r>
      <w:r>
        <w:t>,</w:t>
      </w:r>
      <w:r w:rsidRPr="00B446FD">
        <w:t>000, the dermal occupational exposures associated with mixing and loading were considered to be acceptable provided the quantity of product handled did not exceed 900 L per day (</w:t>
      </w:r>
      <w:r w:rsidR="001F014C" w:rsidRPr="00B446FD">
        <w:t>i.e.</w:t>
      </w:r>
      <w:r w:rsidRPr="00B446FD">
        <w:t xml:space="preserve"> sufficient to treat around 250 ha of rice fields). An inhalation exposure assessment was not conducted and was not considered to be necessary since the product was not sprayed during mixing and loading. It was concluded that a full study, with additional replicates, would be required to confirm the outcome of the preliminary trial.</w:t>
      </w:r>
    </w:p>
    <w:p w14:paraId="19847F11" w14:textId="65BC90C1" w:rsidR="00B446FD" w:rsidRPr="00B446FD" w:rsidRDefault="00B446FD" w:rsidP="001F014C">
      <w:pPr>
        <w:pStyle w:val="APVMAText"/>
      </w:pPr>
      <w:r w:rsidRPr="00B446FD">
        <w:rPr>
          <w:rFonts w:eastAsia="Arial Unicode MS"/>
        </w:rPr>
        <w:t>Following this preliminary trial, a worker exposure study for mixing/loading and application by aircraft was submitted</w:t>
      </w:r>
      <w:r w:rsidRPr="00B446FD">
        <w:t xml:space="preserve"> in 2017 (Agrisearch, 2016), which measured occupational exposure arising from the aerial application of molinate to rice fields at the recommended label rate. The study involved closed mixing/loading systems</w:t>
      </w:r>
      <w:r w:rsidRPr="00B446FD">
        <w:rPr>
          <w:rStyle w:val="FootnoteReference"/>
        </w:rPr>
        <w:footnoteReference w:id="3"/>
      </w:r>
      <w:r w:rsidRPr="00B446FD">
        <w:t xml:space="preserve"> in fixed wing aircraft that were fitted with Bickley </w:t>
      </w:r>
      <w:r w:rsidR="00302DB5">
        <w:t>b</w:t>
      </w:r>
      <w:r w:rsidRPr="00B446FD">
        <w:t xml:space="preserve">ooms. The study was conducted in accordance with </w:t>
      </w:r>
      <w:r w:rsidR="00B10D09">
        <w:t xml:space="preserve">the </w:t>
      </w:r>
      <w:r w:rsidR="00B10D09" w:rsidRPr="006D7D77">
        <w:t>Organisation for Economic Co-operation and Development</w:t>
      </w:r>
      <w:r w:rsidR="00B10D09" w:rsidRPr="00B446FD">
        <w:t xml:space="preserve"> </w:t>
      </w:r>
      <w:r w:rsidR="00B10D09">
        <w:t>(</w:t>
      </w:r>
      <w:r w:rsidRPr="00B446FD">
        <w:t>OECD</w:t>
      </w:r>
      <w:r w:rsidR="00B10D09">
        <w:t>)</w:t>
      </w:r>
      <w:r w:rsidRPr="00B446FD">
        <w:t xml:space="preserve"> Guidelines (OECD 1997) and commercial best practice for application methods. The PPE used for the study were cotton overalls buttoned to the neck and wrist, a washable hat, elbow</w:t>
      </w:r>
      <w:r w:rsidR="00656F27">
        <w:t xml:space="preserve"> </w:t>
      </w:r>
      <w:r w:rsidRPr="00B446FD">
        <w:t xml:space="preserve">length PVC gloves, PVC or rubber apron and </w:t>
      </w:r>
      <w:r w:rsidR="001F014C" w:rsidRPr="00B446FD">
        <w:t>water-resistant</w:t>
      </w:r>
      <w:r w:rsidRPr="00B446FD">
        <w:t xml:space="preserve"> footwear (gumboots) for mixing/loading, and cotton overalls buttoned to the neck and wrist, water-resistant footwear (gumboots) and a pilot helmet for applicators.</w:t>
      </w:r>
    </w:p>
    <w:p w14:paraId="2556B3E9" w14:textId="6BFF57EA" w:rsidR="00B446FD" w:rsidRDefault="00B446FD" w:rsidP="001F014C">
      <w:pPr>
        <w:pStyle w:val="APVMAText"/>
      </w:pPr>
      <w:r w:rsidRPr="00B446FD">
        <w:t xml:space="preserve">The worker exposure data for mixing/loading comprised a combined dataset of 10 replicates (mixing/loading) undertaken by </w:t>
      </w:r>
      <w:r>
        <w:t>5</w:t>
      </w:r>
      <w:r w:rsidRPr="00B446FD">
        <w:t xml:space="preserve"> different operators, and the exposure to applicators (pilots) data comprised a total dataset of </w:t>
      </w:r>
      <w:r>
        <w:t>5</w:t>
      </w:r>
      <w:r w:rsidR="00302DB5">
        <w:t> </w:t>
      </w:r>
      <w:r w:rsidRPr="00B446FD">
        <w:t xml:space="preserve">replicates (application events) undertaken by </w:t>
      </w:r>
      <w:r>
        <w:t>2</w:t>
      </w:r>
      <w:r w:rsidRPr="00B446FD">
        <w:t xml:space="preserve"> pilots. Dermal exposure was measured using whole body dosimeters, </w:t>
      </w:r>
      <w:r>
        <w:t>worn under protective clothing.</w:t>
      </w:r>
    </w:p>
    <w:p w14:paraId="5DC16413" w14:textId="77777777" w:rsidR="00B446FD" w:rsidRDefault="00B446FD" w:rsidP="001F014C">
      <w:pPr>
        <w:pStyle w:val="APVMAText"/>
      </w:pPr>
      <w:r w:rsidRPr="00B446FD">
        <w:t>Results from the mixer/loader studies indicated that handling 292 L (280 kg active constituent) of registered molinate herbicide results in a maximum systemic dose of 0.000371 mg molinate/kg bw/d based on a body weight of 70 kg. Results from the applicator study indicated that applying 247 L of registered molinate herbicide results in a maximum systemic dose of 0.000417 mg molinate/kg bw/d.</w:t>
      </w:r>
    </w:p>
    <w:p w14:paraId="68EC8224" w14:textId="77777777" w:rsidR="00B446FD" w:rsidRDefault="00B446FD" w:rsidP="001F014C">
      <w:pPr>
        <w:pStyle w:val="APVMAText"/>
      </w:pPr>
      <w:r w:rsidRPr="00B446FD">
        <w:t>Using the short and intermediate exposure point of departure of 1.8 mg/kg bw and a DAF of</w:t>
      </w:r>
      <w:r>
        <w:t xml:space="preserve"> </w:t>
      </w:r>
      <w:r w:rsidRPr="00B446FD">
        <w:t>0.4 acceptable MOEs (greater than 1</w:t>
      </w:r>
      <w:r>
        <w:t>,</w:t>
      </w:r>
      <w:r w:rsidRPr="00B446FD">
        <w:t>000) were obtained for mixing and loading molinate up to 1</w:t>
      </w:r>
      <w:r>
        <w:t>,</w:t>
      </w:r>
      <w:r w:rsidRPr="00B446FD">
        <w:t>415 L product per day (or 5</w:t>
      </w:r>
      <w:r>
        <w:t>,</w:t>
      </w:r>
      <w:r w:rsidRPr="00B446FD">
        <w:t>185 L of diluted spray mix). This is sufficient to treat up to 377 ha/d when operators wear the PPE used in the exposure study. However, acceptable MOEs (&gt;1</w:t>
      </w:r>
      <w:r>
        <w:t>,</w:t>
      </w:r>
      <w:r w:rsidRPr="00B446FD">
        <w:t>000) were only obtained for applicators (pilots) applying up to 1</w:t>
      </w:r>
      <w:r>
        <w:t>,</w:t>
      </w:r>
      <w:r w:rsidRPr="00B446FD">
        <w:t>066 L product per day (or 3</w:t>
      </w:r>
      <w:r>
        <w:t>,</w:t>
      </w:r>
      <w:r w:rsidRPr="00B446FD">
        <w:t>866 L of diluted spray mix), sufficient to treat up to 281 ha/d.</w:t>
      </w:r>
    </w:p>
    <w:p w14:paraId="0B0B7324" w14:textId="6378C989" w:rsidR="00B446FD" w:rsidRDefault="00B446FD" w:rsidP="001F014C">
      <w:pPr>
        <w:pStyle w:val="APVMAText"/>
      </w:pPr>
      <w:r w:rsidRPr="00B446FD">
        <w:t>It is noted that the exposure data was limited to consideration of dermal exposure, without assessment of inhalation exposure. The spraying method used results in droplet sizes with a low respirable component, and it is not considered that exposure by inhalation for pilots is likely to be of concern.</w:t>
      </w:r>
    </w:p>
    <w:p w14:paraId="2BD86CFB" w14:textId="3DDC8EC4" w:rsidR="00E424AB" w:rsidRPr="00B446FD" w:rsidRDefault="00E424AB" w:rsidP="001F014C">
      <w:pPr>
        <w:pStyle w:val="APVMAText"/>
      </w:pPr>
      <w:r>
        <w:t>Further consideration of the results from the mixer/loader and mixer/loader/applicator studies was undertaken using modern statistical methods, including consideration of potential outliers, and the selection of an appropriate percent recovery for use in the dermal exposure to applicators. Based on this assessment, a value of 47% recovery was selected for use in a final determination of exposure for pilots. Based on this, the modelled exposure has been adjusted, and acceptable margins of exposure were obtained for pilots applying a maximum of 1</w:t>
      </w:r>
      <w:r w:rsidR="00302DB5">
        <w:t>,</w:t>
      </w:r>
      <w:r>
        <w:t>917</w:t>
      </w:r>
      <w:r w:rsidR="006A6B20" w:rsidRPr="00B446FD">
        <w:t> </w:t>
      </w:r>
      <w:r>
        <w:t>L product per day, sufficient to treat 511</w:t>
      </w:r>
      <w:r w:rsidR="006A6B20" w:rsidRPr="00B446FD">
        <w:t> </w:t>
      </w:r>
      <w:r>
        <w:t>ha at 3.75</w:t>
      </w:r>
      <w:r w:rsidR="006A6B20" w:rsidRPr="00B446FD">
        <w:t> </w:t>
      </w:r>
      <w:r>
        <w:t>L product/ha or 766</w:t>
      </w:r>
      <w:r w:rsidR="006A6B20" w:rsidRPr="00B446FD">
        <w:t> </w:t>
      </w:r>
      <w:r>
        <w:t>ha at 2.5</w:t>
      </w:r>
      <w:r w:rsidR="006A6B20" w:rsidRPr="00B446FD">
        <w:t> </w:t>
      </w:r>
      <w:r>
        <w:t>L product/ha. These amounts are being rounded down by a small amount in the label restraints.</w:t>
      </w:r>
    </w:p>
    <w:p w14:paraId="514CD5E3" w14:textId="265B4E38" w:rsidR="00B446FD" w:rsidRPr="00B446FD" w:rsidRDefault="00B446FD" w:rsidP="001F014C">
      <w:pPr>
        <w:pStyle w:val="APVMAText"/>
      </w:pPr>
      <w:r w:rsidRPr="00B446FD">
        <w:t>The results from the submitted mixer/loader and applicator exposure studies indicate that a registered molinate herbicide, containing 960 g/L molinate, when used according to the label instructions</w:t>
      </w:r>
      <w:r>
        <w:t xml:space="preserve"> will not present an unacceptable risk to</w:t>
      </w:r>
      <w:r w:rsidRPr="00B446FD">
        <w:t>:</w:t>
      </w:r>
    </w:p>
    <w:p w14:paraId="22993036" w14:textId="515DB843" w:rsidR="00B446FD" w:rsidRPr="001F014C" w:rsidRDefault="00B446FD" w:rsidP="001F014C">
      <w:pPr>
        <w:pStyle w:val="Bullet1"/>
      </w:pPr>
      <w:r w:rsidRPr="001F014C">
        <w:t xml:space="preserve">applicators (pilots), provided the quantity of product handled does not exceed </w:t>
      </w:r>
      <w:r w:rsidR="00E424AB" w:rsidRPr="001F014C">
        <w:t>1</w:t>
      </w:r>
      <w:r w:rsidR="00302DB5">
        <w:t>,</w:t>
      </w:r>
      <w:r w:rsidR="00E424AB" w:rsidRPr="001F014C">
        <w:t>900</w:t>
      </w:r>
      <w:r w:rsidRPr="001F014C">
        <w:t xml:space="preserve"> L per day. </w:t>
      </w:r>
      <w:r w:rsidR="00E424AB" w:rsidRPr="001F014C">
        <w:t>which is</w:t>
      </w:r>
      <w:r w:rsidRPr="001F014C">
        <w:t xml:space="preserve"> sufficient to treat </w:t>
      </w:r>
      <w:r w:rsidR="00E424AB" w:rsidRPr="001F014C">
        <w:t>500</w:t>
      </w:r>
      <w:r w:rsidRPr="001F014C">
        <w:t> ha</w:t>
      </w:r>
      <w:r w:rsidR="00E424AB" w:rsidRPr="001F014C">
        <w:t xml:space="preserve"> at 3.75</w:t>
      </w:r>
      <w:r w:rsidR="006A6B20" w:rsidRPr="00B446FD">
        <w:t> </w:t>
      </w:r>
      <w:r w:rsidR="00E424AB" w:rsidRPr="001F014C">
        <w:t>L product/ha or 750</w:t>
      </w:r>
      <w:r w:rsidR="006A6B20" w:rsidRPr="00B446FD">
        <w:t> </w:t>
      </w:r>
      <w:r w:rsidR="00E424AB" w:rsidRPr="001F014C">
        <w:t>ha at 2.5</w:t>
      </w:r>
      <w:r w:rsidR="006A6B20" w:rsidRPr="00B446FD">
        <w:t> </w:t>
      </w:r>
      <w:r w:rsidR="00E424AB" w:rsidRPr="001F014C">
        <w:t>L product/ha</w:t>
      </w:r>
    </w:p>
    <w:p w14:paraId="69DB5072" w14:textId="36EE7CC0" w:rsidR="00B446FD" w:rsidRPr="001F014C" w:rsidRDefault="00B446FD" w:rsidP="001F014C">
      <w:pPr>
        <w:pStyle w:val="Bullet1"/>
      </w:pPr>
      <w:r w:rsidRPr="001F014C">
        <w:t>mixers/loaders, provided the quantity of product handled does not exceed 1</w:t>
      </w:r>
      <w:r w:rsidR="00302DB5">
        <w:t>,</w:t>
      </w:r>
      <w:r w:rsidRPr="001F014C">
        <w:t>415 L per day. At the label mixing rate of 3.75 L product in 10 L water, this is equivalent to 5</w:t>
      </w:r>
      <w:r w:rsidR="00302DB5">
        <w:t>,</w:t>
      </w:r>
      <w:r w:rsidRPr="001F014C">
        <w:t>185 L of diluted spray mix, sufficient to treat 377 ha</w:t>
      </w:r>
      <w:r w:rsidR="001F014C" w:rsidRPr="001F014C">
        <w:t>.</w:t>
      </w:r>
    </w:p>
    <w:p w14:paraId="73CE0D64" w14:textId="1299B384" w:rsidR="00B446FD" w:rsidRDefault="00B446FD" w:rsidP="001F014C">
      <w:pPr>
        <w:pStyle w:val="APVMAText"/>
      </w:pPr>
      <w:r>
        <w:t>Provided that separate mixer/loaders and applicators are used (</w:t>
      </w:r>
      <w:r w:rsidR="001F014C">
        <w:t>i.e.</w:t>
      </w:r>
      <w:r>
        <w:t xml:space="preserve"> pilots/applicators must not mix and load; and mixer/loaders must not pilot or apply).</w:t>
      </w:r>
    </w:p>
    <w:p w14:paraId="7657B5A6" w14:textId="14EB76D0" w:rsidR="00FE6DBB" w:rsidRDefault="00FE6DBB" w:rsidP="001F014C">
      <w:pPr>
        <w:pStyle w:val="APVMAText"/>
      </w:pPr>
      <w:r>
        <w:t xml:space="preserve">Exposure during rinsing of containers for recycling or disposal was not assessed as the study was undertaken with refillable containers. </w:t>
      </w:r>
      <w:r w:rsidR="004C3895">
        <w:t xml:space="preserve">The </w:t>
      </w:r>
      <w:r w:rsidR="00B671A7">
        <w:t xml:space="preserve">product packaging should therefore be restricted to refillable containers and the </w:t>
      </w:r>
      <w:r w:rsidR="004C3895">
        <w:t xml:space="preserve">label should include </w:t>
      </w:r>
      <w:r w:rsidR="00B671A7">
        <w:t>disposal instructions for refillable containers which do not include rinsing the container.</w:t>
      </w:r>
    </w:p>
    <w:p w14:paraId="42E4A592" w14:textId="16CC5AD7" w:rsidR="00B446FD" w:rsidRPr="00CC0DDB" w:rsidRDefault="00B446FD" w:rsidP="001F014C">
      <w:pPr>
        <w:pStyle w:val="APVMAText"/>
      </w:pPr>
      <w:r w:rsidRPr="00CC0DDB">
        <w:t>Occupational post application exposures are expected to be minimal because of the nature of the activities associated with rice cultivation (e.g. scouting and water management) and the PPE that is commonly worn during these activities (e.g. waterproof boots for walking through flooded rice paddies). Thus, a quantitative exposure and risk assessment for post</w:t>
      </w:r>
      <w:r w:rsidR="00656F27">
        <w:t xml:space="preserve"> </w:t>
      </w:r>
      <w:r w:rsidRPr="00CC0DDB">
        <w:t xml:space="preserve">application activities was not performed by </w:t>
      </w:r>
      <w:r>
        <w:t xml:space="preserve">the </w:t>
      </w:r>
      <w:r w:rsidRPr="00CC0DDB">
        <w:t xml:space="preserve">APVMA. Due to the acute risks from inhalation and eye/skin irritation, a </w:t>
      </w:r>
      <w:r w:rsidR="00CC1E20" w:rsidRPr="00CC0DDB">
        <w:t>24</w:t>
      </w:r>
      <w:r w:rsidR="00CC1E20">
        <w:t>-hour</w:t>
      </w:r>
      <w:r w:rsidRPr="00CC0DDB">
        <w:t xml:space="preserve"> re-entry interval (REI) is considered appropriate.</w:t>
      </w:r>
    </w:p>
    <w:p w14:paraId="20757584" w14:textId="16F9944A" w:rsidR="00B446FD" w:rsidRDefault="00B446FD" w:rsidP="00B446FD">
      <w:pPr>
        <w:pStyle w:val="Heading2"/>
      </w:pPr>
      <w:bookmarkStart w:id="46" w:name="_Toc96334702"/>
      <w:r>
        <w:t>Recommendations</w:t>
      </w:r>
      <w:bookmarkEnd w:id="46"/>
    </w:p>
    <w:p w14:paraId="0899D7A8" w14:textId="21F9B934" w:rsidR="00FE6DBB" w:rsidRDefault="00FE6DBB" w:rsidP="001F014C">
      <w:pPr>
        <w:pStyle w:val="APVMAText"/>
      </w:pPr>
      <w:r w:rsidRPr="003F59DD">
        <w:t>To ensure that the use of molinate does not present any unacceptable risk to mixers/loaders</w:t>
      </w:r>
      <w:r>
        <w:t>,</w:t>
      </w:r>
      <w:r w:rsidRPr="003F59DD">
        <w:t xml:space="preserve"> </w:t>
      </w:r>
      <w:r>
        <w:t>products</w:t>
      </w:r>
      <w:r w:rsidRPr="003F59DD">
        <w:t xml:space="preserve"> </w:t>
      </w:r>
      <w:r w:rsidR="00B671A7">
        <w:t>will need to be</w:t>
      </w:r>
      <w:r w:rsidRPr="003F59DD">
        <w:t xml:space="preserve"> varied to </w:t>
      </w:r>
      <w:r>
        <w:t>be only available in refillable containers</w:t>
      </w:r>
      <w:r w:rsidR="00B671A7">
        <w:t xml:space="preserve"> and the label will need to be varied to include the following disposal instructions:</w:t>
      </w:r>
    </w:p>
    <w:p w14:paraId="5B8A6416" w14:textId="37CE2B32" w:rsidR="00B671A7" w:rsidRPr="00B671A7" w:rsidRDefault="00B671A7" w:rsidP="00CC1E20">
      <w:pPr>
        <w:pStyle w:val="Quotes"/>
      </w:pPr>
      <w:r w:rsidRPr="00B671A7">
        <w:t>Empty contents fully into application equipment. Close all valves and return to point of supply for refill or storage.</w:t>
      </w:r>
    </w:p>
    <w:p w14:paraId="2D3D700C" w14:textId="77777777" w:rsidR="00B446FD" w:rsidRDefault="00B446FD" w:rsidP="001F014C">
      <w:pPr>
        <w:pStyle w:val="APVMAText"/>
      </w:pPr>
      <w:r w:rsidRPr="003F59DD">
        <w:t>To ensure that the use of molinate does not present any unacceptable risk to applicators (pilots) and mixers/loaders</w:t>
      </w:r>
      <w:r>
        <w:t>,</w:t>
      </w:r>
      <w:r w:rsidRPr="003F59DD">
        <w:t xml:space="preserve"> labels will need to be varied to include</w:t>
      </w:r>
      <w:r>
        <w:t>:</w:t>
      </w:r>
    </w:p>
    <w:p w14:paraId="29005467" w14:textId="77777777" w:rsidR="00B446FD" w:rsidRPr="001F014C" w:rsidRDefault="00B446FD" w:rsidP="001F014C">
      <w:pPr>
        <w:pStyle w:val="Bullet1"/>
      </w:pPr>
      <w:r w:rsidRPr="001F014C">
        <w:t>restrictions on the amount of product to be handled/applied per day</w:t>
      </w:r>
    </w:p>
    <w:p w14:paraId="0CB2B74E" w14:textId="2D888ECB" w:rsidR="00B446FD" w:rsidRPr="001F014C" w:rsidRDefault="00B446FD" w:rsidP="001F014C">
      <w:pPr>
        <w:pStyle w:val="Bullet1"/>
      </w:pPr>
      <w:r w:rsidRPr="001F014C">
        <w:t>a requirement for separate mixer/loaders and applicators (</w:t>
      </w:r>
      <w:r w:rsidR="001F014C" w:rsidRPr="001F014C">
        <w:t>i.e.</w:t>
      </w:r>
      <w:r w:rsidRPr="001F014C">
        <w:t xml:space="preserve"> pilots/applicators must not mix and load; and mixer/loaders must not pilot or apply).</w:t>
      </w:r>
    </w:p>
    <w:p w14:paraId="3F2EF48B" w14:textId="77777777" w:rsidR="00B446FD" w:rsidRPr="00CF3E92" w:rsidRDefault="00B446FD" w:rsidP="001F014C">
      <w:pPr>
        <w:pStyle w:val="APVMAText"/>
      </w:pPr>
      <w:r w:rsidRPr="00CF3E92">
        <w:t xml:space="preserve">First </w:t>
      </w:r>
      <w:r>
        <w:t>a</w:t>
      </w:r>
      <w:r w:rsidRPr="00CF3E92">
        <w:t>id instructions for products co</w:t>
      </w:r>
      <w:r>
        <w:t>ntaining molinate should read:</w:t>
      </w:r>
    </w:p>
    <w:p w14:paraId="07683DBC" w14:textId="77777777" w:rsidR="00B446FD" w:rsidRPr="00714BF0" w:rsidRDefault="00B446FD" w:rsidP="00CC1E20">
      <w:pPr>
        <w:pStyle w:val="Quotes"/>
      </w:pPr>
      <w:r w:rsidRPr="00714BF0">
        <w:t>If swallowed, splashed on skin or in eyes, or inhaled, contact a Poisons Information Centre (Phone Australia 13 11 26; New Zealand 0800 764 766) or a doctor at once. Remove any contaminated clothing and wash skin thoroughly. If swallowed, activated charcoal may be advise</w:t>
      </w:r>
      <w:r>
        <w:t>d. Give atropine if instructed.</w:t>
      </w:r>
    </w:p>
    <w:p w14:paraId="4515027B" w14:textId="77777777" w:rsidR="00B446FD" w:rsidRDefault="00B446FD" w:rsidP="001F014C">
      <w:pPr>
        <w:pStyle w:val="APVMAText"/>
      </w:pPr>
      <w:r>
        <w:t>Safety directions should be included on the label as follows:</w:t>
      </w:r>
    </w:p>
    <w:p w14:paraId="520CF077" w14:textId="38D001A8" w:rsidR="00B446FD" w:rsidRPr="00714BF0" w:rsidRDefault="00B446FD" w:rsidP="00CC1E20">
      <w:pPr>
        <w:pStyle w:val="Quotes"/>
      </w:pPr>
      <w:r w:rsidRPr="00714BF0">
        <w:t xml:space="preserve">Harmful if inhaled or swallowed. May irritate the eyes and skin. Repeated exposure may cause allergic disorders. Repeated minor exposure may have a cumulative poisoning effect. Avoid contact with eyes and skin. Do not inhale vapour or spray mist. When mixing and loading for aerial spraying equipment, wear cotton overalls buttoned to the neck and wrist and a washable hat, PVC or rubber apron, elbow length PVC gloves and </w:t>
      </w:r>
      <w:r w:rsidR="001F014C" w:rsidRPr="00714BF0">
        <w:t>water-resistant</w:t>
      </w:r>
      <w:r w:rsidRPr="00714BF0">
        <w:t xml:space="preserve"> footwear. If applying by aerial spraying equipment wear cotton overalls, buttoned to the neck and wrist (or equivalent clothing) and </w:t>
      </w:r>
      <w:r w:rsidR="001F014C" w:rsidRPr="00714BF0">
        <w:t>water-resistant</w:t>
      </w:r>
      <w:r w:rsidRPr="00714BF0">
        <w:t xml:space="preserve"> footwear. After use and before eating, drinking or smoking, wash hands, arms and face thoroughly with soap and water. After each days use wash gloves and contaminated clothing</w:t>
      </w:r>
      <w:r>
        <w:t>.</w:t>
      </w:r>
    </w:p>
    <w:p w14:paraId="5571DF85" w14:textId="77777777" w:rsidR="00B446FD" w:rsidRDefault="00B446FD" w:rsidP="001F014C">
      <w:pPr>
        <w:pStyle w:val="APVMAText"/>
      </w:pPr>
      <w:r>
        <w:t>Precautions to appear on the label are:</w:t>
      </w:r>
    </w:p>
    <w:p w14:paraId="0C98C670" w14:textId="77777777" w:rsidR="00B446FD" w:rsidRPr="001F014C" w:rsidRDefault="00B446FD" w:rsidP="001F014C">
      <w:pPr>
        <w:pStyle w:val="Bullet1"/>
      </w:pPr>
      <w:r w:rsidRPr="001F014C">
        <w:t>DO NOT use if pregnant.</w:t>
      </w:r>
    </w:p>
    <w:p w14:paraId="5C017759" w14:textId="77777777" w:rsidR="00B446FD" w:rsidRDefault="00B446FD" w:rsidP="001F014C">
      <w:pPr>
        <w:pStyle w:val="APVMAText"/>
      </w:pPr>
      <w:r w:rsidRPr="00714BF0">
        <w:t>Restrictions/restraints to appear on the label are:</w:t>
      </w:r>
    </w:p>
    <w:p w14:paraId="3F4C882B" w14:textId="77777777" w:rsidR="00B446FD" w:rsidRPr="001F014C" w:rsidRDefault="00B446FD" w:rsidP="001F014C">
      <w:pPr>
        <w:pStyle w:val="Bullet1"/>
      </w:pPr>
      <w:r w:rsidRPr="001F014C">
        <w:t>DO NOT use open mixing and loading systems (use closed mixing and loading only).</w:t>
      </w:r>
    </w:p>
    <w:p w14:paraId="7610B69B" w14:textId="20401A99" w:rsidR="00B446FD" w:rsidRPr="001F014C" w:rsidRDefault="00B446FD" w:rsidP="001F014C">
      <w:pPr>
        <w:pStyle w:val="Bullet1"/>
      </w:pPr>
      <w:r w:rsidRPr="001F014C">
        <w:t xml:space="preserve">DO NOT apply by </w:t>
      </w:r>
      <w:r w:rsidR="00CC1E20" w:rsidRPr="001F014C">
        <w:t>ground-based</w:t>
      </w:r>
      <w:r w:rsidRPr="001F014C">
        <w:t xml:space="preserve"> methods.</w:t>
      </w:r>
    </w:p>
    <w:p w14:paraId="7A3A421B" w14:textId="7634A12C" w:rsidR="00B446FD" w:rsidRPr="001F014C" w:rsidRDefault="00B446FD" w:rsidP="001F014C">
      <w:pPr>
        <w:pStyle w:val="Bullet1"/>
      </w:pPr>
      <w:r w:rsidRPr="001F014C">
        <w:t xml:space="preserve">DO NOT apply by aerial application unless using </w:t>
      </w:r>
      <w:r w:rsidR="003045A3" w:rsidRPr="001F014C">
        <w:t>a Bickley boom on fixed</w:t>
      </w:r>
      <w:r w:rsidR="00656F27">
        <w:t xml:space="preserve"> </w:t>
      </w:r>
      <w:r w:rsidR="003045A3" w:rsidRPr="001F014C">
        <w:t>wing aircraft or SCWIIRT (soluble chemical water injection in rice technique) application.by helicopter.</w:t>
      </w:r>
    </w:p>
    <w:p w14:paraId="2806F1EF" w14:textId="77777777" w:rsidR="00B446FD" w:rsidRPr="001F014C" w:rsidRDefault="00B446FD" w:rsidP="001F014C">
      <w:pPr>
        <w:pStyle w:val="Bullet1"/>
        <w:rPr>
          <w:rFonts w:eastAsia="Times"/>
        </w:rPr>
      </w:pPr>
      <w:r w:rsidRPr="001F014C">
        <w:rPr>
          <w:rFonts w:eastAsia="Times"/>
        </w:rPr>
        <w:t>A single operator MUST NOT be involved in BOTH mixing/loading AND application in the same day.</w:t>
      </w:r>
    </w:p>
    <w:p w14:paraId="2D7C157F" w14:textId="6A933B93" w:rsidR="00B446FD" w:rsidRPr="001F014C" w:rsidRDefault="00B446FD" w:rsidP="001F014C">
      <w:pPr>
        <w:pStyle w:val="Bullet1"/>
        <w:rPr>
          <w:rFonts w:eastAsia="Times"/>
        </w:rPr>
      </w:pPr>
      <w:r w:rsidRPr="001F014C">
        <w:rPr>
          <w:rFonts w:eastAsia="Times"/>
        </w:rPr>
        <w:t>A single operator involved in mixing/loading of the product MUST NOT handle more than 1,400 L neat product per day.</w:t>
      </w:r>
    </w:p>
    <w:p w14:paraId="63D6F25E" w14:textId="5C180381" w:rsidR="00E424AB" w:rsidRPr="001F014C" w:rsidRDefault="00E424AB" w:rsidP="001F014C">
      <w:pPr>
        <w:pStyle w:val="Bullet1"/>
      </w:pPr>
      <w:r w:rsidRPr="001F014C">
        <w:t>A single operator (pilot) MUST NOT apply more than 1</w:t>
      </w:r>
      <w:r w:rsidR="00302DB5">
        <w:t>,</w:t>
      </w:r>
      <w:r w:rsidRPr="001F014C">
        <w:t>900</w:t>
      </w:r>
      <w:r w:rsidR="006A6B20" w:rsidRPr="00B446FD">
        <w:t> </w:t>
      </w:r>
      <w:r w:rsidRPr="001F014C">
        <w:t>L of neat product per day (equivalent to spraying an area of no more than 500</w:t>
      </w:r>
      <w:r w:rsidR="006A6B20" w:rsidRPr="00B446FD">
        <w:t> </w:t>
      </w:r>
      <w:r w:rsidRPr="001F014C">
        <w:t>hectares per day at the maximum rate of 3.75</w:t>
      </w:r>
      <w:r w:rsidR="006A6B20" w:rsidRPr="00B446FD">
        <w:t> </w:t>
      </w:r>
      <w:r w:rsidRPr="001F014C">
        <w:t>L/ha or no more than 750</w:t>
      </w:r>
      <w:r w:rsidR="006A6B20" w:rsidRPr="00B446FD">
        <w:t> </w:t>
      </w:r>
      <w:r w:rsidRPr="001F014C">
        <w:t>hectares per day at the minimum rate of 2.5</w:t>
      </w:r>
      <w:r w:rsidR="006A6B20" w:rsidRPr="00B446FD">
        <w:t> </w:t>
      </w:r>
      <w:r w:rsidRPr="001F014C">
        <w:t xml:space="preserve">L/ha). </w:t>
      </w:r>
    </w:p>
    <w:p w14:paraId="2DDE2536" w14:textId="0F537480" w:rsidR="00B446FD" w:rsidRPr="00714BF0" w:rsidRDefault="00B446FD" w:rsidP="001F014C">
      <w:pPr>
        <w:pStyle w:val="APVMAText"/>
      </w:pPr>
      <w:r w:rsidRPr="00714BF0">
        <w:t>A re-entry period is applicable and should appear on the label as follows:</w:t>
      </w:r>
    </w:p>
    <w:p w14:paraId="5EEEB837" w14:textId="77777777" w:rsidR="00B446FD" w:rsidRPr="001F014C" w:rsidRDefault="00B446FD" w:rsidP="001F014C">
      <w:pPr>
        <w:pStyle w:val="Bullet1"/>
        <w:sectPr w:rsidR="00B446FD" w:rsidRPr="001F014C">
          <w:headerReference w:type="default" r:id="rId35"/>
          <w:pgSz w:w="11906" w:h="16838" w:code="9"/>
          <w:pgMar w:top="2835" w:right="1134" w:bottom="1134" w:left="1134" w:header="1701" w:footer="680" w:gutter="0"/>
          <w:cols w:space="708"/>
          <w:docGrid w:linePitch="360"/>
        </w:sectPr>
      </w:pPr>
      <w:r w:rsidRPr="001F014C">
        <w:t>DO NOT enter treated areas for 24 hours.</w:t>
      </w:r>
    </w:p>
    <w:p w14:paraId="7FBA8CA2" w14:textId="50136678" w:rsidR="00B446FD" w:rsidRDefault="00B446FD" w:rsidP="00B446FD">
      <w:pPr>
        <w:pStyle w:val="Heading1"/>
      </w:pPr>
      <w:bookmarkStart w:id="47" w:name="_Toc96334703"/>
      <w:r>
        <w:t>Environment</w:t>
      </w:r>
      <w:bookmarkEnd w:id="47"/>
    </w:p>
    <w:p w14:paraId="0D84927E" w14:textId="306C342C" w:rsidR="00B446FD" w:rsidRPr="00D320F2" w:rsidRDefault="00B446FD" w:rsidP="001F014C">
      <w:pPr>
        <w:pStyle w:val="APVMAText"/>
      </w:pPr>
      <w:r w:rsidRPr="00D320F2">
        <w:t>Moni</w:t>
      </w:r>
      <w:r>
        <w:t xml:space="preserve">toring data for the period 1996 to </w:t>
      </w:r>
      <w:r w:rsidRPr="00D320F2">
        <w:t>2001 provided by the NSW Environment Protection Agency (NSW EPA) established an extensive and detailed picture of molinate levels in surface waters from the Coleambally, Murray and Murrumbidgee irrigation areas during the rice growing season. While many of the analyses show molinate levels are below the limits of quantification,</w:t>
      </w:r>
      <w:r>
        <w:t xml:space="preserve"> the level of</w:t>
      </w:r>
      <w:r w:rsidRPr="00D320F2">
        <w:t xml:space="preserve"> molinate </w:t>
      </w:r>
      <w:r>
        <w:t>was</w:t>
      </w:r>
      <w:r w:rsidRPr="00D320F2">
        <w:t xml:space="preserve"> </w:t>
      </w:r>
      <w:r>
        <w:t>quantifiable</w:t>
      </w:r>
      <w:r w:rsidRPr="00D320F2">
        <w:t xml:space="preserve"> in </w:t>
      </w:r>
      <w:r>
        <w:t>a number of the</w:t>
      </w:r>
      <w:r w:rsidRPr="00D320F2">
        <w:t xml:space="preserve"> samples examined. The initial scope for the molinate review raised the potential for contamination of waterways indicated by varying levels of molinate recorded in drainage water from rice fields and also the potential hazard of those molinate levels to non</w:t>
      </w:r>
      <w:r w:rsidR="00656F27">
        <w:t xml:space="preserve"> </w:t>
      </w:r>
      <w:r w:rsidRPr="00D320F2">
        <w:t>target fauna and flora.</w:t>
      </w:r>
    </w:p>
    <w:p w14:paraId="31F492BD" w14:textId="77777777" w:rsidR="00B446FD" w:rsidRPr="00D320F2" w:rsidRDefault="00B446FD" w:rsidP="001F014C">
      <w:pPr>
        <w:pStyle w:val="APVMAText"/>
      </w:pPr>
      <w:r w:rsidRPr="00D320F2">
        <w:t xml:space="preserve">In 2004, the APVMA considered water monitoring data provided by the NSW EPA. Following additional comments from the Ricegrowers’ Association of Australia and the former Industry and Investment NSW, the revised environmental assessment was completed in November 2005. The risks of molinate to the environment could not be </w:t>
      </w:r>
      <w:r>
        <w:t>adequately assessed</w:t>
      </w:r>
      <w:r w:rsidRPr="00D320F2">
        <w:t xml:space="preserve"> based on the information provided to the review, and further information was identified as being required</w:t>
      </w:r>
      <w:r>
        <w:t xml:space="preserve"> to complete the reconsideration of molinate (APVMA, 2014)</w:t>
      </w:r>
      <w:r w:rsidRPr="00D320F2">
        <w:t>.</w:t>
      </w:r>
    </w:p>
    <w:p w14:paraId="0EAE2186" w14:textId="6ADAD24B" w:rsidR="00B446FD" w:rsidRPr="00D320F2" w:rsidRDefault="00B446FD" w:rsidP="001F014C">
      <w:pPr>
        <w:pStyle w:val="APVMAText"/>
      </w:pPr>
      <w:r w:rsidRPr="00D320F2">
        <w:t xml:space="preserve">Under subsection 33(1) of the </w:t>
      </w:r>
      <w:r w:rsidRPr="0061344E">
        <w:rPr>
          <w:i/>
        </w:rPr>
        <w:t>Agricultural and Veterinary Chemicals Code Act 1994</w:t>
      </w:r>
      <w:r w:rsidRPr="00D320F2">
        <w:t>, the APVMA sent a notice requiring the holders of molinate registrations to provide additional information necessary for the purposes of the review of molinate. Environmental water monitoring data from areas where molinate is used were requested, including information from non</w:t>
      </w:r>
      <w:r w:rsidR="00656F27">
        <w:t xml:space="preserve"> </w:t>
      </w:r>
      <w:r w:rsidRPr="00D320F2">
        <w:t>drought season</w:t>
      </w:r>
      <w:r>
        <w:t>s, i.</w:t>
      </w:r>
      <w:r w:rsidRPr="00D320F2">
        <w:t>e</w:t>
      </w:r>
      <w:r>
        <w:t>.</w:t>
      </w:r>
      <w:r w:rsidRPr="00D320F2">
        <w:t xml:space="preserve"> years when rice production and rainfall were more typical. Details were also sought on standard procedures that are in place to protect natural waterways from accidental release of molinate. </w:t>
      </w:r>
      <w:r>
        <w:t xml:space="preserve">The </w:t>
      </w:r>
      <w:r w:rsidRPr="00D320F2">
        <w:t xml:space="preserve">Ricegrowers’ Association of Australia provided </w:t>
      </w:r>
      <w:r>
        <w:t>collated water monitoring data</w:t>
      </w:r>
      <w:r w:rsidRPr="00D320F2">
        <w:t xml:space="preserve"> </w:t>
      </w:r>
      <w:r>
        <w:t>(</w:t>
      </w:r>
      <w:r w:rsidRPr="00710F78">
        <w:t>RGA</w:t>
      </w:r>
      <w:r w:rsidRPr="00EC1DB6">
        <w:t>,</w:t>
      </w:r>
      <w:r w:rsidRPr="00710F78">
        <w:t xml:space="preserve"> 2016</w:t>
      </w:r>
      <w:r>
        <w:t>).</w:t>
      </w:r>
    </w:p>
    <w:p w14:paraId="4948C262" w14:textId="716EF86F" w:rsidR="00B446FD" w:rsidRPr="00D320F2" w:rsidRDefault="00B446FD" w:rsidP="001F014C">
      <w:pPr>
        <w:pStyle w:val="APVMAText"/>
      </w:pPr>
      <w:r w:rsidRPr="00D320F2">
        <w:t xml:space="preserve">Most of the rice grown in Australia is concentrated in the Murrumbidgee and Murray valleys of southern NSW and most rice growers receive water from one of </w:t>
      </w:r>
      <w:r>
        <w:t>3</w:t>
      </w:r>
      <w:r w:rsidRPr="00D320F2">
        <w:t xml:space="preserve"> irrigation companies: </w:t>
      </w:r>
      <w:r w:rsidRPr="00853F74">
        <w:t>Murray Irrigation, Murrumbidgee Irrigation and Coleambally Irrigation. Irrigation companies are required to monitor t</w:t>
      </w:r>
      <w:r w:rsidRPr="00D320F2">
        <w:t>he water being released back into natural waterways through discharge points for pollutants</w:t>
      </w:r>
      <w:r>
        <w:t>,</w:t>
      </w:r>
      <w:r w:rsidRPr="00D320F2">
        <w:t xml:space="preserve"> including molinate. Action levels are established by the Australian and New Zealand Environment Conservation Council and Agriculture and Resource Management Council of Australia and New Zealand (ANZECC/ARMCANZ) water quality guidelines (3.4</w:t>
      </w:r>
      <w:r>
        <w:t> </w:t>
      </w:r>
      <w:r w:rsidRPr="00D320F2">
        <w:t>µg/L) to ensure protection of aquatic ecosystems</w:t>
      </w:r>
      <w:r>
        <w:t xml:space="preserve"> (</w:t>
      </w:r>
      <w:r w:rsidRPr="00D320F2">
        <w:t>ANZECC/ARMCANZ</w:t>
      </w:r>
      <w:r>
        <w:t>, 2000)</w:t>
      </w:r>
      <w:r w:rsidRPr="00D320F2">
        <w:t xml:space="preserve">. Acceptable rates are also determined by the NSW EPA to ensure environmental contamination is minimised and each irrigation company has their own documented procedures for required action should molinate be detected at </w:t>
      </w:r>
      <w:r w:rsidR="001F014C" w:rsidRPr="00D320F2">
        <w:t>an</w:t>
      </w:r>
      <w:r w:rsidRPr="00D320F2">
        <w:t xml:space="preserve"> NSW EPA monitoring site. The NSW EPA water quality limits </w:t>
      </w:r>
      <w:r>
        <w:t>listed for</w:t>
      </w:r>
      <w:r w:rsidRPr="00D320F2">
        <w:t xml:space="preserve"> molinate </w:t>
      </w:r>
      <w:r>
        <w:t xml:space="preserve">under NSW EPA Environment Protection Licences for </w:t>
      </w:r>
      <w:r w:rsidRPr="00853F74">
        <w:t>Murray Irrigation, Murrumbidgee Irrigation and Coleambally Irrigation</w:t>
      </w:r>
      <w:r>
        <w:t xml:space="preserve"> are</w:t>
      </w:r>
      <w:r w:rsidRPr="00D320F2">
        <w:t>:</w:t>
      </w:r>
    </w:p>
    <w:p w14:paraId="075605FE" w14:textId="48350D53" w:rsidR="00B446FD" w:rsidRPr="001F014C" w:rsidRDefault="00B446FD" w:rsidP="001F014C">
      <w:pPr>
        <w:pStyle w:val="Bullet1"/>
      </w:pPr>
      <w:r w:rsidRPr="001F014C">
        <w:t>environmental guideline</w:t>
      </w:r>
      <w:r w:rsidR="001F014C" w:rsidRPr="001F014C">
        <w:t xml:space="preserve">: </w:t>
      </w:r>
      <w:r w:rsidRPr="001F014C">
        <w:t>2.5 µg/L</w:t>
      </w:r>
    </w:p>
    <w:p w14:paraId="0A309354" w14:textId="451F28EF" w:rsidR="00B446FD" w:rsidRPr="001F014C" w:rsidRDefault="00B446FD" w:rsidP="001F014C">
      <w:pPr>
        <w:pStyle w:val="Bullet1"/>
      </w:pPr>
      <w:r w:rsidRPr="001F014C">
        <w:t>notification level:</w:t>
      </w:r>
      <w:r w:rsidR="001F014C" w:rsidRPr="001F014C">
        <w:t xml:space="preserve"> </w:t>
      </w:r>
      <w:r w:rsidRPr="001F014C">
        <w:t>3.4 µg/L</w:t>
      </w:r>
    </w:p>
    <w:p w14:paraId="0490BDE2" w14:textId="5430C85E" w:rsidR="00B446FD" w:rsidRPr="001F014C" w:rsidRDefault="00B446FD" w:rsidP="001F014C">
      <w:pPr>
        <w:pStyle w:val="Bullet1"/>
      </w:pPr>
      <w:r w:rsidRPr="001F014C">
        <w:t>action level:</w:t>
      </w:r>
      <w:r w:rsidR="001F014C" w:rsidRPr="001F014C">
        <w:t xml:space="preserve"> </w:t>
      </w:r>
      <w:r w:rsidRPr="001F014C">
        <w:t>14 µg/L</w:t>
      </w:r>
    </w:p>
    <w:p w14:paraId="3FD13BB4" w14:textId="2589B002" w:rsidR="00B446FD" w:rsidRPr="00D320F2" w:rsidRDefault="00B446FD" w:rsidP="001F014C">
      <w:pPr>
        <w:pStyle w:val="APVMAText"/>
      </w:pPr>
      <w:r>
        <w:t>During the 2010–</w:t>
      </w:r>
      <w:r w:rsidRPr="00D320F2">
        <w:t>11</w:t>
      </w:r>
      <w:r>
        <w:t xml:space="preserve"> to </w:t>
      </w:r>
      <w:r w:rsidRPr="00D320F2">
        <w:t>2014</w:t>
      </w:r>
      <w:r>
        <w:t>–15 growing seasons, 1,</w:t>
      </w:r>
      <w:r w:rsidRPr="00D320F2">
        <w:t xml:space="preserve">110 samples were analysed for molinate across the </w:t>
      </w:r>
      <w:r>
        <w:t>3</w:t>
      </w:r>
      <w:r w:rsidR="00302DB5">
        <w:t> </w:t>
      </w:r>
      <w:r w:rsidRPr="00D320F2">
        <w:t>irrigation areas, out of which only 10 samples recorded detections of molin</w:t>
      </w:r>
      <w:r>
        <w:t>ate above the notification (3.4 µg/L) or action (14 µg/L) levels (</w:t>
      </w:r>
      <w:r w:rsidRPr="00CC2E59">
        <w:t>RGA</w:t>
      </w:r>
      <w:r>
        <w:t>,</w:t>
      </w:r>
      <w:r w:rsidRPr="00CC2E59">
        <w:t xml:space="preserve"> 2016</w:t>
      </w:r>
      <w:r>
        <w:t>).</w:t>
      </w:r>
    </w:p>
    <w:p w14:paraId="58EC2F7F" w14:textId="34F6F3A7" w:rsidR="00B446FD" w:rsidRPr="00D320F2" w:rsidRDefault="00CC1E20" w:rsidP="001F014C">
      <w:pPr>
        <w:pStyle w:val="APVMAText"/>
      </w:pPr>
      <w:r>
        <w:t>Five</w:t>
      </w:r>
      <w:r w:rsidR="00B446FD" w:rsidRPr="00D320F2">
        <w:t xml:space="preserve"> of the total detectio</w:t>
      </w:r>
      <w:r w:rsidR="00B446FD">
        <w:t>ns occurred in the seasons 2010–11 and 2011–</w:t>
      </w:r>
      <w:r w:rsidR="00B446FD" w:rsidRPr="00D320F2">
        <w:t>12, which saw higher</w:t>
      </w:r>
      <w:r w:rsidR="00656F27">
        <w:t xml:space="preserve"> </w:t>
      </w:r>
      <w:r w:rsidR="00B446FD" w:rsidRPr="00D320F2">
        <w:t>than</w:t>
      </w:r>
      <w:r w:rsidR="00656F27">
        <w:t xml:space="preserve"> </w:t>
      </w:r>
      <w:r w:rsidR="00B446FD" w:rsidRPr="00D320F2">
        <w:t>avera</w:t>
      </w:r>
      <w:r w:rsidR="00B446FD">
        <w:t>ge rainfall and flooding events that</w:t>
      </w:r>
      <w:r w:rsidR="00B446FD" w:rsidRPr="00D320F2">
        <w:t xml:space="preserve"> caused rice bays treated with molinate to overflow into holding areas. The high volume of water leaving the discharge points resulted in molinate levels decreasing below environmental guideline levels (2.5</w:t>
      </w:r>
      <w:r w:rsidR="00B446FD">
        <w:t> </w:t>
      </w:r>
      <w:r w:rsidR="00B446FD" w:rsidRPr="00D320F2">
        <w:t>µg/L) quickly after detection. The highest detection event of 68</w:t>
      </w:r>
      <w:r w:rsidR="00B446FD">
        <w:t> </w:t>
      </w:r>
      <w:r w:rsidR="00B446FD" w:rsidRPr="00D320F2">
        <w:t xml:space="preserve">μg/L occurred at a discharge point during the </w:t>
      </w:r>
      <w:r w:rsidR="00B446FD">
        <w:t>2010–</w:t>
      </w:r>
      <w:r w:rsidR="00B446FD" w:rsidRPr="00D320F2">
        <w:t xml:space="preserve">11 season. </w:t>
      </w:r>
      <w:r w:rsidR="001F014C" w:rsidRPr="00D320F2">
        <w:t>Also,</w:t>
      </w:r>
      <w:r w:rsidR="00B446FD" w:rsidRPr="00D320F2">
        <w:t xml:space="preserve"> from October to November 2011, an additional </w:t>
      </w:r>
      <w:r w:rsidR="00B446FD">
        <w:t>3</w:t>
      </w:r>
      <w:r w:rsidR="00B446FD" w:rsidRPr="00D320F2">
        <w:t xml:space="preserve"> detections of molinate above the action level of 14</w:t>
      </w:r>
      <w:r w:rsidR="00B446FD">
        <w:t> </w:t>
      </w:r>
      <w:r w:rsidR="00B446FD" w:rsidRPr="00D320F2">
        <w:t xml:space="preserve">μg/L were recorded at the same location. An investigation was conducted to determine the source and cause of molinate detections. It was concluded that these recordings were possibly a result of over spray by an aerial operator, or from leakage in a rice paddy bank or drainage inlet, which was then rectified by the </w:t>
      </w:r>
      <w:r w:rsidR="001F014C" w:rsidRPr="00D320F2">
        <w:t>landowner</w:t>
      </w:r>
      <w:r w:rsidR="00B446FD">
        <w:t xml:space="preserve"> (RGA, 2016)</w:t>
      </w:r>
      <w:r w:rsidR="00B446FD" w:rsidRPr="00D320F2">
        <w:t>.</w:t>
      </w:r>
    </w:p>
    <w:p w14:paraId="77E7036F" w14:textId="1D65887D" w:rsidR="00B446FD" w:rsidRPr="00D320F2" w:rsidRDefault="00B446FD" w:rsidP="001F014C">
      <w:pPr>
        <w:pStyle w:val="APVMAText"/>
      </w:pPr>
      <w:r w:rsidRPr="00D320F2">
        <w:t xml:space="preserve">Continual improvements to water management plans of irrigation companies such as chemical contingency plans, and improvements to land, irrigation layouts and recirculation systems has led to a decline in molinate detections over the </w:t>
      </w:r>
      <w:r w:rsidR="00CC1E20">
        <w:t>5-year</w:t>
      </w:r>
      <w:r w:rsidRPr="00D320F2">
        <w:t xml:space="preserve"> period. </w:t>
      </w:r>
      <w:r w:rsidRPr="00853F74">
        <w:rPr>
          <w:szCs w:val="19"/>
        </w:rPr>
        <w:t>Detections of molinate have been declining with only one detection in the 2013–14 season and zero detections above the envi</w:t>
      </w:r>
      <w:r w:rsidRPr="00066F53">
        <w:rPr>
          <w:szCs w:val="19"/>
        </w:rPr>
        <w:t>ronmental guideline (2.5 µg/L)</w:t>
      </w:r>
      <w:r w:rsidRPr="00CA292C">
        <w:rPr>
          <w:szCs w:val="19"/>
        </w:rPr>
        <w:t xml:space="preserve"> from 2014 to 2019 (RGA 2016</w:t>
      </w:r>
      <w:r>
        <w:rPr>
          <w:szCs w:val="19"/>
        </w:rPr>
        <w:t>;</w:t>
      </w:r>
      <w:r w:rsidRPr="00853F74">
        <w:rPr>
          <w:szCs w:val="19"/>
        </w:rPr>
        <w:t xml:space="preserve"> </w:t>
      </w:r>
      <w:r w:rsidRPr="00641F6E">
        <w:rPr>
          <w:szCs w:val="19"/>
          <w:lang w:eastAsia="en-AU"/>
        </w:rPr>
        <w:t>Coleambally</w:t>
      </w:r>
      <w:r w:rsidRPr="00853F74">
        <w:rPr>
          <w:szCs w:val="19"/>
        </w:rPr>
        <w:t xml:space="preserve"> </w:t>
      </w:r>
      <w:r w:rsidRPr="00641F6E">
        <w:rPr>
          <w:szCs w:val="19"/>
        </w:rPr>
        <w:t xml:space="preserve">Irrigation </w:t>
      </w:r>
      <w:r w:rsidRPr="00853F74">
        <w:rPr>
          <w:szCs w:val="19"/>
        </w:rPr>
        <w:t>2016, 2017, 2018, 2019</w:t>
      </w:r>
      <w:r>
        <w:rPr>
          <w:szCs w:val="19"/>
        </w:rPr>
        <w:t>;</w:t>
      </w:r>
      <w:r w:rsidRPr="00641F6E">
        <w:rPr>
          <w:szCs w:val="19"/>
        </w:rPr>
        <w:t xml:space="preserve"> Murray Irrigation 2016, 2017, 2018, 2019</w:t>
      </w:r>
      <w:r>
        <w:rPr>
          <w:szCs w:val="19"/>
        </w:rPr>
        <w:t>;</w:t>
      </w:r>
      <w:r w:rsidRPr="00641F6E">
        <w:rPr>
          <w:szCs w:val="19"/>
        </w:rPr>
        <w:t xml:space="preserve"> Murrumbidgee Irrigation 2016, 2017, 2018, 2019)</w:t>
      </w:r>
      <w:r w:rsidRPr="00853F74">
        <w:rPr>
          <w:szCs w:val="19"/>
        </w:rPr>
        <w:t>.</w:t>
      </w:r>
    </w:p>
    <w:p w14:paraId="747BB388" w14:textId="2CF7F786" w:rsidR="00B446FD" w:rsidRPr="00D320F2" w:rsidRDefault="00B446FD" w:rsidP="001F014C">
      <w:pPr>
        <w:pStyle w:val="APVMAText"/>
      </w:pPr>
      <w:r w:rsidRPr="00D320F2">
        <w:t xml:space="preserve">The trigger level established by ANZECC/ARMCANZ </w:t>
      </w:r>
      <w:r>
        <w:t>for molinate to protect 95%</w:t>
      </w:r>
      <w:r w:rsidRPr="00D320F2">
        <w:t xml:space="preserve"> of aquatic ecosystems is set at 3.4 µg/L and the monitoring data of molinate in irrigation waters present evidence of a trend toward zero detections of molinate leaving rice</w:t>
      </w:r>
      <w:r w:rsidR="00656F27">
        <w:t xml:space="preserve"> </w:t>
      </w:r>
      <w:r w:rsidRPr="00D320F2">
        <w:t xml:space="preserve">growing areas. After </w:t>
      </w:r>
      <w:r>
        <w:t>assessing</w:t>
      </w:r>
      <w:r w:rsidRPr="00D320F2">
        <w:t xml:space="preserve"> the submitted water monitoring data, and noting the decline in molinate detections, the APVMA did not conduct a full environmental assessment as recent monitoring data do not indicate a potential hazard to non</w:t>
      </w:r>
      <w:r w:rsidR="00656F27">
        <w:t xml:space="preserve"> </w:t>
      </w:r>
      <w:r w:rsidRPr="00D320F2">
        <w:t>target Australian fauna and flora.</w:t>
      </w:r>
    </w:p>
    <w:p w14:paraId="134EEA1B" w14:textId="021903E5" w:rsidR="00B446FD" w:rsidRDefault="00B446FD" w:rsidP="00B446FD">
      <w:pPr>
        <w:pStyle w:val="Heading2"/>
      </w:pPr>
      <w:bookmarkStart w:id="48" w:name="_Toc96334704"/>
      <w:r>
        <w:t>Recommendations</w:t>
      </w:r>
      <w:bookmarkEnd w:id="48"/>
    </w:p>
    <w:p w14:paraId="68939D0B" w14:textId="77777777" w:rsidR="00B446FD" w:rsidRPr="00B446FD" w:rsidRDefault="00B446FD" w:rsidP="001F014C">
      <w:pPr>
        <w:pStyle w:val="APVMAText"/>
        <w:sectPr w:rsidR="00B446FD" w:rsidRPr="00B446FD">
          <w:headerReference w:type="default" r:id="rId36"/>
          <w:footerReference w:type="default" r:id="rId37"/>
          <w:pgSz w:w="11906" w:h="16838" w:code="9"/>
          <w:pgMar w:top="2835" w:right="1134" w:bottom="1134" w:left="1134" w:header="1701" w:footer="680" w:gutter="0"/>
          <w:cols w:space="708"/>
          <w:docGrid w:linePitch="360"/>
        </w:sectPr>
      </w:pPr>
      <w:r w:rsidRPr="00B446FD">
        <w:t>The water quality monitoring data considered during the review demonstrate adequate management of discharge to the environment from the current use pattern. Therefore, continued approval of the active constituent molinate and registration of agricultural chemical products containing molinate, is not, or would not be, likely to have an unintended effect that is harmful to animals, plants or things or to the environment.</w:t>
      </w:r>
    </w:p>
    <w:p w14:paraId="14B71E71" w14:textId="18071837" w:rsidR="00B446FD" w:rsidRDefault="00B446FD" w:rsidP="00B446FD">
      <w:pPr>
        <w:pStyle w:val="Heading1"/>
      </w:pPr>
      <w:bookmarkStart w:id="49" w:name="_Toc96334705"/>
      <w:r>
        <w:t>Residues and trade</w:t>
      </w:r>
      <w:bookmarkEnd w:id="49"/>
    </w:p>
    <w:p w14:paraId="4EA13982" w14:textId="599DFC7E" w:rsidR="00915A11" w:rsidRDefault="00915A11" w:rsidP="001F014C">
      <w:pPr>
        <w:pStyle w:val="APVMAText"/>
      </w:pPr>
      <w:r>
        <w:t>Molinate is approved for use on rice only and a maximum residue limit (MRL) at *0.05 mg/kg is established for rice</w:t>
      </w:r>
      <w:r>
        <w:rPr>
          <w:rStyle w:val="FootnoteReference"/>
        </w:rPr>
        <w:footnoteReference w:id="4"/>
      </w:r>
      <w:r>
        <w:t>. The available information supports the retention of the current rice MRL.</w:t>
      </w:r>
    </w:p>
    <w:p w14:paraId="1A281F20" w14:textId="5FBDFE22" w:rsidR="00915A11" w:rsidRDefault="00915A11" w:rsidP="001F014C">
      <w:pPr>
        <w:pStyle w:val="APVMAText"/>
      </w:pPr>
      <w:r w:rsidRPr="00105422">
        <w:t xml:space="preserve">Considering the revised ADI and ARfD for molinate discussed in </w:t>
      </w:r>
      <w:r w:rsidR="00044E5A">
        <w:t xml:space="preserve">the </w:t>
      </w:r>
      <w:r w:rsidR="0080495F" w:rsidRPr="00DA0A6A">
        <w:rPr>
          <w:i/>
          <w:iCs/>
        </w:rPr>
        <w:t>T</w:t>
      </w:r>
      <w:r w:rsidR="00044E5A" w:rsidRPr="00DA0A6A">
        <w:rPr>
          <w:i/>
          <w:iCs/>
        </w:rPr>
        <w:t>oxicology</w:t>
      </w:r>
      <w:r w:rsidR="00044E5A">
        <w:t xml:space="preserve"> section of this report</w:t>
      </w:r>
      <w:r>
        <w:t xml:space="preserve">, in accordance with the APVMA </w:t>
      </w:r>
      <w:r w:rsidRPr="00915A11">
        <w:rPr>
          <w:i/>
        </w:rPr>
        <w:t>Residues and Trade Risk Assessment Manual</w:t>
      </w:r>
      <w:r>
        <w:t xml:space="preserve"> (APVMA, 2019b)</w:t>
      </w:r>
      <w:r w:rsidRPr="00105422">
        <w:t>, the dietary exposure associated with the use of molinate on rice is acceptable.</w:t>
      </w:r>
    </w:p>
    <w:p w14:paraId="103EBB83" w14:textId="01DD4175" w:rsidR="00915A11" w:rsidRPr="00105422" w:rsidRDefault="00915A11" w:rsidP="001F014C">
      <w:pPr>
        <w:pStyle w:val="APVMAText"/>
      </w:pPr>
      <w:r>
        <w:t>The chronic dietary exposure to molinate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The NEDI for molinate is equivalent to &lt;</w:t>
      </w:r>
      <w:r w:rsidRPr="00105422">
        <w:t>10</w:t>
      </w:r>
      <w:r>
        <w:t xml:space="preserve">% </w:t>
      </w:r>
      <w:r w:rsidRPr="00105422">
        <w:t xml:space="preserve">of the ADI. </w:t>
      </w:r>
      <w:r>
        <w:t>T</w:t>
      </w:r>
      <w:r w:rsidRPr="00105422">
        <w:t xml:space="preserve">he chronic dietary exposure of molinate </w:t>
      </w:r>
      <w:r>
        <w:t>remains</w:t>
      </w:r>
      <w:r w:rsidRPr="00105422">
        <w:t xml:space="preserve"> acceptable.</w:t>
      </w:r>
    </w:p>
    <w:p w14:paraId="51AC3C7F" w14:textId="520BB0AF" w:rsidR="00915A11" w:rsidRDefault="00915A11" w:rsidP="001F014C">
      <w:pPr>
        <w:pStyle w:val="APVMAText"/>
      </w:pPr>
      <w:r w:rsidRPr="00105422">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t>–</w:t>
      </w:r>
      <w:r w:rsidRPr="00105422">
        <w:t xml:space="preserve">12 National Nutritional and Physical Activity Survey. NESTI calculations are conservative estimates of </w:t>
      </w:r>
      <w:r w:rsidR="00CC1E20" w:rsidRPr="00105422">
        <w:t>short</w:t>
      </w:r>
      <w:r w:rsidR="00CC1E20">
        <w:t>-term</w:t>
      </w:r>
      <w:r w:rsidRPr="00105422">
        <w:t xml:space="preserve"> exposure (</w:t>
      </w:r>
      <w:r w:rsidR="00302DB5" w:rsidRPr="00105422">
        <w:t>24-hour</w:t>
      </w:r>
      <w:r w:rsidRPr="00105422">
        <w:t xml:space="preserve"> period) to chemical residues in food. The acute dietary intake for molinate in rice was estimated at &lt;30</w:t>
      </w:r>
      <w:r>
        <w:t>%</w:t>
      </w:r>
      <w:r w:rsidRPr="00105422">
        <w:t xml:space="preserve"> of</w:t>
      </w:r>
      <w:r>
        <w:t xml:space="preserve"> the ARfD. The acute dietary exposure is acceptable.</w:t>
      </w:r>
    </w:p>
    <w:p w14:paraId="5799BEE9" w14:textId="77777777" w:rsidR="00915A11" w:rsidRDefault="00915A11" w:rsidP="001F014C">
      <w:pPr>
        <w:pStyle w:val="APVMAText"/>
      </w:pPr>
      <w:r>
        <w:t xml:space="preserve">Based on this information, the </w:t>
      </w:r>
      <w:r w:rsidRPr="008966B4">
        <w:t>continued approval of the active</w:t>
      </w:r>
      <w:r>
        <w:t xml:space="preserve"> constituent</w:t>
      </w:r>
      <w:r w:rsidRPr="008966B4">
        <w:t xml:space="preserve"> </w:t>
      </w:r>
      <w:r>
        <w:t xml:space="preserve">molinate </w:t>
      </w:r>
      <w:r w:rsidRPr="008966B4">
        <w:t xml:space="preserve">and </w:t>
      </w:r>
      <w:r>
        <w:t>registration of</w:t>
      </w:r>
      <w:r w:rsidRPr="008966B4">
        <w:t xml:space="preserve"> agricultural </w:t>
      </w:r>
      <w:r>
        <w:t>chemical products containing the</w:t>
      </w:r>
      <w:r w:rsidRPr="008966B4">
        <w:t xml:space="preserve"> active</w:t>
      </w:r>
      <w:r>
        <w:t xml:space="preserve"> molinate, is not,</w:t>
      </w:r>
      <w:r w:rsidRPr="008966B4">
        <w:t xml:space="preserve"> or would not be, likely to have an unintended effect that is harmful to </w:t>
      </w:r>
      <w:r>
        <w:t>human beings through residues in food.</w:t>
      </w:r>
    </w:p>
    <w:p w14:paraId="403DC444" w14:textId="77777777" w:rsidR="00915A11" w:rsidRDefault="00915A11" w:rsidP="001F014C">
      <w:pPr>
        <w:pStyle w:val="APVMAText"/>
        <w:sectPr w:rsidR="00915A11">
          <w:headerReference w:type="default" r:id="rId38"/>
          <w:pgSz w:w="11906" w:h="16838" w:code="9"/>
          <w:pgMar w:top="2835" w:right="1134" w:bottom="1134" w:left="1134" w:header="1701" w:footer="680" w:gutter="0"/>
          <w:cols w:space="708"/>
          <w:docGrid w:linePitch="360"/>
        </w:sectPr>
      </w:pPr>
      <w:r>
        <w:t>The APVMA is not aware of any trade incidents associated with the use of molinate in rice. The MRL is set at *0.05 mg/kg (the limit of quantification) and the risk to international trade is considered to be low.</w:t>
      </w:r>
    </w:p>
    <w:p w14:paraId="6338A974" w14:textId="1C4D3A24" w:rsidR="00B446FD" w:rsidRDefault="00915A11" w:rsidP="00915A11">
      <w:pPr>
        <w:pStyle w:val="Heading1"/>
      </w:pPr>
      <w:bookmarkStart w:id="50" w:name="_Toc96334706"/>
      <w:r>
        <w:t>Efficacy and target crop safety</w:t>
      </w:r>
      <w:bookmarkEnd w:id="50"/>
    </w:p>
    <w:p w14:paraId="67AD3C98" w14:textId="297285C8" w:rsidR="00915A11" w:rsidRPr="00915A11" w:rsidRDefault="00915A11" w:rsidP="001F014C">
      <w:pPr>
        <w:pStyle w:val="APVMAText"/>
      </w:pPr>
      <w:r w:rsidRPr="00915A11">
        <w:t>No new efficacy or target crop (rice) safety information was submitted for consideration during the review, and this assessment has considered the history of use of the product with no adverse experience reports received</w:t>
      </w:r>
      <w:r>
        <w:t>.</w:t>
      </w:r>
    </w:p>
    <w:p w14:paraId="7BFA8D0C" w14:textId="0DB84598" w:rsidR="00915A11" w:rsidRPr="00915A11" w:rsidRDefault="00915A11" w:rsidP="001F014C">
      <w:pPr>
        <w:pStyle w:val="APVMAText"/>
      </w:pPr>
      <w:r w:rsidRPr="00915A11">
        <w:t xml:space="preserve">Currently registered molinate products target different weeds or different weed growth stages with each of </w:t>
      </w:r>
      <w:r>
        <w:t>3</w:t>
      </w:r>
      <w:r w:rsidR="00CC1E20">
        <w:t> </w:t>
      </w:r>
      <w:r w:rsidRPr="00915A11">
        <w:t>registered label rates. The 5.2 L/ha rate is targeted at barnyard grass at the 5</w:t>
      </w:r>
      <w:r w:rsidR="00CC1E20">
        <w:t>-</w:t>
      </w:r>
      <w:r w:rsidRPr="00915A11">
        <w:t>leaf to early tillering growth stages, whereas the 2.5 L/ha rate is targeted at barnyard grass at the 0</w:t>
      </w:r>
      <w:r w:rsidR="00656F27">
        <w:t xml:space="preserve"> to </w:t>
      </w:r>
      <w:r w:rsidRPr="00915A11">
        <w:t>2 leaf stage, and the 3.75 L/ha rate is targ</w:t>
      </w:r>
      <w:r>
        <w:t xml:space="preserve">eted at barnyard grass at the </w:t>
      </w:r>
      <w:r w:rsidR="00302DB5">
        <w:t>one</w:t>
      </w:r>
      <w:r>
        <w:t xml:space="preserve"> to </w:t>
      </w:r>
      <w:r w:rsidRPr="00915A11">
        <w:t xml:space="preserve">4 leaf stage and silvertop grass at the </w:t>
      </w:r>
      <w:r w:rsidR="00CC1E20" w:rsidRPr="00915A11">
        <w:t>2-leaf</w:t>
      </w:r>
      <w:r w:rsidRPr="00915A11">
        <w:t xml:space="preserve"> stage. The </w:t>
      </w:r>
      <w:r w:rsidR="00DA0A6A" w:rsidRPr="00DA0A6A">
        <w:rPr>
          <w:i/>
          <w:iCs/>
        </w:rPr>
        <w:t>R</w:t>
      </w:r>
      <w:r w:rsidRPr="00DA0A6A">
        <w:rPr>
          <w:i/>
          <w:iCs/>
        </w:rPr>
        <w:t>equired label elements</w:t>
      </w:r>
      <w:r w:rsidR="0080495F">
        <w:t xml:space="preserve"> </w:t>
      </w:r>
      <w:r w:rsidRPr="00915A11">
        <w:t xml:space="preserve">section of this report </w:t>
      </w:r>
      <w:r w:rsidR="0080495F" w:rsidRPr="00915A11">
        <w:t>includes</w:t>
      </w:r>
      <w:r w:rsidRPr="00915A11">
        <w:t xml:space="preserve"> a reduction in the maximum application rate from 5.2</w:t>
      </w:r>
      <w:r w:rsidR="00CC1E20">
        <w:t> </w:t>
      </w:r>
      <w:r w:rsidRPr="00915A11">
        <w:t>L/ha in 20 L water volume, to 3.75 L/ha in 10 L water volume.</w:t>
      </w:r>
    </w:p>
    <w:p w14:paraId="58A3ED92" w14:textId="4107582E" w:rsidR="00915A11" w:rsidRDefault="00915A11" w:rsidP="00915A11">
      <w:pPr>
        <w:pStyle w:val="Heading2"/>
      </w:pPr>
      <w:bookmarkStart w:id="51" w:name="_Toc96334707"/>
      <w:r>
        <w:t>Efficacy</w:t>
      </w:r>
      <w:bookmarkEnd w:id="51"/>
    </w:p>
    <w:p w14:paraId="1EF511B5" w14:textId="3BA87923" w:rsidR="00915A11" w:rsidRPr="001F014C" w:rsidRDefault="00915A11" w:rsidP="001F014C">
      <w:pPr>
        <w:pStyle w:val="APVMAText"/>
      </w:pPr>
      <w:r w:rsidRPr="00915A11">
        <w:t xml:space="preserve">Based on a demonstrated history of effective use at rates of 2.5 L and 3.75 L/ha in 10 L of water when applied to weeds at the stated growth stages as an aerial application using </w:t>
      </w:r>
      <w:r w:rsidR="003045A3">
        <w:t xml:space="preserve">either </w:t>
      </w:r>
      <w:r w:rsidRPr="00915A11">
        <w:t xml:space="preserve">SCWIIRT </w:t>
      </w:r>
      <w:r w:rsidR="003045A3">
        <w:t>application</w:t>
      </w:r>
      <w:r w:rsidR="00656F27">
        <w:t xml:space="preserve"> </w:t>
      </w:r>
      <w:r w:rsidR="003045A3">
        <w:t>from helicopter or Bickley boom application form fixed wing aircraft</w:t>
      </w:r>
      <w:r w:rsidRPr="00915A11">
        <w:t xml:space="preserve">, the APVMA is satisfied that molinate products will meet the criteria laid out in the Agricultural and Veterinary Chemicals Code (Efficacy Criteria) Determination 2014 when used according to the modified label elements set out in </w:t>
      </w:r>
      <w:r w:rsidR="00044E5A">
        <w:t xml:space="preserve">the </w:t>
      </w:r>
      <w:r w:rsidR="00DA0A6A" w:rsidRPr="00DA0A6A">
        <w:rPr>
          <w:i/>
          <w:iCs/>
        </w:rPr>
        <w:t>R</w:t>
      </w:r>
      <w:r w:rsidR="00044E5A" w:rsidRPr="00DA0A6A">
        <w:rPr>
          <w:i/>
          <w:iCs/>
        </w:rPr>
        <w:t>equired label elements</w:t>
      </w:r>
      <w:r w:rsidR="00044E5A">
        <w:t xml:space="preserve"> section</w:t>
      </w:r>
      <w:r w:rsidRPr="00915A11">
        <w:t xml:space="preserve"> </w:t>
      </w:r>
      <w:r w:rsidRPr="001F014C">
        <w:t>of this report.</w:t>
      </w:r>
    </w:p>
    <w:p w14:paraId="51CEB666" w14:textId="28B8B718" w:rsidR="00915A11" w:rsidRDefault="00915A11" w:rsidP="00915A11">
      <w:pPr>
        <w:pStyle w:val="Heading2"/>
      </w:pPr>
      <w:bookmarkStart w:id="52" w:name="_Toc96334708"/>
      <w:r>
        <w:t>Target crop safety</w:t>
      </w:r>
      <w:bookmarkEnd w:id="52"/>
    </w:p>
    <w:p w14:paraId="4A5433A2" w14:textId="1FEC51BE" w:rsidR="00915A11" w:rsidRDefault="00915A11" w:rsidP="001F014C">
      <w:pPr>
        <w:pStyle w:val="APVMAText"/>
        <w:sectPr w:rsidR="00915A11">
          <w:headerReference w:type="default" r:id="rId39"/>
          <w:pgSz w:w="11906" w:h="16838" w:code="9"/>
          <w:pgMar w:top="2835" w:right="1134" w:bottom="1134" w:left="1134" w:header="1701" w:footer="680" w:gutter="0"/>
          <w:cols w:space="708"/>
          <w:docGrid w:linePitch="360"/>
        </w:sectPr>
      </w:pPr>
      <w:r w:rsidRPr="00915A11">
        <w:t>The APVMA has not received adverse experience reports in relation to crop damage from molinate products, and no issues with target crop safety have been reported to the APVMA in other fora. The required label elements set out in this report</w:t>
      </w:r>
      <w:r>
        <w:t xml:space="preserve"> (see </w:t>
      </w:r>
      <w:r w:rsidRPr="00CC1E20">
        <w:rPr>
          <w:i/>
          <w:iCs/>
        </w:rPr>
        <w:t>Required label elements</w:t>
      </w:r>
      <w:r>
        <w:t>)</w:t>
      </w:r>
      <w:r w:rsidRPr="00915A11">
        <w:t xml:space="preserve"> would result in a reduction in the maximum application rate of molinate products Therefore they would result in a reduction in the amount of active constituent applied by area, reducing risk of target crop damage attributable to the spray product itself. Accordingly, the APVMA is satisfied that the product will meet the safety criteria as they relate to target crop safety when molinate products are used according to the modified label elements set out in </w:t>
      </w:r>
      <w:r>
        <w:t xml:space="preserve">the </w:t>
      </w:r>
      <w:r w:rsidRPr="00DA0A6A">
        <w:rPr>
          <w:i/>
          <w:iCs/>
        </w:rPr>
        <w:t>Required label elements</w:t>
      </w:r>
      <w:r>
        <w:t xml:space="preserve"> section </w:t>
      </w:r>
      <w:r w:rsidRPr="00915A11">
        <w:t>of this report.</w:t>
      </w:r>
    </w:p>
    <w:p w14:paraId="0D67BA3D" w14:textId="4AF2246C" w:rsidR="00915A11" w:rsidRDefault="00915A11" w:rsidP="00915A11">
      <w:pPr>
        <w:pStyle w:val="Heading1"/>
      </w:pPr>
      <w:bookmarkStart w:id="53" w:name="_Toc96334709"/>
      <w:r>
        <w:t>Spray drift assessment</w:t>
      </w:r>
      <w:bookmarkEnd w:id="53"/>
    </w:p>
    <w:p w14:paraId="24541EFC" w14:textId="498A2D30" w:rsidR="00915A11" w:rsidRPr="00915A11" w:rsidRDefault="00915A11" w:rsidP="001F014C">
      <w:pPr>
        <w:pStyle w:val="APVMAText"/>
      </w:pPr>
      <w:r w:rsidRPr="00915A11">
        <w:t xml:space="preserve">A spray drift assessment was conducted according to APVMA’s approach to spray drift management which specifies </w:t>
      </w:r>
      <w:r>
        <w:t>regulatory a</w:t>
      </w:r>
      <w:r w:rsidRPr="00915A11">
        <w:t xml:space="preserve">cceptable </w:t>
      </w:r>
      <w:r>
        <w:t>l</w:t>
      </w:r>
      <w:r w:rsidRPr="00915A11">
        <w:t>evels resulting from spray drift in bystander areas, livestock areas, natural aquatic areas, pollinator areas and vegetation areas. The application method</w:t>
      </w:r>
      <w:r w:rsidR="00B671A7">
        <w:t xml:space="preserve">s considered were </w:t>
      </w:r>
      <w:r w:rsidRPr="00915A11">
        <w:t xml:space="preserve">aerial </w:t>
      </w:r>
      <w:r w:rsidR="00B671A7">
        <w:t>application i</w:t>
      </w:r>
      <w:r w:rsidR="00B671A7" w:rsidRPr="00915A11">
        <w:t xml:space="preserve">nto permanent water </w:t>
      </w:r>
      <w:r w:rsidR="00B671A7">
        <w:t xml:space="preserve">by either helicopter using the </w:t>
      </w:r>
      <w:r w:rsidRPr="00915A11">
        <w:t>SCWIIRT</w:t>
      </w:r>
      <w:r w:rsidR="00B671A7">
        <w:t xml:space="preserve"> methodology or fixed wing aircraft using a </w:t>
      </w:r>
      <w:r w:rsidRPr="00915A11">
        <w:t xml:space="preserve">Bickley </w:t>
      </w:r>
      <w:r w:rsidR="00B671A7">
        <w:t>b</w:t>
      </w:r>
      <w:r w:rsidR="00B671A7" w:rsidRPr="00915A11">
        <w:t>oom</w:t>
      </w:r>
      <w:r w:rsidR="00B671A7">
        <w:t>.</w:t>
      </w:r>
    </w:p>
    <w:p w14:paraId="466C27CA" w14:textId="553CE82D" w:rsidR="00915A11" w:rsidRDefault="00915A11" w:rsidP="00915A11">
      <w:pPr>
        <w:pStyle w:val="Heading2"/>
      </w:pPr>
      <w:bookmarkStart w:id="54" w:name="_Toc96334710"/>
      <w:r>
        <w:t>Regulatory acceptable levels considered</w:t>
      </w:r>
      <w:bookmarkEnd w:id="54"/>
    </w:p>
    <w:p w14:paraId="1CA3F40C" w14:textId="3FC2F903" w:rsidR="00915A11" w:rsidRDefault="00915A11" w:rsidP="001F014C">
      <w:pPr>
        <w:pStyle w:val="APVMAText"/>
      </w:pPr>
      <w:r>
        <w:t xml:space="preserve">In </w:t>
      </w:r>
      <w:r w:rsidRPr="00C40EDE">
        <w:t xml:space="preserve">assessing spray </w:t>
      </w:r>
      <w:r w:rsidR="001F014C" w:rsidRPr="00C40EDE">
        <w:t>drift,</w:t>
      </w:r>
      <w:r w:rsidRPr="00C40EDE">
        <w:t xml:space="preserve"> the following </w:t>
      </w:r>
      <w:r>
        <w:t>regulatory acceptable levels (</w:t>
      </w:r>
      <w:r w:rsidRPr="00C40EDE">
        <w:t>RALs</w:t>
      </w:r>
      <w:r>
        <w:t>)</w:t>
      </w:r>
      <w:r w:rsidRPr="00C40EDE">
        <w:t xml:space="preserve"> were considered</w:t>
      </w:r>
      <w:r>
        <w:t>.</w:t>
      </w:r>
    </w:p>
    <w:p w14:paraId="28BFC8F5" w14:textId="59720F6C" w:rsidR="00915A11" w:rsidRDefault="00915A11" w:rsidP="00915A11">
      <w:pPr>
        <w:pStyle w:val="Heading3"/>
      </w:pPr>
      <w:bookmarkStart w:id="55" w:name="_Toc96334711"/>
      <w:r>
        <w:t>Bystander areas</w:t>
      </w:r>
      <w:bookmarkEnd w:id="55"/>
    </w:p>
    <w:p w14:paraId="663359B5" w14:textId="17926B84" w:rsidR="00915A11" w:rsidRPr="00915A11" w:rsidRDefault="00915A11" w:rsidP="001F014C">
      <w:pPr>
        <w:pStyle w:val="APVMAText"/>
      </w:pPr>
      <w:r w:rsidRPr="00915A11">
        <w:t xml:space="preserve">Given the use pattern of molinate (one to </w:t>
      </w:r>
      <w:r>
        <w:t>2</w:t>
      </w:r>
      <w:r w:rsidRPr="00915A11">
        <w:t xml:space="preserve"> applications per year), it is considered appropriate to utilise an intermediate exposure duration point of departure, as has been used for occupational exposure. An oral LOAEL of 1.8 mg/kg bw for the rat developmental neurotoxicity study, with the application of a 1</w:t>
      </w:r>
      <w:r>
        <w:t>,</w:t>
      </w:r>
      <w:r w:rsidRPr="00915A11">
        <w:t>000-fold safety factor is considered appropriate. A dermal absorption factor of 40</w:t>
      </w:r>
      <w:r>
        <w:t>%</w:t>
      </w:r>
      <w:r w:rsidRPr="00915A11">
        <w:t xml:space="preserve"> was used. Using the methodology established in the APVMA’s published spray drift guidance (APVMA, 2019d), the RAL for bystander exposure is calculated at 15 g ac/ha.</w:t>
      </w:r>
    </w:p>
    <w:p w14:paraId="07C6781B" w14:textId="16A0ABDA" w:rsidR="00915A11" w:rsidRDefault="00915A11" w:rsidP="00915A11">
      <w:pPr>
        <w:pStyle w:val="Heading3"/>
      </w:pPr>
      <w:bookmarkStart w:id="56" w:name="_Toc96334712"/>
      <w:r>
        <w:t>Livestock areas</w:t>
      </w:r>
      <w:bookmarkEnd w:id="56"/>
    </w:p>
    <w:p w14:paraId="63BAF4FB" w14:textId="24F28034" w:rsidR="00915A11" w:rsidRPr="00915A11" w:rsidRDefault="00915A11" w:rsidP="001F014C">
      <w:pPr>
        <w:pStyle w:val="APVMAText"/>
      </w:pPr>
      <w:r w:rsidRPr="00915A11">
        <w:t xml:space="preserve">A RAL for livestock areas is not considered to be necessary as application methods limit off target movement and molinate has been used on rice for many years without a known </w:t>
      </w:r>
      <w:r>
        <w:t>residue related trade incident.</w:t>
      </w:r>
    </w:p>
    <w:p w14:paraId="2CED8C0F" w14:textId="76228154" w:rsidR="00915A11" w:rsidRDefault="00915A11" w:rsidP="00915A11">
      <w:pPr>
        <w:pStyle w:val="Heading3"/>
      </w:pPr>
      <w:bookmarkStart w:id="57" w:name="_Toc96334713"/>
      <w:r>
        <w:t>Natural aquatic areas</w:t>
      </w:r>
      <w:bookmarkEnd w:id="57"/>
    </w:p>
    <w:p w14:paraId="2D52D9B1" w14:textId="5B64C188" w:rsidR="00915A11" w:rsidRDefault="00915A11" w:rsidP="001F014C">
      <w:pPr>
        <w:pStyle w:val="APVMAText"/>
      </w:pPr>
      <w:r w:rsidRPr="00915A11">
        <w:t>Based on aquatic toxicity endpoints reported by EC (2003) and US EPA (2006), aquatic invertebrates are the most sensitive taxonomic group to molinate. Following long</w:t>
      </w:r>
      <w:r w:rsidR="00302DB5">
        <w:t>-</w:t>
      </w:r>
      <w:r w:rsidRPr="00915A11">
        <w:t xml:space="preserve">term exposure, larval survival was reduced at concentrations as low as 45 µg ac/L (NOEC 26 µg ac/L, </w:t>
      </w:r>
      <w:r w:rsidRPr="00915A11">
        <w:rPr>
          <w:i/>
        </w:rPr>
        <w:t>Neomysis mercedis</w:t>
      </w:r>
      <w:r w:rsidRPr="00915A11">
        <w:t>). An assessment factor of 1 is applied to NOEC values and therefore the RAL for aquatic species is also 26 µg ac/L.</w:t>
      </w:r>
    </w:p>
    <w:p w14:paraId="3E8325F5" w14:textId="0C3BD34D" w:rsidR="00915A11" w:rsidRDefault="00915A11" w:rsidP="00915A11">
      <w:pPr>
        <w:pStyle w:val="Heading3"/>
      </w:pPr>
      <w:bookmarkStart w:id="58" w:name="_Toc96334714"/>
      <w:r>
        <w:t>Pollinator areas</w:t>
      </w:r>
      <w:bookmarkEnd w:id="58"/>
    </w:p>
    <w:p w14:paraId="7AD3D6E1" w14:textId="77777777" w:rsidR="00915A11" w:rsidRPr="00915A11" w:rsidRDefault="00915A11" w:rsidP="001F014C">
      <w:pPr>
        <w:pStyle w:val="APVMAText"/>
      </w:pPr>
      <w:r w:rsidRPr="00915A11">
        <w:t>Molinate is not considered to be toxic to bees (oral LD50 &gt;11 µg ae/bee, EC 2003). Based on available data, risks of contact toxicity are expected to be low. Therefore, a spray drift assessment is not required for pollinators.</w:t>
      </w:r>
    </w:p>
    <w:p w14:paraId="6E25DCA7" w14:textId="649FF2D7" w:rsidR="00915A11" w:rsidRDefault="00915A11" w:rsidP="00915A11">
      <w:pPr>
        <w:pStyle w:val="Heading3"/>
      </w:pPr>
      <w:bookmarkStart w:id="59" w:name="_Toc96334715"/>
      <w:r>
        <w:t>Vegetation areas</w:t>
      </w:r>
      <w:bookmarkEnd w:id="59"/>
    </w:p>
    <w:p w14:paraId="305B15F2" w14:textId="713725D3" w:rsidR="00915A11" w:rsidRPr="00915A11" w:rsidRDefault="00915A11" w:rsidP="001F014C">
      <w:pPr>
        <w:pStyle w:val="APVMAText"/>
      </w:pPr>
      <w:r w:rsidRPr="00915A11">
        <w:t>Information on the toxicity of molinate to non</w:t>
      </w:r>
      <w:r w:rsidR="00656F27">
        <w:t xml:space="preserve"> </w:t>
      </w:r>
      <w:r w:rsidRPr="00915A11">
        <w:t>target terrestrial plants is limited to one vegetative vigour study reported by the US EPA (2001). ER25 values were reported to range 246 g ac/ha to &gt;4</w:t>
      </w:r>
      <w:r>
        <w:t>,</w:t>
      </w:r>
      <w:r w:rsidRPr="00915A11">
        <w:t>480 g ac/ha. Applying an assessment factor of 2 to the lowest ER25, the RAL is 123 g ac/ha for the protection of vegetation areas.</w:t>
      </w:r>
    </w:p>
    <w:p w14:paraId="673406BB" w14:textId="0706C384" w:rsidR="00915A11" w:rsidRDefault="00915A11" w:rsidP="00915A11">
      <w:pPr>
        <w:pStyle w:val="Heading3"/>
      </w:pPr>
      <w:bookmarkStart w:id="60" w:name="_Toc96334716"/>
      <w:r>
        <w:t>Spray drift buffer zones</w:t>
      </w:r>
      <w:bookmarkEnd w:id="60"/>
    </w:p>
    <w:p w14:paraId="5E36B3F9" w14:textId="4FFFA998" w:rsidR="00915A11" w:rsidRPr="001F014C" w:rsidRDefault="00915A11" w:rsidP="001F014C">
      <w:pPr>
        <w:pStyle w:val="APVMAText"/>
      </w:pPr>
      <w:r w:rsidRPr="00C40EDE">
        <w:t xml:space="preserve">Required spray drift buffer zones were calculated separately for application by fixed wing and rotary wing aircraft due to the effects of different flying speed on droplet size. The </w:t>
      </w:r>
      <w:r w:rsidRPr="00F555C3">
        <w:t xml:space="preserve">standard </w:t>
      </w:r>
      <w:r>
        <w:t xml:space="preserve">deposition curves in the </w:t>
      </w:r>
      <w:hyperlink r:id="rId40" w:history="1">
        <w:r w:rsidRPr="001F014C">
          <w:rPr>
            <w:rStyle w:val="Hyperlink"/>
          </w:rPr>
          <w:t>Spray Drift Risk Assessment Tool</w:t>
        </w:r>
      </w:hyperlink>
      <w:r>
        <w:t xml:space="preserve"> </w:t>
      </w:r>
      <w:r w:rsidRPr="001F014C">
        <w:t xml:space="preserve">(SDRAT) with a very coarse droplet size were </w:t>
      </w:r>
      <w:r w:rsidR="00B671A7" w:rsidRPr="001F014C">
        <w:t>applied</w:t>
      </w:r>
      <w:r w:rsidRPr="001F014C">
        <w:t xml:space="preserve"> for modelling molinate application by </w:t>
      </w:r>
      <w:r w:rsidR="00711AFF" w:rsidRPr="001F014C">
        <w:t xml:space="preserve">Bickley </w:t>
      </w:r>
      <w:r w:rsidR="00B671A7" w:rsidRPr="001F014C">
        <w:t>b</w:t>
      </w:r>
      <w:r w:rsidR="00711AFF" w:rsidRPr="001F014C">
        <w:t xml:space="preserve">oom </w:t>
      </w:r>
      <w:r w:rsidRPr="001F014C">
        <w:t>on fixed wing aircraft (APVMA, 2019d). To model the application of molinate by SCWIIRT for helicopters the</w:t>
      </w:r>
      <w:r w:rsidRPr="00C40EDE">
        <w:t xml:space="preserve"> </w:t>
      </w:r>
      <w:hyperlink r:id="rId41" w:history="1">
        <w:r w:rsidRPr="001F014C">
          <w:rPr>
            <w:rStyle w:val="Hyperlink"/>
          </w:rPr>
          <w:t>APVMA standard scenario input file to AGDISP</w:t>
        </w:r>
      </w:hyperlink>
      <w:r w:rsidRPr="001F014C">
        <w:rPr>
          <w:rStyle w:val="Hyperlink"/>
        </w:rPr>
        <w:t xml:space="preserve"> (APVMA, 2019d)</w:t>
      </w:r>
      <w:r w:rsidRPr="00C40EDE">
        <w:t xml:space="preserve"> </w:t>
      </w:r>
      <w:r w:rsidRPr="001F014C">
        <w:t>was used with the following changes:</w:t>
      </w:r>
    </w:p>
    <w:p w14:paraId="73A33B1C" w14:textId="20E36FDE" w:rsidR="00915A11" w:rsidRPr="00CC1E20" w:rsidRDefault="00915A11" w:rsidP="00CC1E20">
      <w:pPr>
        <w:pStyle w:val="ListNumbered"/>
      </w:pPr>
      <w:r w:rsidRPr="00CC1E20">
        <w:t>Nozzle placement</w:t>
      </w:r>
      <w:r w:rsidR="007C3B97" w:rsidRPr="00CC1E20">
        <w:t>: A total of 4</w:t>
      </w:r>
      <w:r w:rsidRPr="00CC1E20">
        <w:t xml:space="preserve"> nozzles, equally spaced to 66</w:t>
      </w:r>
      <w:r w:rsidR="007C3B97" w:rsidRPr="00CC1E20">
        <w:t>%</w:t>
      </w:r>
      <w:r w:rsidRPr="00CC1E20">
        <w:t xml:space="preserve"> of rotor diameter, mounted on droppers 1 m below the standard boom.</w:t>
      </w:r>
    </w:p>
    <w:p w14:paraId="581F9157" w14:textId="67C26B33" w:rsidR="00915A11" w:rsidRPr="00CC1E20" w:rsidRDefault="00915A11" w:rsidP="00CC1E20">
      <w:pPr>
        <w:pStyle w:val="ListNumbered"/>
      </w:pPr>
      <w:r w:rsidRPr="00CC1E20">
        <w:t xml:space="preserve">Droplet size distribution (DSD): Specific DSD information for spraying molinate through SCWIIRT or Bickley </w:t>
      </w:r>
      <w:r w:rsidR="00B671A7" w:rsidRPr="00CC1E20">
        <w:t>b</w:t>
      </w:r>
      <w:r w:rsidRPr="00CC1E20">
        <w:t xml:space="preserve">oom was not available. The AGDISP droplet size library includes data measured by the Spray Drift Task Force for nozzles of the same general type to the SCWIIRT system, </w:t>
      </w:r>
      <w:r w:rsidR="001F014C" w:rsidRPr="00CC1E20">
        <w:t>i.e.</w:t>
      </w:r>
      <w:r w:rsidRPr="00CC1E20">
        <w:t xml:space="preserve"> solid stream nozzles with large orifices. The closest entry available for this application was that for a D10 nozzle so this was selected for the 2.07 bar pressure, 22.35 m/s aircraft speed option. This spray has a Dv0.5 of 1021 µm with a relative span of 1.14. It is considered to be conservative because in reality the nozzle type used in the field is larger than 10/64 inch or 4 mm diam</w:t>
      </w:r>
      <w:r w:rsidR="007C3B97" w:rsidRPr="00CC1E20">
        <w:t>eter (the nomenclature used by spraying s</w:t>
      </w:r>
      <w:r w:rsidRPr="00CC1E20">
        <w:t>ystems is that the orifice diameter is X/64 inch where X is the D orifice value). Droplet size from this type of nozzle is very dependent on air speed so a maximum flying speed of 50 knots is applied.</w:t>
      </w:r>
    </w:p>
    <w:p w14:paraId="041A81F1" w14:textId="77777777" w:rsidR="007C3B97" w:rsidRDefault="00915A11" w:rsidP="001F014C">
      <w:pPr>
        <w:pStyle w:val="APVMAText"/>
        <w:sectPr w:rsidR="007C3B97">
          <w:headerReference w:type="default" r:id="rId42"/>
          <w:pgSz w:w="11906" w:h="16838" w:code="9"/>
          <w:pgMar w:top="2835" w:right="1134" w:bottom="1134" w:left="1134" w:header="1701" w:footer="680" w:gutter="0"/>
          <w:cols w:space="708"/>
          <w:docGrid w:linePitch="360"/>
        </w:sectPr>
      </w:pPr>
      <w:r w:rsidRPr="00C40EDE">
        <w:t>Based on the assessment parameters set out above the restraint statements</w:t>
      </w:r>
      <w:r>
        <w:t xml:space="preserve"> indicated in the required label elements</w:t>
      </w:r>
      <w:r w:rsidRPr="00C40EDE">
        <w:t xml:space="preserve"> are required.</w:t>
      </w:r>
    </w:p>
    <w:p w14:paraId="298741CC" w14:textId="772DADB5" w:rsidR="00915A11" w:rsidRDefault="007C3B97" w:rsidP="007C3B97">
      <w:pPr>
        <w:pStyle w:val="Heading1"/>
        <w:spacing w:after="300"/>
      </w:pPr>
      <w:bookmarkStart w:id="61" w:name="_Toc96334717"/>
      <w:r>
        <w:t>Required label elements</w:t>
      </w:r>
      <w:bookmarkEnd w:id="61"/>
    </w:p>
    <w:tbl>
      <w:tblPr>
        <w:tblStyle w:val="TableGrid"/>
        <w:tblW w:w="5000" w:type="pct"/>
        <w:jc w:val="center"/>
        <w:tblLook w:val="04A0" w:firstRow="1" w:lastRow="0" w:firstColumn="1" w:lastColumn="0" w:noHBand="0" w:noVBand="1"/>
      </w:tblPr>
      <w:tblGrid>
        <w:gridCol w:w="1673"/>
        <w:gridCol w:w="1148"/>
        <w:gridCol w:w="308"/>
        <w:gridCol w:w="6499"/>
      </w:tblGrid>
      <w:tr w:rsidR="007C3B97" w:rsidRPr="00BA3427" w14:paraId="7D7F9FC5" w14:textId="77777777" w:rsidTr="001F014C">
        <w:trPr>
          <w:trHeight w:val="699"/>
          <w:jc w:val="center"/>
        </w:trPr>
        <w:tc>
          <w:tcPr>
            <w:tcW w:w="869" w:type="pct"/>
            <w:tcBorders>
              <w:bottom w:val="single" w:sz="4" w:space="0" w:color="auto"/>
            </w:tcBorders>
          </w:tcPr>
          <w:p w14:paraId="346F6934" w14:textId="63D521A7" w:rsidR="007C3B97" w:rsidRPr="00BA3427" w:rsidRDefault="007C3B97" w:rsidP="007C3B97">
            <w:pPr>
              <w:pStyle w:val="TableText"/>
            </w:pPr>
            <w:r>
              <w:t>Signal h</w:t>
            </w:r>
            <w:r w:rsidRPr="00BA3427">
              <w:t>eading:</w:t>
            </w:r>
          </w:p>
        </w:tc>
        <w:tc>
          <w:tcPr>
            <w:tcW w:w="4131" w:type="pct"/>
            <w:gridSpan w:val="3"/>
            <w:tcBorders>
              <w:bottom w:val="single" w:sz="4" w:space="0" w:color="auto"/>
            </w:tcBorders>
          </w:tcPr>
          <w:p w14:paraId="3123C22A" w14:textId="77777777" w:rsidR="007C3B97" w:rsidRPr="00BA3427" w:rsidRDefault="007C3B97" w:rsidP="007C3B97">
            <w:pPr>
              <w:pStyle w:val="TableText"/>
            </w:pPr>
            <w:r w:rsidRPr="00BA3427">
              <w:t>DANGEROUS POISON</w:t>
            </w:r>
          </w:p>
          <w:p w14:paraId="43DC89AB" w14:textId="77777777" w:rsidR="007C3B97" w:rsidRPr="00BA3427" w:rsidRDefault="007C3B97" w:rsidP="007C3B97">
            <w:pPr>
              <w:pStyle w:val="TableText"/>
            </w:pPr>
            <w:r w:rsidRPr="00BA3427">
              <w:t>KEEP OUT OF REACH OF CHILDREN</w:t>
            </w:r>
          </w:p>
          <w:p w14:paraId="7E9A38BD" w14:textId="77777777" w:rsidR="007C3B97" w:rsidRPr="00BA3427" w:rsidRDefault="007C3B97" w:rsidP="007C3B97">
            <w:pPr>
              <w:pStyle w:val="TableText"/>
            </w:pPr>
            <w:r w:rsidRPr="00BA3427">
              <w:t>READ SAFETY DIRECTIONS BEFORE OPENING OR USING</w:t>
            </w:r>
          </w:p>
        </w:tc>
      </w:tr>
      <w:tr w:rsidR="007C3B97" w:rsidRPr="00BA3427" w14:paraId="3D7A25AB" w14:textId="77777777" w:rsidTr="001F014C">
        <w:trPr>
          <w:trHeight w:val="189"/>
          <w:jc w:val="center"/>
        </w:trPr>
        <w:tc>
          <w:tcPr>
            <w:tcW w:w="869" w:type="pct"/>
            <w:tcBorders>
              <w:left w:val="nil"/>
              <w:right w:val="nil"/>
            </w:tcBorders>
          </w:tcPr>
          <w:p w14:paraId="2421452D" w14:textId="77777777" w:rsidR="007C3B97" w:rsidRPr="00BA3427" w:rsidRDefault="007C3B97" w:rsidP="007C3B97">
            <w:pPr>
              <w:pStyle w:val="TableText"/>
            </w:pPr>
          </w:p>
        </w:tc>
        <w:tc>
          <w:tcPr>
            <w:tcW w:w="4131" w:type="pct"/>
            <w:gridSpan w:val="3"/>
            <w:tcBorders>
              <w:left w:val="nil"/>
              <w:right w:val="nil"/>
            </w:tcBorders>
          </w:tcPr>
          <w:p w14:paraId="2B678586" w14:textId="77777777" w:rsidR="007C3B97" w:rsidRPr="00BA3427" w:rsidRDefault="007C3B97" w:rsidP="007C3B97">
            <w:pPr>
              <w:pStyle w:val="TableText"/>
            </w:pPr>
          </w:p>
        </w:tc>
      </w:tr>
      <w:tr w:rsidR="007C3B97" w:rsidRPr="00BA3427" w14:paraId="2FF74B3F" w14:textId="77777777" w:rsidTr="001F014C">
        <w:trPr>
          <w:jc w:val="center"/>
        </w:trPr>
        <w:tc>
          <w:tcPr>
            <w:tcW w:w="869" w:type="pct"/>
            <w:tcBorders>
              <w:bottom w:val="single" w:sz="4" w:space="0" w:color="auto"/>
            </w:tcBorders>
          </w:tcPr>
          <w:p w14:paraId="1203EF9C" w14:textId="2807E715" w:rsidR="007C3B97" w:rsidRPr="00BA3427" w:rsidRDefault="007C3B97" w:rsidP="007C3B97">
            <w:pPr>
              <w:pStyle w:val="TableText"/>
            </w:pPr>
            <w:r>
              <w:t>Product n</w:t>
            </w:r>
            <w:r w:rsidRPr="00BA3427">
              <w:t>ame:</w:t>
            </w:r>
          </w:p>
        </w:tc>
        <w:tc>
          <w:tcPr>
            <w:tcW w:w="4131" w:type="pct"/>
            <w:gridSpan w:val="3"/>
            <w:tcBorders>
              <w:bottom w:val="single" w:sz="4" w:space="0" w:color="auto"/>
            </w:tcBorders>
          </w:tcPr>
          <w:p w14:paraId="3C0BE905" w14:textId="77777777" w:rsidR="007C3B97" w:rsidRPr="00BA3427" w:rsidRDefault="007C3B97" w:rsidP="007C3B97">
            <w:pPr>
              <w:pStyle w:val="TableText"/>
            </w:pPr>
            <w:r w:rsidRPr="006A6B20">
              <w:t>[INSERT HERE]</w:t>
            </w:r>
          </w:p>
        </w:tc>
      </w:tr>
      <w:tr w:rsidR="007C3B97" w:rsidRPr="00BA3427" w14:paraId="1D8156F3" w14:textId="77777777" w:rsidTr="001F014C">
        <w:trPr>
          <w:jc w:val="center"/>
        </w:trPr>
        <w:tc>
          <w:tcPr>
            <w:tcW w:w="869" w:type="pct"/>
            <w:tcBorders>
              <w:left w:val="nil"/>
              <w:right w:val="nil"/>
            </w:tcBorders>
          </w:tcPr>
          <w:p w14:paraId="3D0E6EFA" w14:textId="77777777" w:rsidR="007C3B97" w:rsidRPr="00BA3427" w:rsidRDefault="007C3B97" w:rsidP="007C3B97">
            <w:pPr>
              <w:pStyle w:val="TableText"/>
            </w:pPr>
          </w:p>
        </w:tc>
        <w:tc>
          <w:tcPr>
            <w:tcW w:w="4131" w:type="pct"/>
            <w:gridSpan w:val="3"/>
            <w:tcBorders>
              <w:left w:val="nil"/>
              <w:right w:val="nil"/>
            </w:tcBorders>
          </w:tcPr>
          <w:p w14:paraId="6DC44469" w14:textId="77777777" w:rsidR="007C3B97" w:rsidRPr="00BA3427" w:rsidRDefault="007C3B97" w:rsidP="007C3B97">
            <w:pPr>
              <w:pStyle w:val="TableText"/>
            </w:pPr>
          </w:p>
        </w:tc>
      </w:tr>
      <w:tr w:rsidR="007C3B97" w:rsidRPr="00BA3427" w14:paraId="70C6C099" w14:textId="77777777" w:rsidTr="001F014C">
        <w:trPr>
          <w:jc w:val="center"/>
        </w:trPr>
        <w:tc>
          <w:tcPr>
            <w:tcW w:w="869" w:type="pct"/>
            <w:tcBorders>
              <w:bottom w:val="single" w:sz="4" w:space="0" w:color="auto"/>
            </w:tcBorders>
          </w:tcPr>
          <w:p w14:paraId="05F163D9" w14:textId="05D5D9F8" w:rsidR="007C3B97" w:rsidRPr="00BA3427" w:rsidRDefault="007C3B97" w:rsidP="007C3B97">
            <w:pPr>
              <w:pStyle w:val="TableText"/>
            </w:pPr>
            <w:r>
              <w:t>Constituent s</w:t>
            </w:r>
            <w:r w:rsidRPr="00BA3427">
              <w:t>tatement:</w:t>
            </w:r>
          </w:p>
        </w:tc>
        <w:tc>
          <w:tcPr>
            <w:tcW w:w="4131" w:type="pct"/>
            <w:gridSpan w:val="3"/>
            <w:tcBorders>
              <w:bottom w:val="single" w:sz="4" w:space="0" w:color="auto"/>
            </w:tcBorders>
          </w:tcPr>
          <w:p w14:paraId="18903ED2" w14:textId="77777777" w:rsidR="007C3B97" w:rsidRPr="00BA3427" w:rsidRDefault="007C3B97" w:rsidP="007C3B97">
            <w:pPr>
              <w:pStyle w:val="TableText"/>
            </w:pPr>
            <w:r w:rsidRPr="00BA3427">
              <w:t>ACTIVE CONSTITUENT: 960 g/L MOLINATE</w:t>
            </w:r>
          </w:p>
        </w:tc>
      </w:tr>
      <w:tr w:rsidR="007C3B97" w:rsidRPr="00BA3427" w14:paraId="0681DC94" w14:textId="77777777" w:rsidTr="001F014C">
        <w:trPr>
          <w:jc w:val="center"/>
        </w:trPr>
        <w:tc>
          <w:tcPr>
            <w:tcW w:w="869" w:type="pct"/>
            <w:tcBorders>
              <w:left w:val="nil"/>
              <w:right w:val="nil"/>
            </w:tcBorders>
          </w:tcPr>
          <w:p w14:paraId="13D7A445" w14:textId="77777777" w:rsidR="007C3B97" w:rsidRPr="00BA3427" w:rsidRDefault="007C3B97" w:rsidP="007C3B97">
            <w:pPr>
              <w:pStyle w:val="TableText"/>
            </w:pPr>
          </w:p>
        </w:tc>
        <w:tc>
          <w:tcPr>
            <w:tcW w:w="4131" w:type="pct"/>
            <w:gridSpan w:val="3"/>
            <w:tcBorders>
              <w:left w:val="nil"/>
              <w:right w:val="nil"/>
            </w:tcBorders>
          </w:tcPr>
          <w:p w14:paraId="52C5BA1D" w14:textId="77777777" w:rsidR="007C3B97" w:rsidRPr="00BA3427" w:rsidRDefault="007C3B97" w:rsidP="007C3B97">
            <w:pPr>
              <w:pStyle w:val="TableText"/>
            </w:pPr>
          </w:p>
        </w:tc>
      </w:tr>
      <w:tr w:rsidR="007C3B97" w:rsidRPr="00BA3427" w14:paraId="61FBACA9" w14:textId="77777777" w:rsidTr="001F014C">
        <w:trPr>
          <w:jc w:val="center"/>
        </w:trPr>
        <w:tc>
          <w:tcPr>
            <w:tcW w:w="869" w:type="pct"/>
            <w:tcBorders>
              <w:bottom w:val="single" w:sz="4" w:space="0" w:color="auto"/>
            </w:tcBorders>
          </w:tcPr>
          <w:p w14:paraId="3EF7DEC6" w14:textId="7E51A53D" w:rsidR="007C3B97" w:rsidRPr="00BA3427" w:rsidRDefault="007C3B97" w:rsidP="007C3B97">
            <w:pPr>
              <w:pStyle w:val="TableText"/>
            </w:pPr>
            <w:r>
              <w:t>Mode of a</w:t>
            </w:r>
            <w:r w:rsidRPr="00BA3427">
              <w:t>ction:</w:t>
            </w:r>
          </w:p>
        </w:tc>
        <w:tc>
          <w:tcPr>
            <w:tcW w:w="596" w:type="pct"/>
            <w:tcBorders>
              <w:bottom w:val="single" w:sz="4" w:space="0" w:color="auto"/>
            </w:tcBorders>
          </w:tcPr>
          <w:p w14:paraId="462A36EF" w14:textId="77777777" w:rsidR="007C3B97" w:rsidRPr="00BA3427" w:rsidRDefault="007C3B97" w:rsidP="007C3B97">
            <w:pPr>
              <w:pStyle w:val="TableText"/>
            </w:pPr>
            <w:r w:rsidRPr="00BA3427">
              <w:t>GROUP</w:t>
            </w:r>
          </w:p>
        </w:tc>
        <w:tc>
          <w:tcPr>
            <w:tcW w:w="160" w:type="pct"/>
            <w:tcBorders>
              <w:bottom w:val="single" w:sz="4" w:space="0" w:color="auto"/>
            </w:tcBorders>
            <w:shd w:val="clear" w:color="auto" w:fill="353735" w:themeFill="text1"/>
          </w:tcPr>
          <w:p w14:paraId="5C8A42F8" w14:textId="77777777" w:rsidR="007C3B97" w:rsidRPr="00BA3427" w:rsidRDefault="007C3B97" w:rsidP="007C3B97">
            <w:pPr>
              <w:pStyle w:val="TableText"/>
              <w:rPr>
                <w:color w:val="EAAB00" w:themeColor="background1"/>
              </w:rPr>
            </w:pPr>
            <w:r w:rsidRPr="00BA3427">
              <w:rPr>
                <w:color w:val="EAAB00" w:themeColor="background1"/>
              </w:rPr>
              <w:t>J</w:t>
            </w:r>
          </w:p>
        </w:tc>
        <w:tc>
          <w:tcPr>
            <w:tcW w:w="3375" w:type="pct"/>
            <w:tcBorders>
              <w:bottom w:val="single" w:sz="4" w:space="0" w:color="auto"/>
            </w:tcBorders>
          </w:tcPr>
          <w:p w14:paraId="3F37FD42" w14:textId="77777777" w:rsidR="007C3B97" w:rsidRPr="00BA3427" w:rsidRDefault="007C3B97" w:rsidP="007C3B97">
            <w:pPr>
              <w:pStyle w:val="TableText"/>
            </w:pPr>
            <w:r w:rsidRPr="00BA3427">
              <w:t>HERBICIDE</w:t>
            </w:r>
          </w:p>
        </w:tc>
      </w:tr>
      <w:tr w:rsidR="007C3B97" w:rsidRPr="00BA3427" w14:paraId="25EE3580" w14:textId="77777777" w:rsidTr="001F014C">
        <w:trPr>
          <w:jc w:val="center"/>
        </w:trPr>
        <w:tc>
          <w:tcPr>
            <w:tcW w:w="869" w:type="pct"/>
            <w:tcBorders>
              <w:left w:val="nil"/>
              <w:right w:val="nil"/>
            </w:tcBorders>
          </w:tcPr>
          <w:p w14:paraId="0F1BA783" w14:textId="77777777" w:rsidR="007C3B97" w:rsidRPr="00BA3427" w:rsidRDefault="007C3B97" w:rsidP="007C3B97">
            <w:pPr>
              <w:pStyle w:val="TableText"/>
            </w:pPr>
          </w:p>
        </w:tc>
        <w:tc>
          <w:tcPr>
            <w:tcW w:w="4131" w:type="pct"/>
            <w:gridSpan w:val="3"/>
            <w:tcBorders>
              <w:left w:val="nil"/>
              <w:right w:val="nil"/>
            </w:tcBorders>
          </w:tcPr>
          <w:p w14:paraId="32F61772" w14:textId="77777777" w:rsidR="007C3B97" w:rsidRPr="00BA3427" w:rsidRDefault="007C3B97" w:rsidP="007C3B97">
            <w:pPr>
              <w:pStyle w:val="TableText"/>
            </w:pPr>
          </w:p>
        </w:tc>
      </w:tr>
      <w:tr w:rsidR="007C3B97" w:rsidRPr="00BA3427" w14:paraId="6BD7AEB3" w14:textId="77777777" w:rsidTr="001F014C">
        <w:trPr>
          <w:jc w:val="center"/>
        </w:trPr>
        <w:tc>
          <w:tcPr>
            <w:tcW w:w="869" w:type="pct"/>
            <w:tcBorders>
              <w:bottom w:val="single" w:sz="4" w:space="0" w:color="auto"/>
            </w:tcBorders>
          </w:tcPr>
          <w:p w14:paraId="3E87351C" w14:textId="7911CE9E" w:rsidR="007C3B97" w:rsidRPr="00BA3427" w:rsidRDefault="007C3B97" w:rsidP="007C3B97">
            <w:pPr>
              <w:pStyle w:val="TableText"/>
            </w:pPr>
            <w:r>
              <w:t>Statement of c</w:t>
            </w:r>
            <w:r w:rsidRPr="00BA3427">
              <w:t>laims:</w:t>
            </w:r>
          </w:p>
        </w:tc>
        <w:tc>
          <w:tcPr>
            <w:tcW w:w="4131" w:type="pct"/>
            <w:gridSpan w:val="3"/>
            <w:tcBorders>
              <w:bottom w:val="single" w:sz="4" w:space="0" w:color="auto"/>
            </w:tcBorders>
          </w:tcPr>
          <w:p w14:paraId="640D4332" w14:textId="77777777" w:rsidR="007C3B97" w:rsidRPr="00BA3427" w:rsidRDefault="007C3B97" w:rsidP="007C3B97">
            <w:pPr>
              <w:pStyle w:val="TableText"/>
            </w:pPr>
            <w:r w:rsidRPr="00BA3427">
              <w:t>Post emergence control of grass weeds in rice in permanent water</w:t>
            </w:r>
          </w:p>
        </w:tc>
      </w:tr>
      <w:tr w:rsidR="007C3B97" w:rsidRPr="00BA3427" w14:paraId="2EC3ED8D" w14:textId="77777777" w:rsidTr="001F014C">
        <w:trPr>
          <w:jc w:val="center"/>
        </w:trPr>
        <w:tc>
          <w:tcPr>
            <w:tcW w:w="869" w:type="pct"/>
            <w:tcBorders>
              <w:left w:val="nil"/>
              <w:right w:val="nil"/>
            </w:tcBorders>
          </w:tcPr>
          <w:p w14:paraId="4C560B8D" w14:textId="77777777" w:rsidR="007C3B97" w:rsidRPr="00BA3427" w:rsidRDefault="007C3B97" w:rsidP="007C3B97">
            <w:pPr>
              <w:pStyle w:val="TableText"/>
            </w:pPr>
          </w:p>
        </w:tc>
        <w:tc>
          <w:tcPr>
            <w:tcW w:w="4131" w:type="pct"/>
            <w:gridSpan w:val="3"/>
            <w:tcBorders>
              <w:left w:val="nil"/>
              <w:right w:val="nil"/>
            </w:tcBorders>
          </w:tcPr>
          <w:p w14:paraId="1C060A40" w14:textId="77777777" w:rsidR="007C3B97" w:rsidRPr="00BA3427" w:rsidRDefault="007C3B97" w:rsidP="007C3B97">
            <w:pPr>
              <w:pStyle w:val="TableText"/>
            </w:pPr>
          </w:p>
        </w:tc>
      </w:tr>
      <w:tr w:rsidR="007C3B97" w:rsidRPr="00BA3427" w14:paraId="4A879D77" w14:textId="77777777" w:rsidTr="001F014C">
        <w:trPr>
          <w:jc w:val="center"/>
        </w:trPr>
        <w:tc>
          <w:tcPr>
            <w:tcW w:w="869" w:type="pct"/>
            <w:tcBorders>
              <w:bottom w:val="single" w:sz="4" w:space="0" w:color="auto"/>
            </w:tcBorders>
          </w:tcPr>
          <w:p w14:paraId="2D7D0BD2" w14:textId="3589D567" w:rsidR="007C3B97" w:rsidRPr="00BA3427" w:rsidRDefault="007C3B97" w:rsidP="007C3B97">
            <w:pPr>
              <w:pStyle w:val="TableText"/>
            </w:pPr>
            <w:r>
              <w:t>Net co</w:t>
            </w:r>
            <w:r w:rsidRPr="00BA3427">
              <w:t>ntents:</w:t>
            </w:r>
          </w:p>
        </w:tc>
        <w:tc>
          <w:tcPr>
            <w:tcW w:w="4131" w:type="pct"/>
            <w:gridSpan w:val="3"/>
            <w:tcBorders>
              <w:bottom w:val="single" w:sz="4" w:space="0" w:color="auto"/>
            </w:tcBorders>
          </w:tcPr>
          <w:p w14:paraId="313B49B6" w14:textId="7AB4FDE8" w:rsidR="007C3B97" w:rsidRPr="00BA3427" w:rsidRDefault="007C3B97" w:rsidP="00010A00">
            <w:pPr>
              <w:pStyle w:val="TableText"/>
            </w:pPr>
            <w:r w:rsidRPr="006A6B20">
              <w:t>[INSERT HERE]</w:t>
            </w:r>
            <w:r w:rsidR="00FE6DBB">
              <w:t xml:space="preserve"> </w:t>
            </w:r>
          </w:p>
        </w:tc>
      </w:tr>
      <w:tr w:rsidR="007C3B97" w:rsidRPr="00BA3427" w14:paraId="6BD2881B" w14:textId="77777777" w:rsidTr="001F014C">
        <w:trPr>
          <w:jc w:val="center"/>
        </w:trPr>
        <w:tc>
          <w:tcPr>
            <w:tcW w:w="869" w:type="pct"/>
            <w:tcBorders>
              <w:left w:val="nil"/>
              <w:right w:val="nil"/>
            </w:tcBorders>
          </w:tcPr>
          <w:p w14:paraId="4FB0A99C" w14:textId="77777777" w:rsidR="007C3B97" w:rsidRPr="00BA3427" w:rsidRDefault="007C3B97" w:rsidP="007C3B97">
            <w:pPr>
              <w:pStyle w:val="TableText"/>
            </w:pPr>
          </w:p>
        </w:tc>
        <w:tc>
          <w:tcPr>
            <w:tcW w:w="4131" w:type="pct"/>
            <w:gridSpan w:val="3"/>
            <w:tcBorders>
              <w:left w:val="nil"/>
              <w:right w:val="nil"/>
            </w:tcBorders>
          </w:tcPr>
          <w:p w14:paraId="4767952C" w14:textId="77777777" w:rsidR="007C3B97" w:rsidRPr="00BA3427" w:rsidRDefault="007C3B97" w:rsidP="007C3B97">
            <w:pPr>
              <w:pStyle w:val="TableText"/>
            </w:pPr>
          </w:p>
        </w:tc>
      </w:tr>
      <w:tr w:rsidR="007C3B97" w:rsidRPr="00BA3427" w14:paraId="044A049A" w14:textId="77777777" w:rsidTr="001F014C">
        <w:trPr>
          <w:jc w:val="center"/>
        </w:trPr>
        <w:tc>
          <w:tcPr>
            <w:tcW w:w="869" w:type="pct"/>
            <w:tcBorders>
              <w:bottom w:val="single" w:sz="4" w:space="0" w:color="auto"/>
            </w:tcBorders>
          </w:tcPr>
          <w:p w14:paraId="06BC6CD2" w14:textId="41EA4FFC" w:rsidR="007C3B97" w:rsidRPr="00BA3427" w:rsidRDefault="006B31D2" w:rsidP="007C3B97">
            <w:pPr>
              <w:pStyle w:val="TableText"/>
            </w:pPr>
            <w:r>
              <w:t>Directions f</w:t>
            </w:r>
            <w:r w:rsidR="007C3B97">
              <w:t>or u</w:t>
            </w:r>
            <w:r w:rsidR="007C3B97" w:rsidRPr="00BA3427">
              <w:t>se:</w:t>
            </w:r>
          </w:p>
        </w:tc>
        <w:tc>
          <w:tcPr>
            <w:tcW w:w="4131" w:type="pct"/>
            <w:gridSpan w:val="3"/>
            <w:tcBorders>
              <w:bottom w:val="single" w:sz="4" w:space="0" w:color="auto"/>
            </w:tcBorders>
          </w:tcPr>
          <w:p w14:paraId="05A77541" w14:textId="77777777" w:rsidR="007C3B97" w:rsidRPr="00BA3427" w:rsidRDefault="007C3B97" w:rsidP="007C3B97">
            <w:pPr>
              <w:pStyle w:val="TableText"/>
            </w:pPr>
            <w:r w:rsidRPr="00BA3427">
              <w:t>See directions for use section below. This can be uploaded as a separate section when submitting a label application</w:t>
            </w:r>
          </w:p>
        </w:tc>
      </w:tr>
      <w:tr w:rsidR="007C3B97" w:rsidRPr="00BA3427" w14:paraId="7C575021" w14:textId="77777777" w:rsidTr="001F014C">
        <w:trPr>
          <w:jc w:val="center"/>
        </w:trPr>
        <w:tc>
          <w:tcPr>
            <w:tcW w:w="869" w:type="pct"/>
            <w:tcBorders>
              <w:left w:val="nil"/>
              <w:right w:val="nil"/>
            </w:tcBorders>
          </w:tcPr>
          <w:p w14:paraId="269F2E16" w14:textId="77777777" w:rsidR="007C3B97" w:rsidRPr="00BA3427" w:rsidRDefault="007C3B97" w:rsidP="007C3B97">
            <w:pPr>
              <w:pStyle w:val="TableText"/>
            </w:pPr>
          </w:p>
        </w:tc>
        <w:tc>
          <w:tcPr>
            <w:tcW w:w="4131" w:type="pct"/>
            <w:gridSpan w:val="3"/>
            <w:tcBorders>
              <w:left w:val="nil"/>
              <w:right w:val="nil"/>
            </w:tcBorders>
          </w:tcPr>
          <w:p w14:paraId="43B7C6ED" w14:textId="77777777" w:rsidR="007C3B97" w:rsidRPr="00BA3427" w:rsidRDefault="007C3B97" w:rsidP="007C3B97">
            <w:pPr>
              <w:pStyle w:val="TableText"/>
            </w:pPr>
          </w:p>
        </w:tc>
      </w:tr>
      <w:tr w:rsidR="007C3B97" w:rsidRPr="00BA3427" w14:paraId="06BC8263" w14:textId="77777777" w:rsidTr="001F014C">
        <w:trPr>
          <w:jc w:val="center"/>
        </w:trPr>
        <w:tc>
          <w:tcPr>
            <w:tcW w:w="869" w:type="pct"/>
            <w:tcBorders>
              <w:bottom w:val="single" w:sz="4" w:space="0" w:color="auto"/>
            </w:tcBorders>
          </w:tcPr>
          <w:p w14:paraId="3CAA009E" w14:textId="1E762F78" w:rsidR="007C3B97" w:rsidRPr="00BA3427" w:rsidRDefault="007C3B97" w:rsidP="007C3B97">
            <w:pPr>
              <w:pStyle w:val="TableText"/>
            </w:pPr>
            <w:r>
              <w:t>Withholding p</w:t>
            </w:r>
            <w:r w:rsidRPr="00BA3427">
              <w:t>eriod:</w:t>
            </w:r>
          </w:p>
        </w:tc>
        <w:tc>
          <w:tcPr>
            <w:tcW w:w="4131" w:type="pct"/>
            <w:gridSpan w:val="3"/>
            <w:tcBorders>
              <w:bottom w:val="single" w:sz="4" w:space="0" w:color="auto"/>
            </w:tcBorders>
          </w:tcPr>
          <w:p w14:paraId="60E68656" w14:textId="77777777" w:rsidR="007C3B97" w:rsidRPr="00BA3427" w:rsidRDefault="007C3B97" w:rsidP="007C3B97">
            <w:pPr>
              <w:pStyle w:val="TableText"/>
            </w:pPr>
            <w:r w:rsidRPr="00BA3427">
              <w:t>NOT REQUIRED WHEN USED AS DIRECTED</w:t>
            </w:r>
          </w:p>
        </w:tc>
      </w:tr>
      <w:tr w:rsidR="007C3B97" w:rsidRPr="00BA3427" w14:paraId="6B882A11" w14:textId="77777777" w:rsidTr="001F014C">
        <w:trPr>
          <w:jc w:val="center"/>
        </w:trPr>
        <w:tc>
          <w:tcPr>
            <w:tcW w:w="869" w:type="pct"/>
            <w:tcBorders>
              <w:left w:val="nil"/>
              <w:right w:val="nil"/>
            </w:tcBorders>
          </w:tcPr>
          <w:p w14:paraId="08E2CE16" w14:textId="77777777" w:rsidR="007C3B97" w:rsidRPr="00BA3427" w:rsidRDefault="007C3B97" w:rsidP="007C3B97">
            <w:pPr>
              <w:pStyle w:val="TableText"/>
            </w:pPr>
          </w:p>
        </w:tc>
        <w:tc>
          <w:tcPr>
            <w:tcW w:w="4131" w:type="pct"/>
            <w:gridSpan w:val="3"/>
            <w:tcBorders>
              <w:left w:val="nil"/>
              <w:right w:val="nil"/>
            </w:tcBorders>
          </w:tcPr>
          <w:p w14:paraId="0008C55D" w14:textId="77777777" w:rsidR="007C3B97" w:rsidRPr="00BA3427" w:rsidRDefault="007C3B97" w:rsidP="007C3B97">
            <w:pPr>
              <w:pStyle w:val="TableText"/>
            </w:pPr>
          </w:p>
        </w:tc>
      </w:tr>
      <w:tr w:rsidR="007C3B97" w:rsidRPr="00BA3427" w14:paraId="5169E589" w14:textId="77777777" w:rsidTr="001F014C">
        <w:trPr>
          <w:jc w:val="center"/>
        </w:trPr>
        <w:tc>
          <w:tcPr>
            <w:tcW w:w="869" w:type="pct"/>
            <w:tcBorders>
              <w:bottom w:val="single" w:sz="4" w:space="0" w:color="auto"/>
            </w:tcBorders>
          </w:tcPr>
          <w:p w14:paraId="61C2D19A" w14:textId="0F5D63EE" w:rsidR="007C3B97" w:rsidRPr="00BA3427" w:rsidRDefault="007C3B97" w:rsidP="007C3B97">
            <w:pPr>
              <w:pStyle w:val="TableText"/>
            </w:pPr>
            <w:r>
              <w:t>General i</w:t>
            </w:r>
            <w:r w:rsidRPr="00BA3427">
              <w:t>nstructions:</w:t>
            </w:r>
          </w:p>
        </w:tc>
        <w:tc>
          <w:tcPr>
            <w:tcW w:w="4131" w:type="pct"/>
            <w:gridSpan w:val="3"/>
            <w:tcBorders>
              <w:bottom w:val="single" w:sz="4" w:space="0" w:color="auto"/>
            </w:tcBorders>
          </w:tcPr>
          <w:p w14:paraId="09EFD924" w14:textId="3A65303C" w:rsidR="007C3B97" w:rsidRPr="00BA3427" w:rsidRDefault="007C3B97" w:rsidP="007C3B97">
            <w:pPr>
              <w:pStyle w:val="TableText"/>
            </w:pPr>
            <w:r w:rsidRPr="00E02161">
              <w:t xml:space="preserve">For aerial application </w:t>
            </w:r>
            <w:r w:rsidRPr="00FD525D">
              <w:rPr>
                <w:rFonts w:eastAsia="Times"/>
              </w:rPr>
              <w:t>by SCWIIRT (Soluble Chemical Water Injection In Rice Technique)</w:t>
            </w:r>
            <w:r w:rsidRPr="00E02161" w:rsidDel="00435A70">
              <w:t xml:space="preserve"> </w:t>
            </w:r>
            <w:r w:rsidR="00FE6DBB">
              <w:t xml:space="preserve">by helicopter or Bickley boom by fixed wing aircraft </w:t>
            </w:r>
            <w:r w:rsidRPr="00E02161">
              <w:t>only</w:t>
            </w:r>
          </w:p>
        </w:tc>
      </w:tr>
      <w:tr w:rsidR="007C3B97" w:rsidRPr="00BA3427" w14:paraId="41FA49AE" w14:textId="77777777" w:rsidTr="001F014C">
        <w:trPr>
          <w:jc w:val="center"/>
        </w:trPr>
        <w:tc>
          <w:tcPr>
            <w:tcW w:w="869" w:type="pct"/>
            <w:tcBorders>
              <w:left w:val="nil"/>
              <w:right w:val="nil"/>
            </w:tcBorders>
          </w:tcPr>
          <w:p w14:paraId="6697A018" w14:textId="77777777" w:rsidR="007C3B97" w:rsidRPr="00BA3427" w:rsidRDefault="007C3B97" w:rsidP="007C3B97">
            <w:pPr>
              <w:pStyle w:val="TableText"/>
            </w:pPr>
          </w:p>
        </w:tc>
        <w:tc>
          <w:tcPr>
            <w:tcW w:w="4131" w:type="pct"/>
            <w:gridSpan w:val="3"/>
            <w:tcBorders>
              <w:left w:val="nil"/>
              <w:right w:val="nil"/>
            </w:tcBorders>
          </w:tcPr>
          <w:p w14:paraId="61E5A510" w14:textId="77777777" w:rsidR="007C3B97" w:rsidRPr="00BA3427" w:rsidRDefault="007C3B97" w:rsidP="007C3B97">
            <w:pPr>
              <w:pStyle w:val="TableText"/>
            </w:pPr>
          </w:p>
        </w:tc>
      </w:tr>
      <w:tr w:rsidR="007C3B97" w:rsidRPr="00BA3427" w14:paraId="5D623548" w14:textId="77777777" w:rsidTr="001F014C">
        <w:trPr>
          <w:jc w:val="center"/>
        </w:trPr>
        <w:tc>
          <w:tcPr>
            <w:tcW w:w="869" w:type="pct"/>
            <w:tcBorders>
              <w:bottom w:val="single" w:sz="4" w:space="0" w:color="auto"/>
            </w:tcBorders>
          </w:tcPr>
          <w:p w14:paraId="39E95D25" w14:textId="76654AA2" w:rsidR="007C3B97" w:rsidRPr="00BA3427" w:rsidRDefault="007C3B97" w:rsidP="007C3B97">
            <w:pPr>
              <w:pStyle w:val="TableText"/>
            </w:pPr>
            <w:r>
              <w:t>Resistance w</w:t>
            </w:r>
            <w:r w:rsidRPr="00BA3427">
              <w:t>arning:</w:t>
            </w:r>
          </w:p>
        </w:tc>
        <w:tc>
          <w:tcPr>
            <w:tcW w:w="4131" w:type="pct"/>
            <w:gridSpan w:val="3"/>
            <w:tcBorders>
              <w:bottom w:val="single" w:sz="4" w:space="0" w:color="auto"/>
            </w:tcBorders>
          </w:tcPr>
          <w:p w14:paraId="48A7327A" w14:textId="5B8DA057" w:rsidR="007C3B97" w:rsidRPr="00BA3427" w:rsidRDefault="007C3B97" w:rsidP="007C3B97">
            <w:pPr>
              <w:pStyle w:val="TableText"/>
            </w:pPr>
            <w:r w:rsidRPr="00BA3427">
              <w:t>[INSERT PRODUCT NAME] is a member of the thiocarbamates group of herbicides. [INSERT PRODUCT NAME] has the inhibitor of fat synthesis mode of action. For weed resistance management [INSERT PRODUC</w:t>
            </w:r>
            <w:r w:rsidR="006B31D2">
              <w:t>T NAME] is a Group J herbicide.</w:t>
            </w:r>
          </w:p>
          <w:p w14:paraId="51484A96" w14:textId="7E59931F" w:rsidR="007C3B97" w:rsidRPr="00BA3427" w:rsidRDefault="007C3B97" w:rsidP="007C3B97">
            <w:pPr>
              <w:pStyle w:val="TableText"/>
            </w:pPr>
            <w:r w:rsidRPr="00BA3427">
              <w:t>Some naturally occurring weed biotypes resistant to [INSERT PRODUCT NAME] and other Group J herbicides may exist through normal genetic variability in any week population. The resistant individuals can eventually dominate the weed population if these herbicides are used repeatedly. These resistant weeds will not be controlled by [INSERT PRODUCT NAME] of other Group J herbicides. Since the occurrence of resistant weeds is difficult to detect prior to use, [INSERT COMPANY NAME] accepts no liability for any losses that may result from the failure of [INSERT PRODUCT NAME] to control resistant weeds.</w:t>
            </w:r>
          </w:p>
        </w:tc>
      </w:tr>
      <w:tr w:rsidR="007C3B97" w:rsidRPr="00BA3427" w14:paraId="796D506B" w14:textId="77777777" w:rsidTr="001F014C">
        <w:trPr>
          <w:jc w:val="center"/>
        </w:trPr>
        <w:tc>
          <w:tcPr>
            <w:tcW w:w="869" w:type="pct"/>
            <w:tcBorders>
              <w:left w:val="nil"/>
              <w:bottom w:val="single" w:sz="4" w:space="0" w:color="auto"/>
              <w:right w:val="nil"/>
            </w:tcBorders>
          </w:tcPr>
          <w:p w14:paraId="1BA2EE5D" w14:textId="77777777" w:rsidR="007C3B97" w:rsidRPr="00BA3427" w:rsidRDefault="007C3B97" w:rsidP="007C3B97">
            <w:pPr>
              <w:pStyle w:val="TableText"/>
            </w:pPr>
          </w:p>
        </w:tc>
        <w:tc>
          <w:tcPr>
            <w:tcW w:w="4131" w:type="pct"/>
            <w:gridSpan w:val="3"/>
            <w:tcBorders>
              <w:left w:val="nil"/>
              <w:bottom w:val="single" w:sz="4" w:space="0" w:color="auto"/>
              <w:right w:val="nil"/>
            </w:tcBorders>
          </w:tcPr>
          <w:p w14:paraId="549F2C24" w14:textId="77777777" w:rsidR="007C3B97" w:rsidRPr="00BA3427" w:rsidRDefault="007C3B97" w:rsidP="007C3B97">
            <w:pPr>
              <w:pStyle w:val="TableText"/>
            </w:pPr>
          </w:p>
        </w:tc>
      </w:tr>
      <w:tr w:rsidR="007C3B97" w:rsidRPr="00BA3427" w14:paraId="5198C454" w14:textId="77777777" w:rsidTr="001F014C">
        <w:trPr>
          <w:jc w:val="center"/>
        </w:trPr>
        <w:tc>
          <w:tcPr>
            <w:tcW w:w="869" w:type="pct"/>
            <w:tcBorders>
              <w:left w:val="single" w:sz="4" w:space="0" w:color="auto"/>
              <w:bottom w:val="single" w:sz="4" w:space="0" w:color="auto"/>
              <w:right w:val="single" w:sz="4" w:space="0" w:color="auto"/>
            </w:tcBorders>
          </w:tcPr>
          <w:p w14:paraId="71B315EC" w14:textId="77777777" w:rsidR="007C3B97" w:rsidRPr="00BA3427" w:rsidRDefault="007C3B97" w:rsidP="007C3B97">
            <w:pPr>
              <w:pStyle w:val="TableText"/>
            </w:pPr>
            <w:r w:rsidRPr="00BA3427">
              <w:t>Precautions:</w:t>
            </w:r>
          </w:p>
        </w:tc>
        <w:tc>
          <w:tcPr>
            <w:tcW w:w="4131" w:type="pct"/>
            <w:gridSpan w:val="3"/>
            <w:tcBorders>
              <w:left w:val="single" w:sz="4" w:space="0" w:color="auto"/>
              <w:bottom w:val="single" w:sz="4" w:space="0" w:color="auto"/>
            </w:tcBorders>
          </w:tcPr>
          <w:p w14:paraId="7E5D0514" w14:textId="510E7DF1" w:rsidR="007C3B97" w:rsidRPr="00BA3427" w:rsidRDefault="007C3B97" w:rsidP="007C3B97">
            <w:pPr>
              <w:pStyle w:val="TableText"/>
            </w:pPr>
            <w:r w:rsidRPr="00BA3427">
              <w:t>DO NOT use if pregnant</w:t>
            </w:r>
          </w:p>
        </w:tc>
      </w:tr>
      <w:tr w:rsidR="007C3B97" w:rsidRPr="00BA3427" w14:paraId="1BEAB6FD" w14:textId="77777777" w:rsidTr="001F014C">
        <w:trPr>
          <w:jc w:val="center"/>
        </w:trPr>
        <w:tc>
          <w:tcPr>
            <w:tcW w:w="869" w:type="pct"/>
            <w:tcBorders>
              <w:left w:val="nil"/>
              <w:bottom w:val="single" w:sz="4" w:space="0" w:color="auto"/>
              <w:right w:val="nil"/>
            </w:tcBorders>
          </w:tcPr>
          <w:p w14:paraId="6CB0B24A" w14:textId="77777777" w:rsidR="007C3B97" w:rsidRPr="00BA3427" w:rsidRDefault="007C3B97" w:rsidP="007C3B97">
            <w:pPr>
              <w:pStyle w:val="TableText"/>
            </w:pPr>
          </w:p>
        </w:tc>
        <w:tc>
          <w:tcPr>
            <w:tcW w:w="4131" w:type="pct"/>
            <w:gridSpan w:val="3"/>
            <w:tcBorders>
              <w:left w:val="nil"/>
              <w:bottom w:val="single" w:sz="4" w:space="0" w:color="auto"/>
              <w:right w:val="nil"/>
            </w:tcBorders>
          </w:tcPr>
          <w:p w14:paraId="51B4B0AD" w14:textId="77777777" w:rsidR="007C3B97" w:rsidRPr="00BA3427" w:rsidRDefault="007C3B97" w:rsidP="007C3B97">
            <w:pPr>
              <w:pStyle w:val="TableText"/>
            </w:pPr>
          </w:p>
        </w:tc>
      </w:tr>
      <w:tr w:rsidR="007C3B97" w:rsidRPr="00BA3427" w14:paraId="20BD8DDA" w14:textId="77777777" w:rsidTr="001F014C">
        <w:trPr>
          <w:jc w:val="center"/>
        </w:trPr>
        <w:tc>
          <w:tcPr>
            <w:tcW w:w="869" w:type="pct"/>
            <w:tcBorders>
              <w:left w:val="single" w:sz="4" w:space="0" w:color="auto"/>
              <w:bottom w:val="single" w:sz="4" w:space="0" w:color="auto"/>
              <w:right w:val="single" w:sz="4" w:space="0" w:color="auto"/>
            </w:tcBorders>
          </w:tcPr>
          <w:p w14:paraId="167ACF18" w14:textId="77777777" w:rsidR="007C3B97" w:rsidRPr="00BA3427" w:rsidRDefault="007C3B97" w:rsidP="007C3B97">
            <w:pPr>
              <w:pStyle w:val="TableText"/>
            </w:pPr>
            <w:r w:rsidRPr="00BA3427">
              <w:t>Re-entry period:</w:t>
            </w:r>
          </w:p>
        </w:tc>
        <w:tc>
          <w:tcPr>
            <w:tcW w:w="4131" w:type="pct"/>
            <w:gridSpan w:val="3"/>
            <w:tcBorders>
              <w:left w:val="single" w:sz="4" w:space="0" w:color="auto"/>
              <w:bottom w:val="single" w:sz="4" w:space="0" w:color="auto"/>
            </w:tcBorders>
          </w:tcPr>
          <w:p w14:paraId="006794A1" w14:textId="799FB116" w:rsidR="007C3B97" w:rsidRPr="00BA3427" w:rsidRDefault="007C3B97" w:rsidP="007C3B97">
            <w:pPr>
              <w:pStyle w:val="TableText"/>
            </w:pPr>
            <w:r w:rsidRPr="00BA3427">
              <w:t>DO NOT allow entry to treated area for 24 hours.</w:t>
            </w:r>
          </w:p>
        </w:tc>
      </w:tr>
      <w:tr w:rsidR="007C3B97" w:rsidRPr="00BA3427" w14:paraId="3218C739" w14:textId="77777777" w:rsidTr="001F014C">
        <w:trPr>
          <w:jc w:val="center"/>
        </w:trPr>
        <w:tc>
          <w:tcPr>
            <w:tcW w:w="869" w:type="pct"/>
            <w:tcBorders>
              <w:left w:val="nil"/>
              <w:bottom w:val="single" w:sz="4" w:space="0" w:color="auto"/>
              <w:right w:val="nil"/>
            </w:tcBorders>
          </w:tcPr>
          <w:p w14:paraId="22F7A1DD" w14:textId="77777777" w:rsidR="007C3B97" w:rsidRPr="00BA3427" w:rsidRDefault="007C3B97" w:rsidP="007C3B97">
            <w:pPr>
              <w:pStyle w:val="TableText"/>
            </w:pPr>
          </w:p>
        </w:tc>
        <w:tc>
          <w:tcPr>
            <w:tcW w:w="4131" w:type="pct"/>
            <w:gridSpan w:val="3"/>
            <w:tcBorders>
              <w:left w:val="nil"/>
              <w:bottom w:val="single" w:sz="4" w:space="0" w:color="auto"/>
              <w:right w:val="nil"/>
            </w:tcBorders>
          </w:tcPr>
          <w:p w14:paraId="11096FF5" w14:textId="77777777" w:rsidR="007C3B97" w:rsidRPr="00BA3427" w:rsidRDefault="007C3B97" w:rsidP="007C3B97">
            <w:pPr>
              <w:pStyle w:val="TableText"/>
            </w:pPr>
          </w:p>
        </w:tc>
      </w:tr>
      <w:tr w:rsidR="007C3B97" w:rsidRPr="00BA3427" w14:paraId="4D53BAF5" w14:textId="77777777" w:rsidTr="001F014C">
        <w:trPr>
          <w:jc w:val="center"/>
        </w:trPr>
        <w:tc>
          <w:tcPr>
            <w:tcW w:w="869" w:type="pct"/>
            <w:tcBorders>
              <w:top w:val="single" w:sz="4" w:space="0" w:color="auto"/>
              <w:bottom w:val="single" w:sz="4" w:space="0" w:color="auto"/>
            </w:tcBorders>
          </w:tcPr>
          <w:p w14:paraId="7B9F988A" w14:textId="617EC2F5" w:rsidR="007C3B97" w:rsidRPr="00BA3427" w:rsidRDefault="007C3B97" w:rsidP="007C3B97">
            <w:pPr>
              <w:pStyle w:val="TableText"/>
            </w:pPr>
            <w:r>
              <w:t>Protection s</w:t>
            </w:r>
            <w:r w:rsidRPr="00BA3427">
              <w:t>tatements:</w:t>
            </w:r>
          </w:p>
        </w:tc>
        <w:tc>
          <w:tcPr>
            <w:tcW w:w="4131" w:type="pct"/>
            <w:gridSpan w:val="3"/>
            <w:tcBorders>
              <w:top w:val="single" w:sz="4" w:space="0" w:color="auto"/>
              <w:bottom w:val="single" w:sz="4" w:space="0" w:color="auto"/>
            </w:tcBorders>
          </w:tcPr>
          <w:p w14:paraId="34ABE73C" w14:textId="77777777" w:rsidR="007C3B97" w:rsidRPr="00BA3427" w:rsidRDefault="007C3B97" w:rsidP="007C3B97">
            <w:pPr>
              <w:pStyle w:val="TableText"/>
            </w:pPr>
            <w:r w:rsidRPr="00BA3427">
              <w:t>PROTECTION OF WILDLIFE, FISH, CRUSTACEANS AND ENVIRONMENT</w:t>
            </w:r>
          </w:p>
          <w:p w14:paraId="41D2C170" w14:textId="77777777" w:rsidR="007C3B97" w:rsidRPr="00BA3427" w:rsidRDefault="007C3B97" w:rsidP="007C3B97">
            <w:pPr>
              <w:pStyle w:val="TableText"/>
            </w:pPr>
            <w:r w:rsidRPr="007D3755">
              <w:t>DO NOT contaminate streams, rivers or watercourses with the chemical or used containers</w:t>
            </w:r>
          </w:p>
        </w:tc>
      </w:tr>
      <w:tr w:rsidR="007C3B97" w:rsidRPr="00BA3427" w14:paraId="2D8754DF" w14:textId="77777777" w:rsidTr="001F014C">
        <w:trPr>
          <w:jc w:val="center"/>
        </w:trPr>
        <w:tc>
          <w:tcPr>
            <w:tcW w:w="869" w:type="pct"/>
            <w:tcBorders>
              <w:left w:val="nil"/>
              <w:right w:val="nil"/>
            </w:tcBorders>
          </w:tcPr>
          <w:p w14:paraId="2038179B" w14:textId="77777777" w:rsidR="007C3B97" w:rsidRPr="00BA3427" w:rsidRDefault="007C3B97" w:rsidP="007C3B97">
            <w:pPr>
              <w:pStyle w:val="TableText"/>
            </w:pPr>
          </w:p>
        </w:tc>
        <w:tc>
          <w:tcPr>
            <w:tcW w:w="4131" w:type="pct"/>
            <w:gridSpan w:val="3"/>
            <w:tcBorders>
              <w:left w:val="nil"/>
              <w:right w:val="nil"/>
            </w:tcBorders>
          </w:tcPr>
          <w:p w14:paraId="22EE5D8B" w14:textId="77777777" w:rsidR="007C3B97" w:rsidRPr="00BA3427" w:rsidRDefault="007C3B97" w:rsidP="007C3B97">
            <w:pPr>
              <w:pStyle w:val="TableText"/>
            </w:pPr>
          </w:p>
        </w:tc>
      </w:tr>
      <w:tr w:rsidR="007C3B97" w:rsidRPr="00BA3427" w14:paraId="0448D03C" w14:textId="77777777" w:rsidTr="001F014C">
        <w:trPr>
          <w:jc w:val="center"/>
        </w:trPr>
        <w:tc>
          <w:tcPr>
            <w:tcW w:w="869" w:type="pct"/>
            <w:tcBorders>
              <w:bottom w:val="single" w:sz="4" w:space="0" w:color="auto"/>
            </w:tcBorders>
          </w:tcPr>
          <w:p w14:paraId="3BCFAB68" w14:textId="0C396386" w:rsidR="007C3B97" w:rsidRPr="00BA3427" w:rsidRDefault="007C3B97" w:rsidP="007C3B97">
            <w:pPr>
              <w:pStyle w:val="TableText"/>
            </w:pPr>
            <w:r>
              <w:t>Storage and d</w:t>
            </w:r>
            <w:r w:rsidRPr="00BA3427">
              <w:t>isposal:</w:t>
            </w:r>
          </w:p>
        </w:tc>
        <w:tc>
          <w:tcPr>
            <w:tcW w:w="4131" w:type="pct"/>
            <w:gridSpan w:val="3"/>
            <w:tcBorders>
              <w:bottom w:val="single" w:sz="4" w:space="0" w:color="auto"/>
            </w:tcBorders>
          </w:tcPr>
          <w:p w14:paraId="28EF77B2" w14:textId="77777777" w:rsidR="007C3B97" w:rsidRDefault="007C3B97" w:rsidP="007C3B97">
            <w:pPr>
              <w:pStyle w:val="TableText"/>
            </w:pPr>
            <w:r>
              <w:t>STORAGE AND DISPOSAL:</w:t>
            </w:r>
          </w:p>
          <w:p w14:paraId="63384699" w14:textId="4D6E0F76" w:rsidR="00FE6DBB" w:rsidRDefault="00FE6DBB" w:rsidP="00FE6DBB">
            <w:pPr>
              <w:pStyle w:val="APVMATableText"/>
            </w:pPr>
            <w:r>
              <w:t xml:space="preserve">Store in the closed, original container in a cool, </w:t>
            </w:r>
            <w:r w:rsidR="006A6B20">
              <w:t>well-ventilated</w:t>
            </w:r>
            <w:r>
              <w:t xml:space="preserve"> area. DO NOT store for prolonged periods in direct sunlight. Store in a locked room away from children, animals, food, feedstuffs, seed and fertilisers.</w:t>
            </w:r>
          </w:p>
          <w:p w14:paraId="305D3F0E" w14:textId="43627BEF" w:rsidR="007C3B97" w:rsidRPr="00BA3427" w:rsidRDefault="00FE6DBB" w:rsidP="00FE6DBB">
            <w:pPr>
              <w:pStyle w:val="TableText"/>
            </w:pPr>
            <w:r>
              <w:t>Empty contents fully into application equipment. Close all valves and return to point of supply for refill or storage.</w:t>
            </w:r>
          </w:p>
        </w:tc>
      </w:tr>
      <w:tr w:rsidR="007C3B97" w:rsidRPr="00BA3427" w14:paraId="4669C1E5" w14:textId="77777777" w:rsidTr="001F014C">
        <w:trPr>
          <w:jc w:val="center"/>
        </w:trPr>
        <w:tc>
          <w:tcPr>
            <w:tcW w:w="869" w:type="pct"/>
            <w:tcBorders>
              <w:left w:val="nil"/>
              <w:right w:val="nil"/>
            </w:tcBorders>
          </w:tcPr>
          <w:p w14:paraId="78694098" w14:textId="77777777" w:rsidR="007C3B97" w:rsidRPr="00BA3427" w:rsidRDefault="007C3B97" w:rsidP="006B31D2">
            <w:pPr>
              <w:pStyle w:val="TableText"/>
              <w:spacing w:before="240"/>
            </w:pPr>
          </w:p>
        </w:tc>
        <w:tc>
          <w:tcPr>
            <w:tcW w:w="4131" w:type="pct"/>
            <w:gridSpan w:val="3"/>
            <w:tcBorders>
              <w:left w:val="nil"/>
              <w:right w:val="nil"/>
            </w:tcBorders>
          </w:tcPr>
          <w:p w14:paraId="78E00D43" w14:textId="77777777" w:rsidR="007C3B97" w:rsidRPr="00BA3427" w:rsidRDefault="007C3B97" w:rsidP="006B31D2">
            <w:pPr>
              <w:pStyle w:val="TableText"/>
              <w:spacing w:before="240"/>
            </w:pPr>
          </w:p>
        </w:tc>
      </w:tr>
      <w:tr w:rsidR="007C3B97" w:rsidRPr="00BA3427" w14:paraId="0ADCD055" w14:textId="77777777" w:rsidTr="001F014C">
        <w:trPr>
          <w:jc w:val="center"/>
        </w:trPr>
        <w:tc>
          <w:tcPr>
            <w:tcW w:w="869" w:type="pct"/>
            <w:tcBorders>
              <w:bottom w:val="single" w:sz="4" w:space="0" w:color="auto"/>
            </w:tcBorders>
          </w:tcPr>
          <w:p w14:paraId="62404016" w14:textId="77777777" w:rsidR="007C3B97" w:rsidRPr="00BA3427" w:rsidRDefault="007C3B97" w:rsidP="007C3B97">
            <w:pPr>
              <w:pStyle w:val="TableText"/>
            </w:pPr>
            <w:r w:rsidRPr="00BA3427">
              <w:t>SAFETY DIRECTIONS:</w:t>
            </w:r>
          </w:p>
        </w:tc>
        <w:tc>
          <w:tcPr>
            <w:tcW w:w="4131" w:type="pct"/>
            <w:gridSpan w:val="3"/>
            <w:tcBorders>
              <w:bottom w:val="single" w:sz="4" w:space="0" w:color="auto"/>
            </w:tcBorders>
          </w:tcPr>
          <w:p w14:paraId="55E77A49" w14:textId="0D3F8CF9" w:rsidR="007C3B97" w:rsidRPr="00BA3427" w:rsidRDefault="007C3B97" w:rsidP="007C3B97">
            <w:pPr>
              <w:pStyle w:val="TableText"/>
            </w:pPr>
            <w:r w:rsidRPr="00BA3427">
              <w:t xml:space="preserve">Harmful if inhaled or swallowed. May irritate the eyes and skin. Repeated exposure may cause allergic disorders. Repeated minor exposure may have a cumulative poisoning effect. Avoid contact with eyes and skin. DO NOT inhale vapour or spray mist. When mixing and loading </w:t>
            </w:r>
            <w:r>
              <w:t xml:space="preserve">for aerial spraying equipment, </w:t>
            </w:r>
            <w:r w:rsidRPr="00BA3427">
              <w:t>wear cotton overalls buttoned to the neck and wrist and a washable hat, PVC or rubber apron, elbow</w:t>
            </w:r>
            <w:r w:rsidR="00656F27">
              <w:t xml:space="preserve"> </w:t>
            </w:r>
            <w:r w:rsidRPr="00BA3427">
              <w:t xml:space="preserve">length PVC gloves and </w:t>
            </w:r>
            <w:r w:rsidR="001F014C" w:rsidRPr="00BA3427">
              <w:t>water-resistant</w:t>
            </w:r>
            <w:r w:rsidRPr="00BA3427">
              <w:t xml:space="preserve"> footwear.</w:t>
            </w:r>
          </w:p>
          <w:p w14:paraId="46AF0AC6" w14:textId="2AEA821E" w:rsidR="006B31D2" w:rsidRPr="00BA3427" w:rsidRDefault="007C3B97" w:rsidP="007C3B97">
            <w:pPr>
              <w:pStyle w:val="TableText"/>
            </w:pPr>
            <w:r>
              <w:t>If</w:t>
            </w:r>
            <w:r w:rsidRPr="00BA3427">
              <w:t xml:space="preserve"> applying by aerial spraying equipment, wear cotton overalls, buttoned to the neck and wrist (or equivalent clothing), and </w:t>
            </w:r>
            <w:r w:rsidR="001F014C" w:rsidRPr="00BA3427">
              <w:t>water-resistant</w:t>
            </w:r>
            <w:r w:rsidRPr="00BA3427">
              <w:t xml:space="preserve"> footwear.</w:t>
            </w:r>
          </w:p>
          <w:p w14:paraId="3A31281E" w14:textId="3435AAC3" w:rsidR="007C3B97" w:rsidRPr="00BA3427" w:rsidRDefault="007C3B97" w:rsidP="007C3B97">
            <w:pPr>
              <w:pStyle w:val="TableText"/>
            </w:pPr>
            <w:r w:rsidRPr="00BA3427">
              <w:t>After use and before eating, drinking or smoking, wash hands, arms and face thoroughly with soap and water. After each day’s use wash gloves and contaminated clothing.</w:t>
            </w:r>
          </w:p>
        </w:tc>
      </w:tr>
      <w:tr w:rsidR="007C3B97" w:rsidRPr="00BA3427" w14:paraId="618FAAE2" w14:textId="77777777" w:rsidTr="001F014C">
        <w:trPr>
          <w:jc w:val="center"/>
        </w:trPr>
        <w:tc>
          <w:tcPr>
            <w:tcW w:w="869" w:type="pct"/>
            <w:tcBorders>
              <w:left w:val="nil"/>
              <w:right w:val="nil"/>
            </w:tcBorders>
          </w:tcPr>
          <w:p w14:paraId="543100A7" w14:textId="77777777" w:rsidR="007C3B97" w:rsidRPr="00BA3427" w:rsidRDefault="007C3B97" w:rsidP="007C3B97">
            <w:pPr>
              <w:pStyle w:val="TableText"/>
            </w:pPr>
          </w:p>
        </w:tc>
        <w:tc>
          <w:tcPr>
            <w:tcW w:w="4131" w:type="pct"/>
            <w:gridSpan w:val="3"/>
            <w:tcBorders>
              <w:left w:val="nil"/>
              <w:right w:val="nil"/>
            </w:tcBorders>
          </w:tcPr>
          <w:p w14:paraId="76F2F436" w14:textId="77777777" w:rsidR="007C3B97" w:rsidRPr="00BA3427" w:rsidRDefault="007C3B97" w:rsidP="007C3B97">
            <w:pPr>
              <w:pStyle w:val="TableText"/>
            </w:pPr>
          </w:p>
        </w:tc>
      </w:tr>
      <w:tr w:rsidR="007C3B97" w:rsidRPr="00BA3427" w14:paraId="57CC5207" w14:textId="77777777" w:rsidTr="001F014C">
        <w:trPr>
          <w:jc w:val="center"/>
        </w:trPr>
        <w:tc>
          <w:tcPr>
            <w:tcW w:w="869" w:type="pct"/>
          </w:tcPr>
          <w:p w14:paraId="5F9B9643" w14:textId="7EAF7651" w:rsidR="007C3B97" w:rsidRPr="00BA3427" w:rsidRDefault="007C3B97" w:rsidP="007C3B97">
            <w:pPr>
              <w:pStyle w:val="TableText"/>
            </w:pPr>
            <w:r w:rsidRPr="00BA3427">
              <w:t>FIRST AID</w:t>
            </w:r>
            <w:r>
              <w:t>:</w:t>
            </w:r>
          </w:p>
        </w:tc>
        <w:tc>
          <w:tcPr>
            <w:tcW w:w="4131" w:type="pct"/>
            <w:gridSpan w:val="3"/>
          </w:tcPr>
          <w:p w14:paraId="33B592C5" w14:textId="1253FDCF" w:rsidR="007C3B97" w:rsidRPr="00BA3427" w:rsidRDefault="007C3B97" w:rsidP="00FE6DBB">
            <w:pPr>
              <w:pStyle w:val="TableText"/>
            </w:pPr>
            <w:r w:rsidRPr="00BA3427">
              <w:t>If swallowed, splashed on skin or in eyes, or inhaled, contact a Poisons Information Centre (phone Australia 13 11 26</w:t>
            </w:r>
            <w:r w:rsidR="00FE6DBB">
              <w:t xml:space="preserve">) </w:t>
            </w:r>
            <w:r>
              <w:t>or doctor</w:t>
            </w:r>
            <w:r w:rsidRPr="00BA3427">
              <w:t xml:space="preserve"> at once. Remove any contaminated clothing and wash skin thoroughly. If swallowed, activated charcoal may be advised. Give atropine if instructed.</w:t>
            </w:r>
          </w:p>
        </w:tc>
      </w:tr>
      <w:tr w:rsidR="007C3B97" w:rsidRPr="00BA3427" w14:paraId="7B3ACB5D" w14:textId="77777777" w:rsidTr="001F014C">
        <w:trPr>
          <w:jc w:val="center"/>
        </w:trPr>
        <w:tc>
          <w:tcPr>
            <w:tcW w:w="869" w:type="pct"/>
            <w:tcBorders>
              <w:left w:val="nil"/>
              <w:right w:val="nil"/>
            </w:tcBorders>
          </w:tcPr>
          <w:p w14:paraId="5473B4CD" w14:textId="77777777" w:rsidR="007C3B97" w:rsidRPr="00BA3427" w:rsidRDefault="007C3B97" w:rsidP="007C3B97">
            <w:pPr>
              <w:pStyle w:val="TableText"/>
            </w:pPr>
          </w:p>
        </w:tc>
        <w:tc>
          <w:tcPr>
            <w:tcW w:w="4131" w:type="pct"/>
            <w:gridSpan w:val="3"/>
            <w:tcBorders>
              <w:left w:val="nil"/>
              <w:right w:val="nil"/>
            </w:tcBorders>
          </w:tcPr>
          <w:p w14:paraId="75EC09A4" w14:textId="77777777" w:rsidR="007C3B97" w:rsidRPr="00BA3427" w:rsidRDefault="007C3B97" w:rsidP="007C3B97">
            <w:pPr>
              <w:pStyle w:val="TableText"/>
            </w:pPr>
          </w:p>
        </w:tc>
      </w:tr>
      <w:tr w:rsidR="007C3B97" w:rsidRPr="00BA3427" w14:paraId="762E8314" w14:textId="77777777" w:rsidTr="001F014C">
        <w:trPr>
          <w:jc w:val="center"/>
        </w:trPr>
        <w:tc>
          <w:tcPr>
            <w:tcW w:w="869" w:type="pct"/>
          </w:tcPr>
          <w:p w14:paraId="1998B97B" w14:textId="77777777" w:rsidR="007C3B97" w:rsidRPr="00BA3427" w:rsidRDefault="007C3B97" w:rsidP="007C3B97">
            <w:pPr>
              <w:pStyle w:val="TableText"/>
            </w:pPr>
            <w:r>
              <w:t>Batch Number:</w:t>
            </w:r>
          </w:p>
        </w:tc>
        <w:tc>
          <w:tcPr>
            <w:tcW w:w="4131" w:type="pct"/>
            <w:gridSpan w:val="3"/>
          </w:tcPr>
          <w:p w14:paraId="13105F8E" w14:textId="77777777" w:rsidR="007C3B97" w:rsidRPr="00BA3427" w:rsidRDefault="007C3B97" w:rsidP="007C3B97">
            <w:pPr>
              <w:pStyle w:val="TableText"/>
            </w:pPr>
            <w:r>
              <w:t>[INSERT HERE]</w:t>
            </w:r>
          </w:p>
        </w:tc>
      </w:tr>
      <w:tr w:rsidR="007C3B97" w:rsidRPr="00BA3427" w14:paraId="7BBE0F71" w14:textId="77777777" w:rsidTr="001F014C">
        <w:trPr>
          <w:jc w:val="center"/>
        </w:trPr>
        <w:tc>
          <w:tcPr>
            <w:tcW w:w="869" w:type="pct"/>
          </w:tcPr>
          <w:p w14:paraId="716794D1" w14:textId="77777777" w:rsidR="007C3B97" w:rsidRPr="00BA3427" w:rsidRDefault="007C3B97" w:rsidP="007C3B97">
            <w:pPr>
              <w:pStyle w:val="TableText"/>
            </w:pPr>
            <w:r>
              <w:t>APVMA approval No:</w:t>
            </w:r>
          </w:p>
        </w:tc>
        <w:tc>
          <w:tcPr>
            <w:tcW w:w="4131" w:type="pct"/>
            <w:gridSpan w:val="3"/>
          </w:tcPr>
          <w:p w14:paraId="2DC50E30" w14:textId="77777777" w:rsidR="007C3B97" w:rsidRPr="00BA3427" w:rsidRDefault="007C3B97" w:rsidP="007C3B97">
            <w:pPr>
              <w:pStyle w:val="TableText"/>
            </w:pPr>
            <w:r>
              <w:t>[INSERT HERE]</w:t>
            </w:r>
          </w:p>
        </w:tc>
      </w:tr>
      <w:tr w:rsidR="007C3B97" w:rsidRPr="00BA3427" w14:paraId="7B75C9BA" w14:textId="77777777" w:rsidTr="00302DB5">
        <w:trPr>
          <w:jc w:val="center"/>
        </w:trPr>
        <w:tc>
          <w:tcPr>
            <w:tcW w:w="869" w:type="pct"/>
            <w:tcBorders>
              <w:left w:val="nil"/>
              <w:bottom w:val="single" w:sz="4" w:space="0" w:color="auto"/>
              <w:right w:val="nil"/>
            </w:tcBorders>
          </w:tcPr>
          <w:p w14:paraId="4563513F" w14:textId="77777777" w:rsidR="007C3B97" w:rsidRPr="00BA3427" w:rsidRDefault="007C3B97" w:rsidP="007C3B97">
            <w:pPr>
              <w:pStyle w:val="TableText"/>
            </w:pPr>
          </w:p>
        </w:tc>
        <w:tc>
          <w:tcPr>
            <w:tcW w:w="4131" w:type="pct"/>
            <w:gridSpan w:val="3"/>
            <w:tcBorders>
              <w:left w:val="nil"/>
              <w:bottom w:val="single" w:sz="4" w:space="0" w:color="auto"/>
              <w:right w:val="nil"/>
            </w:tcBorders>
          </w:tcPr>
          <w:p w14:paraId="0E30A6A5" w14:textId="77777777" w:rsidR="007C3B97" w:rsidRPr="00BA3427" w:rsidRDefault="007C3B97" w:rsidP="007C3B97">
            <w:pPr>
              <w:pStyle w:val="TableText"/>
            </w:pPr>
          </w:p>
        </w:tc>
      </w:tr>
      <w:tr w:rsidR="007C3B97" w:rsidRPr="00BA3427" w14:paraId="2D09335E" w14:textId="77777777" w:rsidTr="00302DB5">
        <w:trPr>
          <w:jc w:val="center"/>
        </w:trPr>
        <w:tc>
          <w:tcPr>
            <w:tcW w:w="869" w:type="pct"/>
            <w:tcBorders>
              <w:bottom w:val="single" w:sz="4" w:space="0" w:color="auto"/>
            </w:tcBorders>
          </w:tcPr>
          <w:p w14:paraId="70C8D0D7" w14:textId="77777777" w:rsidR="007C3B97" w:rsidRPr="00BA3427" w:rsidRDefault="007C3B97" w:rsidP="007C3B97">
            <w:pPr>
              <w:pStyle w:val="TableText"/>
            </w:pPr>
            <w:r>
              <w:t>MATERIAL SAFETY DATA SHEET:</w:t>
            </w:r>
          </w:p>
        </w:tc>
        <w:tc>
          <w:tcPr>
            <w:tcW w:w="4131" w:type="pct"/>
            <w:gridSpan w:val="3"/>
            <w:tcBorders>
              <w:bottom w:val="single" w:sz="4" w:space="0" w:color="auto"/>
            </w:tcBorders>
          </w:tcPr>
          <w:p w14:paraId="6300B413" w14:textId="77777777" w:rsidR="007C3B97" w:rsidRPr="00BA3427" w:rsidRDefault="007C3B97" w:rsidP="007C3B97">
            <w:pPr>
              <w:pStyle w:val="TableText"/>
            </w:pPr>
            <w:r>
              <w:t>Additional information can be obtained from the material safety data sheet which can be obtained from the supplier.</w:t>
            </w:r>
          </w:p>
        </w:tc>
      </w:tr>
    </w:tbl>
    <w:p w14:paraId="58A34125" w14:textId="77777777" w:rsidR="006B31D2" w:rsidRPr="006B31D2" w:rsidRDefault="006B31D2" w:rsidP="006B31D2">
      <w:pPr>
        <w:pStyle w:val="NormalText"/>
        <w:rPr>
          <w:b/>
        </w:rPr>
      </w:pPr>
      <w:r w:rsidRPr="006B31D2">
        <w:rPr>
          <w:b/>
        </w:rPr>
        <w:t>DIRECTIONS FOR USE</w:t>
      </w:r>
    </w:p>
    <w:p w14:paraId="0A0716F7" w14:textId="77777777" w:rsidR="006B31D2" w:rsidRPr="006B31D2" w:rsidRDefault="006B31D2" w:rsidP="006B31D2">
      <w:pPr>
        <w:pStyle w:val="NormalText"/>
        <w:rPr>
          <w:b/>
        </w:rPr>
      </w:pPr>
      <w:r w:rsidRPr="006B31D2">
        <w:rPr>
          <w:b/>
        </w:rPr>
        <w:t>RESTRAINTS</w:t>
      </w:r>
    </w:p>
    <w:p w14:paraId="4D08B222" w14:textId="77777777" w:rsidR="006B31D2" w:rsidRDefault="006B31D2" w:rsidP="001F014C">
      <w:pPr>
        <w:pStyle w:val="APVMAText"/>
      </w:pPr>
      <w:r>
        <w:t>Under very cold conditions DO NOT apply to permanent water too early as crop may be drowned. A proportion of the first leaf must show above the water.</w:t>
      </w:r>
    </w:p>
    <w:p w14:paraId="61A6A93A" w14:textId="34301334" w:rsidR="006B31D2" w:rsidRPr="00BA3427" w:rsidRDefault="006B31D2" w:rsidP="001F014C">
      <w:pPr>
        <w:pStyle w:val="APVMAText"/>
        <w:rPr>
          <w:rFonts w:eastAsia="Times"/>
        </w:rPr>
      </w:pPr>
      <w:r w:rsidRPr="00BA3427">
        <w:rPr>
          <w:rFonts w:eastAsia="Times"/>
        </w:rPr>
        <w:t xml:space="preserve">DO NOT apply by </w:t>
      </w:r>
      <w:r w:rsidR="00CC1E20" w:rsidRPr="00BA3427">
        <w:rPr>
          <w:rFonts w:eastAsia="Times"/>
        </w:rPr>
        <w:t>ground</w:t>
      </w:r>
      <w:r w:rsidR="00CC1E20">
        <w:rPr>
          <w:rFonts w:eastAsia="Times"/>
        </w:rPr>
        <w:t>-based</w:t>
      </w:r>
      <w:r w:rsidRPr="00BA3427">
        <w:rPr>
          <w:rFonts w:eastAsia="Times"/>
        </w:rPr>
        <w:t xml:space="preserve"> methods</w:t>
      </w:r>
      <w:r>
        <w:rPr>
          <w:rFonts w:eastAsia="Times"/>
        </w:rPr>
        <w:t>.</w:t>
      </w:r>
    </w:p>
    <w:p w14:paraId="51B6FEF8" w14:textId="77777777" w:rsidR="006B31D2" w:rsidRDefault="006B31D2" w:rsidP="001F014C">
      <w:pPr>
        <w:pStyle w:val="APVMAText"/>
        <w:rPr>
          <w:rFonts w:eastAsia="Times"/>
        </w:rPr>
      </w:pPr>
      <w:r w:rsidRPr="00BA3427">
        <w:rPr>
          <w:rFonts w:eastAsia="Times"/>
        </w:rPr>
        <w:t>DO NOT use open mixing and loading systems (use c</w:t>
      </w:r>
      <w:r>
        <w:rPr>
          <w:rFonts w:eastAsia="Times"/>
        </w:rPr>
        <w:t>losed mixing and loading only).</w:t>
      </w:r>
    </w:p>
    <w:p w14:paraId="74605552" w14:textId="77777777" w:rsidR="006B31D2" w:rsidRDefault="006B31D2" w:rsidP="001F014C">
      <w:pPr>
        <w:pStyle w:val="APVMAText"/>
        <w:rPr>
          <w:rFonts w:eastAsia="Times"/>
        </w:rPr>
      </w:pPr>
      <w:r>
        <w:rPr>
          <w:rFonts w:eastAsia="Times"/>
        </w:rPr>
        <w:t>A single operator MUST NOT be involved in BOTH mixing/loading AND application in the same day.</w:t>
      </w:r>
    </w:p>
    <w:p w14:paraId="2EB613D7" w14:textId="322D07D6" w:rsidR="006B31D2" w:rsidRPr="00BA3427" w:rsidRDefault="006B31D2" w:rsidP="001F014C">
      <w:pPr>
        <w:pStyle w:val="APVMAText"/>
        <w:rPr>
          <w:rFonts w:eastAsia="Times"/>
        </w:rPr>
      </w:pPr>
      <w:r w:rsidRPr="00BA3427">
        <w:rPr>
          <w:rFonts w:eastAsia="Times"/>
        </w:rPr>
        <w:t>A single operator involved in mixing/loading of the product</w:t>
      </w:r>
      <w:r>
        <w:rPr>
          <w:rFonts w:eastAsia="Times"/>
        </w:rPr>
        <w:t xml:space="preserve"> MUST NOT handle more than 1,400 </w:t>
      </w:r>
      <w:r w:rsidRPr="00BA3427">
        <w:rPr>
          <w:rFonts w:eastAsia="Times"/>
        </w:rPr>
        <w:t>L neat product per day.</w:t>
      </w:r>
    </w:p>
    <w:p w14:paraId="1A23EC0F" w14:textId="4F4C8194" w:rsidR="006B31D2" w:rsidRPr="00BA3427" w:rsidRDefault="00E424AB" w:rsidP="001F014C">
      <w:pPr>
        <w:pStyle w:val="APVMAText"/>
        <w:rPr>
          <w:rFonts w:eastAsia="Times"/>
        </w:rPr>
      </w:pPr>
      <w:r w:rsidRPr="00E424AB">
        <w:rPr>
          <w:rFonts w:eastAsia="Times"/>
        </w:rPr>
        <w:t>A single operator (pilot) MUST NOT apply more than 1900 L of neat product per day (equivalent to spraying an area of no more than 500 hectares per day at the maximum rate of 3.75 L/ha or no more than 750 hectares per day at the minimum rate of 2.5 L/ha).</w:t>
      </w:r>
    </w:p>
    <w:p w14:paraId="6F23C3D4" w14:textId="77777777" w:rsidR="006B31D2" w:rsidRPr="006B31D2" w:rsidRDefault="006B31D2" w:rsidP="006B31D2">
      <w:pPr>
        <w:pStyle w:val="NormalText"/>
        <w:rPr>
          <w:b/>
        </w:rPr>
      </w:pPr>
      <w:r w:rsidRPr="006B31D2">
        <w:rPr>
          <w:b/>
        </w:rPr>
        <w:t>SPRAY DRIFT RESTRAINTS</w:t>
      </w:r>
    </w:p>
    <w:p w14:paraId="4A1C87B0" w14:textId="77777777" w:rsidR="006B31D2" w:rsidRDefault="006B31D2" w:rsidP="001F014C">
      <w:pPr>
        <w:pStyle w:val="APVMAText"/>
        <w:rPr>
          <w:color w:val="0000FF"/>
          <w:u w:val="single"/>
        </w:rPr>
      </w:pPr>
      <w:r w:rsidRPr="00BA3427">
        <w:t xml:space="preserve">Specific definitions for terms used in this section of the label can be found at </w:t>
      </w:r>
      <w:hyperlink r:id="rId43" w:history="1">
        <w:r w:rsidRPr="001F014C">
          <w:rPr>
            <w:rStyle w:val="Hyperlink"/>
          </w:rPr>
          <w:t>apvma.gov.au/spraydrift</w:t>
        </w:r>
      </w:hyperlink>
    </w:p>
    <w:p w14:paraId="438E4587" w14:textId="77777777" w:rsidR="006B31D2" w:rsidRPr="00BA3427" w:rsidRDefault="006B31D2" w:rsidP="001F014C">
      <w:pPr>
        <w:pStyle w:val="APVMAText"/>
        <w:rPr>
          <w:rFonts w:eastAsia="Times"/>
          <w:lang w:val="en"/>
        </w:rPr>
      </w:pPr>
      <w:r w:rsidRPr="00BA3427">
        <w:rPr>
          <w:rFonts w:eastAsia="Times"/>
          <w:lang w:val="en"/>
        </w:rPr>
        <w:t>DO NOT allow bystanders to come into contact with the spray cloud.</w:t>
      </w:r>
    </w:p>
    <w:p w14:paraId="440E16AC" w14:textId="77777777" w:rsidR="006B31D2" w:rsidRPr="00BA3427" w:rsidRDefault="006B31D2" w:rsidP="001F014C">
      <w:pPr>
        <w:pStyle w:val="APVMAText"/>
        <w:rPr>
          <w:rFonts w:eastAsia="Times"/>
          <w:lang w:val="en"/>
        </w:rPr>
      </w:pPr>
      <w:r w:rsidRPr="00BA3427">
        <w:rPr>
          <w:rFonts w:eastAsia="Times"/>
          <w:lang w:val="en"/>
        </w:rPr>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6B889B06" w14:textId="7B624527" w:rsidR="006B31D2" w:rsidRPr="00BA3427" w:rsidRDefault="006B31D2" w:rsidP="001F014C">
      <w:pPr>
        <w:pStyle w:val="APVMAText"/>
        <w:rPr>
          <w:rFonts w:eastAsia="Times"/>
          <w:lang w:val="en"/>
        </w:rPr>
      </w:pPr>
      <w:r w:rsidRPr="00BA3427">
        <w:rPr>
          <w:rFonts w:eastAsia="Times"/>
          <w:lang w:val="en"/>
        </w:rPr>
        <w:t xml:space="preserve">DO NOT apply unless the wind speed is between 3 and 20 </w:t>
      </w:r>
      <w:r w:rsidR="003045A3" w:rsidRPr="00BA3427">
        <w:rPr>
          <w:rFonts w:eastAsia="Times"/>
          <w:lang w:val="en"/>
        </w:rPr>
        <w:t>kilometers</w:t>
      </w:r>
      <w:r w:rsidRPr="00BA3427">
        <w:rPr>
          <w:rFonts w:eastAsia="Times"/>
          <w:lang w:val="en"/>
        </w:rPr>
        <w:t xml:space="preserve"> per hour at the application site during the time of application.</w:t>
      </w:r>
    </w:p>
    <w:p w14:paraId="72B02D83" w14:textId="090AF381" w:rsidR="006B31D2" w:rsidRPr="00BA3427" w:rsidRDefault="006B31D2" w:rsidP="001F014C">
      <w:pPr>
        <w:pStyle w:val="APVMAText"/>
        <w:rPr>
          <w:rFonts w:eastAsia="Times"/>
          <w:lang w:val="en"/>
        </w:rPr>
      </w:pPr>
      <w:r w:rsidRPr="00BA3427">
        <w:rPr>
          <w:rFonts w:eastAsia="Times"/>
          <w:lang w:val="en"/>
        </w:rPr>
        <w:t xml:space="preserve">DO NOT apply if there are hazardous surface temperature inversion conditions present at the application site during the time of application. Surface temperature inversion conditions exist most evenings one to </w:t>
      </w:r>
      <w:r w:rsidR="00656F27">
        <w:rPr>
          <w:rFonts w:eastAsia="Times"/>
          <w:lang w:val="en"/>
        </w:rPr>
        <w:t>2</w:t>
      </w:r>
      <w:r w:rsidRPr="00BA3427">
        <w:rPr>
          <w:rFonts w:eastAsia="Times"/>
          <w:lang w:val="en"/>
        </w:rPr>
        <w:t xml:space="preserve"> hours before su</w:t>
      </w:r>
      <w:r w:rsidR="00A32F45">
        <w:rPr>
          <w:rFonts w:eastAsia="Times"/>
          <w:lang w:val="en"/>
        </w:rPr>
        <w:t>nset and persist until one to 2</w:t>
      </w:r>
      <w:r w:rsidRPr="00BA3427">
        <w:rPr>
          <w:rFonts w:eastAsia="Times"/>
          <w:lang w:val="en"/>
        </w:rPr>
        <w:t xml:space="preserve"> hours after sunrise.</w:t>
      </w:r>
    </w:p>
    <w:p w14:paraId="6BCEF000" w14:textId="77777777" w:rsidR="006B31D2" w:rsidRPr="00BA3427" w:rsidRDefault="006B31D2" w:rsidP="001F014C">
      <w:pPr>
        <w:pStyle w:val="APVMAText"/>
        <w:keepNext/>
        <w:keepLines/>
        <w:rPr>
          <w:rFonts w:eastAsia="Times"/>
        </w:rPr>
      </w:pPr>
      <w:r w:rsidRPr="00BA3427">
        <w:rPr>
          <w:rFonts w:eastAsia="Times"/>
        </w:rPr>
        <w:t xml:space="preserve">DO NOT apply by helicopter unless the following </w:t>
      </w:r>
      <w:r>
        <w:rPr>
          <w:rFonts w:eastAsia="Times"/>
        </w:rPr>
        <w:t>additional requirements are met:</w:t>
      </w:r>
    </w:p>
    <w:p w14:paraId="7CDA221D" w14:textId="257EA55A" w:rsidR="006B31D2" w:rsidRPr="001F014C" w:rsidRDefault="00CC1E20" w:rsidP="001F014C">
      <w:pPr>
        <w:pStyle w:val="Bullet1"/>
        <w:keepNext/>
        <w:keepLines/>
        <w:ind w:left="357" w:hanging="357"/>
        <w:rPr>
          <w:rFonts w:eastAsia="Times"/>
        </w:rPr>
      </w:pPr>
      <w:r>
        <w:rPr>
          <w:rFonts w:eastAsia="Times"/>
        </w:rPr>
        <w:t>A</w:t>
      </w:r>
      <w:r w:rsidR="006B31D2" w:rsidRPr="001F014C">
        <w:rPr>
          <w:rFonts w:eastAsia="Times"/>
        </w:rPr>
        <w:t>pply only by SCWIIRT (Soluble Chemical Water Injection In Rice Technique)</w:t>
      </w:r>
    </w:p>
    <w:p w14:paraId="575BA4F3" w14:textId="63505723" w:rsidR="006B31D2" w:rsidRPr="001F014C" w:rsidRDefault="00CC1E20" w:rsidP="001F014C">
      <w:pPr>
        <w:pStyle w:val="Bullet1"/>
        <w:rPr>
          <w:rFonts w:eastAsia="Times"/>
        </w:rPr>
      </w:pPr>
      <w:r>
        <w:rPr>
          <w:rFonts w:eastAsia="Times"/>
        </w:rPr>
        <w:t>T</w:t>
      </w:r>
      <w:r w:rsidR="006B31D2" w:rsidRPr="001F014C">
        <w:rPr>
          <w:rFonts w:eastAsia="Times"/>
        </w:rPr>
        <w:t>he release height is not greater than 2</w:t>
      </w:r>
      <w:r w:rsidR="00B10D09">
        <w:rPr>
          <w:rFonts w:eastAsia="Times"/>
        </w:rPr>
        <w:t> </w:t>
      </w:r>
      <w:r w:rsidR="006B31D2" w:rsidRPr="001F014C">
        <w:rPr>
          <w:rFonts w:eastAsia="Times"/>
        </w:rPr>
        <w:t>metres above the ground</w:t>
      </w:r>
    </w:p>
    <w:p w14:paraId="71D3E633" w14:textId="57B733E9" w:rsidR="006B31D2" w:rsidRPr="001F014C" w:rsidRDefault="00CC1E20" w:rsidP="001F014C">
      <w:pPr>
        <w:pStyle w:val="Bullet1"/>
        <w:rPr>
          <w:rFonts w:eastAsia="Times"/>
        </w:rPr>
      </w:pPr>
      <w:r>
        <w:rPr>
          <w:rFonts w:eastAsia="Times"/>
        </w:rPr>
        <w:t>T</w:t>
      </w:r>
      <w:r w:rsidR="006B31D2" w:rsidRPr="001F014C">
        <w:rPr>
          <w:rFonts w:eastAsia="Times"/>
        </w:rPr>
        <w:t>he flying speed is not greater than 50 knots (92</w:t>
      </w:r>
      <w:r w:rsidR="00B10D09">
        <w:rPr>
          <w:rFonts w:eastAsia="Times"/>
        </w:rPr>
        <w:t> </w:t>
      </w:r>
      <w:r w:rsidR="006B31D2" w:rsidRPr="001F014C">
        <w:rPr>
          <w:rFonts w:eastAsia="Times"/>
        </w:rPr>
        <w:t>km/h)</w:t>
      </w:r>
    </w:p>
    <w:p w14:paraId="69333041" w14:textId="2A4F6051" w:rsidR="006B31D2" w:rsidRPr="001F014C" w:rsidRDefault="00CC1E20" w:rsidP="001F014C">
      <w:pPr>
        <w:pStyle w:val="Bullet1"/>
        <w:rPr>
          <w:rFonts w:eastAsia="Times"/>
        </w:rPr>
      </w:pPr>
      <w:r>
        <w:rPr>
          <w:rFonts w:eastAsia="Times"/>
        </w:rPr>
        <w:t>M</w:t>
      </w:r>
      <w:r w:rsidR="006B31D2" w:rsidRPr="001F014C">
        <w:rPr>
          <w:rFonts w:eastAsia="Times"/>
        </w:rPr>
        <w:t>inimum distances between the application site and downwind sensitive areas that appear in the 'Mandatory downwind buffer zones' section of the following table titled ‘Buffer zones for helicopter using SCWIIRT’ are observed</w:t>
      </w:r>
    </w:p>
    <w:tbl>
      <w:tblPr>
        <w:tblpPr w:leftFromText="180" w:rightFromText="180" w:vertAnchor="text" w:horzAnchor="margin" w:tblpY="87"/>
        <w:tblW w:w="5000" w:type="pct"/>
        <w:tblCellMar>
          <w:left w:w="0" w:type="dxa"/>
          <w:right w:w="0" w:type="dxa"/>
        </w:tblCellMar>
        <w:tblLook w:val="04A0" w:firstRow="1" w:lastRow="0" w:firstColumn="1" w:lastColumn="0" w:noHBand="0" w:noVBand="1"/>
      </w:tblPr>
      <w:tblGrid>
        <w:gridCol w:w="1681"/>
        <w:gridCol w:w="1847"/>
        <w:gridCol w:w="1983"/>
        <w:gridCol w:w="2122"/>
        <w:gridCol w:w="1985"/>
      </w:tblGrid>
      <w:tr w:rsidR="006B31D2" w14:paraId="04F28A0D" w14:textId="77777777" w:rsidTr="001F014C">
        <w:trPr>
          <w:trHeight w:val="545"/>
        </w:trPr>
        <w:tc>
          <w:tcPr>
            <w:tcW w:w="5000" w:type="pct"/>
            <w:gridSpan w:val="5"/>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BCF2605" w14:textId="77777777" w:rsidR="006B31D2" w:rsidRPr="001F014C" w:rsidRDefault="006B31D2" w:rsidP="001F014C">
            <w:pPr>
              <w:pStyle w:val="APVMAText"/>
            </w:pPr>
            <w:r w:rsidRPr="001F014C">
              <w:t xml:space="preserve">Buffer zones for helicopter using SCWIIRT </w:t>
            </w:r>
          </w:p>
        </w:tc>
      </w:tr>
      <w:tr w:rsidR="006B31D2" w14:paraId="65BD22BB" w14:textId="77777777" w:rsidTr="001F014C">
        <w:trPr>
          <w:trHeight w:val="612"/>
        </w:trPr>
        <w:tc>
          <w:tcPr>
            <w:tcW w:w="87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7A6CE7E" w14:textId="77777777" w:rsidR="006B31D2" w:rsidRPr="001F014C" w:rsidRDefault="006B31D2" w:rsidP="001F014C">
            <w:pPr>
              <w:pStyle w:val="APVMAText"/>
            </w:pPr>
            <w:r w:rsidRPr="001F014C">
              <w:t xml:space="preserve">Application Rate </w:t>
            </w:r>
          </w:p>
        </w:tc>
        <w:tc>
          <w:tcPr>
            <w:tcW w:w="4126" w:type="pct"/>
            <w:gridSpan w:val="4"/>
            <w:tcBorders>
              <w:top w:val="single" w:sz="4" w:space="0" w:color="auto"/>
              <w:left w:val="single" w:sz="4" w:space="0" w:color="auto"/>
              <w:bottom w:val="single" w:sz="4" w:space="0" w:color="auto"/>
              <w:right w:val="single" w:sz="4" w:space="0" w:color="auto"/>
            </w:tcBorders>
          </w:tcPr>
          <w:p w14:paraId="054C9357" w14:textId="77777777" w:rsidR="006B31D2" w:rsidRPr="001F014C" w:rsidRDefault="006B31D2" w:rsidP="001F014C">
            <w:pPr>
              <w:pStyle w:val="APVMAText"/>
            </w:pPr>
            <w:r w:rsidRPr="001F014C">
              <w:t>Mandatory downwind buffer zones</w:t>
            </w:r>
          </w:p>
        </w:tc>
      </w:tr>
      <w:tr w:rsidR="006B31D2" w14:paraId="789CEF4B" w14:textId="77777777" w:rsidTr="001F014C">
        <w:trPr>
          <w:trHeight w:val="973"/>
        </w:trPr>
        <w:tc>
          <w:tcPr>
            <w:tcW w:w="874"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3EA4DA1" w14:textId="77777777" w:rsidR="006B31D2" w:rsidRPr="001F014C" w:rsidRDefault="006B31D2" w:rsidP="001F014C">
            <w:pPr>
              <w:pStyle w:val="APVMAText"/>
            </w:pPr>
          </w:p>
        </w:tc>
        <w:tc>
          <w:tcPr>
            <w:tcW w:w="960" w:type="pct"/>
            <w:tcBorders>
              <w:top w:val="single" w:sz="4" w:space="0" w:color="auto"/>
              <w:left w:val="single" w:sz="4" w:space="0" w:color="auto"/>
              <w:bottom w:val="single" w:sz="4" w:space="0" w:color="auto"/>
              <w:right w:val="single" w:sz="4" w:space="0" w:color="auto"/>
            </w:tcBorders>
          </w:tcPr>
          <w:p w14:paraId="6EB0F054" w14:textId="77777777" w:rsidR="006B31D2" w:rsidRPr="001F014C" w:rsidRDefault="006B31D2" w:rsidP="001F014C">
            <w:pPr>
              <w:pStyle w:val="APVMAText"/>
            </w:pPr>
            <w:r w:rsidRPr="001F014C">
              <w:t>Bystander areas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0B45D" w14:textId="77777777" w:rsidR="006B31D2" w:rsidRPr="001F014C" w:rsidRDefault="006B31D2" w:rsidP="001F014C">
            <w:pPr>
              <w:pStyle w:val="APVMAText"/>
            </w:pPr>
            <w:r w:rsidRPr="001F014C">
              <w:t>Natural aquatic areas</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41259" w14:textId="77777777" w:rsidR="006B31D2" w:rsidRPr="001F014C" w:rsidRDefault="006B31D2" w:rsidP="001F014C">
            <w:pPr>
              <w:pStyle w:val="APVMAText"/>
            </w:pPr>
            <w:r w:rsidRPr="001F014C">
              <w:t>Pollinator areas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0D3DF" w14:textId="77777777" w:rsidR="006B31D2" w:rsidRPr="001F014C" w:rsidRDefault="006B31D2" w:rsidP="001F014C">
            <w:pPr>
              <w:pStyle w:val="APVMAText"/>
            </w:pPr>
            <w:r w:rsidRPr="001F014C">
              <w:t>Vegetation areas</w:t>
            </w:r>
          </w:p>
        </w:tc>
      </w:tr>
      <w:tr w:rsidR="006B31D2" w14:paraId="2D536B4B" w14:textId="77777777" w:rsidTr="001F014C">
        <w:trPr>
          <w:trHeight w:val="987"/>
        </w:trPr>
        <w:tc>
          <w:tcPr>
            <w:tcW w:w="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515EB" w14:textId="38B7611A" w:rsidR="006B31D2" w:rsidRPr="001F014C" w:rsidRDefault="006B31D2" w:rsidP="001F014C">
            <w:pPr>
              <w:pStyle w:val="APVMAText"/>
            </w:pPr>
            <w:r w:rsidRPr="001F014C">
              <w:rPr>
                <w:rFonts w:eastAsia="Times"/>
              </w:rPr>
              <w:t>2.5</w:t>
            </w:r>
            <w:r w:rsidR="006A6B20" w:rsidRPr="00B446FD">
              <w:t> </w:t>
            </w:r>
            <w:r w:rsidRPr="001F014C">
              <w:rPr>
                <w:rFonts w:eastAsia="Times"/>
              </w:rPr>
              <w:t>L in minimum 10</w:t>
            </w:r>
            <w:r w:rsidR="006A6B20" w:rsidRPr="00B446FD">
              <w:t> </w:t>
            </w:r>
            <w:r w:rsidRPr="001F014C">
              <w:rPr>
                <w:rFonts w:eastAsia="Times"/>
              </w:rPr>
              <w:t>L/ha water</w:t>
            </w:r>
            <w:r w:rsidRPr="001F014C" w:rsidDel="00E547CE">
              <w:t xml:space="preserve"> </w:t>
            </w:r>
          </w:p>
        </w:tc>
        <w:tc>
          <w:tcPr>
            <w:tcW w:w="960" w:type="pct"/>
            <w:tcBorders>
              <w:top w:val="single" w:sz="4" w:space="0" w:color="auto"/>
              <w:left w:val="single" w:sz="4" w:space="0" w:color="auto"/>
              <w:bottom w:val="single" w:sz="4" w:space="0" w:color="auto"/>
              <w:right w:val="single" w:sz="4" w:space="0" w:color="auto"/>
            </w:tcBorders>
          </w:tcPr>
          <w:p w14:paraId="6D76B402" w14:textId="77777777" w:rsidR="006B31D2" w:rsidRPr="001F014C" w:rsidRDefault="006B31D2" w:rsidP="001F014C">
            <w:pPr>
              <w:pStyle w:val="APVMAText"/>
            </w:pPr>
            <w:r w:rsidRPr="001F014C">
              <w:t>10 metres</w:t>
            </w:r>
            <w:r w:rsidRPr="001F014C" w:rsidDel="00C64B3A">
              <w:t xml:space="preserve">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4902F" w14:textId="77777777" w:rsidR="006B31D2" w:rsidRPr="001F014C" w:rsidRDefault="006B31D2" w:rsidP="001F014C">
            <w:pPr>
              <w:pStyle w:val="APVMAText"/>
            </w:pPr>
            <w:r w:rsidRPr="001F014C">
              <w:t>10 metres</w:t>
            </w:r>
            <w:r w:rsidRPr="001F014C" w:rsidDel="00C64B3A">
              <w:t xml:space="preserve"> </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C44CC" w14:textId="77777777" w:rsidR="006B31D2" w:rsidRPr="001F014C" w:rsidRDefault="006B31D2" w:rsidP="001F014C">
            <w:pPr>
              <w:pStyle w:val="APVMAText"/>
            </w:pPr>
            <w:r w:rsidRPr="001F014C">
              <w:t>0 metres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82B56" w14:textId="77777777" w:rsidR="006B31D2" w:rsidRPr="001F014C" w:rsidRDefault="006B31D2" w:rsidP="001F014C">
            <w:pPr>
              <w:pStyle w:val="APVMAText"/>
            </w:pPr>
            <w:r w:rsidRPr="001F014C">
              <w:t>0 metres</w:t>
            </w:r>
          </w:p>
        </w:tc>
      </w:tr>
      <w:tr w:rsidR="006B31D2" w14:paraId="178A9BF3" w14:textId="77777777" w:rsidTr="001F014C">
        <w:trPr>
          <w:trHeight w:val="987"/>
        </w:trPr>
        <w:tc>
          <w:tcPr>
            <w:tcW w:w="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7E932" w14:textId="5324755D" w:rsidR="006B31D2" w:rsidRPr="001F014C" w:rsidRDefault="006B31D2" w:rsidP="001F014C">
            <w:pPr>
              <w:pStyle w:val="APVMAText"/>
              <w:rPr>
                <w:rFonts w:eastAsia="Times"/>
              </w:rPr>
            </w:pPr>
            <w:r w:rsidRPr="001F014C">
              <w:rPr>
                <w:rFonts w:eastAsia="Times"/>
              </w:rPr>
              <w:t>3.75</w:t>
            </w:r>
            <w:r w:rsidR="006A6B20" w:rsidRPr="00B446FD">
              <w:t> </w:t>
            </w:r>
            <w:r w:rsidRPr="001F014C">
              <w:rPr>
                <w:rFonts w:eastAsia="Times"/>
              </w:rPr>
              <w:t>L in minimum 10</w:t>
            </w:r>
            <w:r w:rsidR="006A6B20" w:rsidRPr="00B446FD">
              <w:t> </w:t>
            </w:r>
            <w:r w:rsidRPr="001F014C">
              <w:rPr>
                <w:rFonts w:eastAsia="Times"/>
              </w:rPr>
              <w:t>L/ha water</w:t>
            </w:r>
            <w:r w:rsidRPr="001F014C" w:rsidDel="00E547CE">
              <w:t xml:space="preserve"> </w:t>
            </w:r>
          </w:p>
        </w:tc>
        <w:tc>
          <w:tcPr>
            <w:tcW w:w="960" w:type="pct"/>
            <w:tcBorders>
              <w:top w:val="single" w:sz="4" w:space="0" w:color="auto"/>
              <w:left w:val="single" w:sz="4" w:space="0" w:color="auto"/>
              <w:bottom w:val="single" w:sz="4" w:space="0" w:color="auto"/>
              <w:right w:val="single" w:sz="4" w:space="0" w:color="auto"/>
            </w:tcBorders>
          </w:tcPr>
          <w:p w14:paraId="05CA11E9" w14:textId="77777777" w:rsidR="006B31D2" w:rsidRPr="001F014C" w:rsidRDefault="006B31D2" w:rsidP="001F014C">
            <w:pPr>
              <w:pStyle w:val="APVMAText"/>
            </w:pPr>
            <w:r w:rsidRPr="001F014C">
              <w:t>15 metres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DDD1B" w14:textId="77777777" w:rsidR="006B31D2" w:rsidRPr="001F014C" w:rsidRDefault="006B31D2" w:rsidP="001F014C">
            <w:pPr>
              <w:pStyle w:val="APVMAText"/>
            </w:pPr>
            <w:r w:rsidRPr="001F014C">
              <w:t>10 metres</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816E4" w14:textId="77777777" w:rsidR="006B31D2" w:rsidRPr="001F014C" w:rsidRDefault="006B31D2" w:rsidP="001F014C">
            <w:pPr>
              <w:pStyle w:val="APVMAText"/>
            </w:pPr>
            <w:r w:rsidRPr="001F014C">
              <w:t>0 metres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330F9" w14:textId="77777777" w:rsidR="006B31D2" w:rsidRPr="001F014C" w:rsidRDefault="006B31D2" w:rsidP="001F014C">
            <w:pPr>
              <w:pStyle w:val="APVMAText"/>
            </w:pPr>
            <w:r w:rsidRPr="001F014C">
              <w:t>5 metres</w:t>
            </w:r>
          </w:p>
        </w:tc>
      </w:tr>
    </w:tbl>
    <w:p w14:paraId="3B8D6470" w14:textId="6CEBD3B8" w:rsidR="006B31D2" w:rsidRPr="003B4E38" w:rsidRDefault="006B31D2" w:rsidP="00B10D09">
      <w:pPr>
        <w:pStyle w:val="APVMAText"/>
        <w:rPr>
          <w:bCs/>
        </w:rPr>
      </w:pPr>
      <w:r w:rsidRPr="006B31D2">
        <w:rPr>
          <w:b/>
          <w:bCs/>
          <w:szCs w:val="19"/>
        </w:rPr>
        <w:t>DO NOT</w:t>
      </w:r>
      <w:r w:rsidRPr="006B31D2">
        <w:rPr>
          <w:b/>
          <w:bCs/>
        </w:rPr>
        <w:t xml:space="preserve"> </w:t>
      </w:r>
      <w:r w:rsidRPr="0018423B">
        <w:rPr>
          <w:rStyle w:val="NormalTextChar"/>
        </w:rPr>
        <w:t xml:space="preserve">apply by fixed wing aircraft unless the following </w:t>
      </w:r>
      <w:r>
        <w:rPr>
          <w:rStyle w:val="NormalTextChar"/>
        </w:rPr>
        <w:t xml:space="preserve">additional </w:t>
      </w:r>
      <w:r w:rsidRPr="0018423B">
        <w:rPr>
          <w:rStyle w:val="NormalTextChar"/>
        </w:rPr>
        <w:t>requirements are met:</w:t>
      </w:r>
    </w:p>
    <w:p w14:paraId="3A52E824" w14:textId="130E9554" w:rsidR="006B31D2" w:rsidRPr="001F014C" w:rsidRDefault="00CC1E20" w:rsidP="00B10D09">
      <w:pPr>
        <w:pStyle w:val="Bullet1"/>
      </w:pPr>
      <w:r>
        <w:t>A</w:t>
      </w:r>
      <w:r w:rsidR="006B31D2" w:rsidRPr="001F014C">
        <w:t xml:space="preserve">pply only by </w:t>
      </w:r>
      <w:r w:rsidR="003045A3" w:rsidRPr="001F014C">
        <w:t>Bickley boom</w:t>
      </w:r>
    </w:p>
    <w:p w14:paraId="19A0838C" w14:textId="18CC2E09" w:rsidR="006B31D2" w:rsidRPr="001F014C" w:rsidRDefault="00CC1E20" w:rsidP="00B10D09">
      <w:pPr>
        <w:pStyle w:val="Bullet1"/>
      </w:pPr>
      <w:r>
        <w:t>T</w:t>
      </w:r>
      <w:r w:rsidR="006B31D2" w:rsidRPr="001F014C">
        <w:t>he release height is not greater than 3</w:t>
      </w:r>
      <w:r w:rsidR="00B10D09">
        <w:rPr>
          <w:rFonts w:eastAsia="Times"/>
        </w:rPr>
        <w:t> </w:t>
      </w:r>
      <w:r w:rsidR="006B31D2" w:rsidRPr="001F014C">
        <w:t>m or 25% of wingspan above the ground whichever is the greatest</w:t>
      </w:r>
    </w:p>
    <w:p w14:paraId="04B8900A" w14:textId="16693B70" w:rsidR="006B31D2" w:rsidRPr="001F014C" w:rsidRDefault="00CC1E20" w:rsidP="00CC1E20">
      <w:pPr>
        <w:pStyle w:val="Bullet1"/>
      </w:pPr>
      <w:r>
        <w:t>M</w:t>
      </w:r>
      <w:r w:rsidR="006B31D2" w:rsidRPr="001F014C">
        <w:t>inimum distances between the application site and downwind sensitive areas (see ‘Mandatory buffer zones’ section of the following table titled ‘Buffer zones for fixed</w:t>
      </w:r>
      <w:r w:rsidR="00656F27">
        <w:t xml:space="preserve"> </w:t>
      </w:r>
      <w:r w:rsidR="006B31D2" w:rsidRPr="001F014C">
        <w:t xml:space="preserve">wing aircraft using </w:t>
      </w:r>
      <w:r w:rsidR="00711AFF" w:rsidRPr="001F014C">
        <w:t xml:space="preserve">Bickley </w:t>
      </w:r>
      <w:r w:rsidR="00B671A7" w:rsidRPr="001F014C">
        <w:t>b</w:t>
      </w:r>
      <w:r w:rsidR="00711AFF" w:rsidRPr="001F014C">
        <w:t>oom</w:t>
      </w:r>
      <w:r w:rsidR="006B31D2" w:rsidRPr="001F014C">
        <w:t>) are observed</w:t>
      </w:r>
      <w:r>
        <w:br w:type="page"/>
      </w:r>
    </w:p>
    <w:tbl>
      <w:tblPr>
        <w:tblpPr w:leftFromText="180" w:rightFromText="180" w:vertAnchor="text"/>
        <w:tblW w:w="5000" w:type="pct"/>
        <w:tblCellMar>
          <w:left w:w="0" w:type="dxa"/>
          <w:right w:w="0" w:type="dxa"/>
        </w:tblCellMar>
        <w:tblLook w:val="04A0" w:firstRow="1" w:lastRow="0" w:firstColumn="1" w:lastColumn="0" w:noHBand="0" w:noVBand="1"/>
      </w:tblPr>
      <w:tblGrid>
        <w:gridCol w:w="1694"/>
        <w:gridCol w:w="1979"/>
        <w:gridCol w:w="1981"/>
        <w:gridCol w:w="1981"/>
        <w:gridCol w:w="1983"/>
      </w:tblGrid>
      <w:tr w:rsidR="006B31D2" w14:paraId="62FE5D10" w14:textId="77777777" w:rsidTr="00B10D09">
        <w:trPr>
          <w:trHeight w:val="300"/>
        </w:trPr>
        <w:tc>
          <w:tcPr>
            <w:tcW w:w="5000" w:type="pct"/>
            <w:gridSpan w:val="5"/>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66E5D4E" w14:textId="5373E00D" w:rsidR="006B31D2" w:rsidRPr="006A6B20" w:rsidRDefault="006B31D2" w:rsidP="006A6B20">
            <w:pPr>
              <w:pStyle w:val="APVMAText"/>
            </w:pPr>
            <w:r w:rsidRPr="006A6B20">
              <w:t>Buffer zones for fixed</w:t>
            </w:r>
            <w:r w:rsidR="00656F27" w:rsidRPr="006A6B20">
              <w:t xml:space="preserve"> </w:t>
            </w:r>
            <w:r w:rsidRPr="006A6B20">
              <w:t xml:space="preserve">wing aircraft using </w:t>
            </w:r>
            <w:r w:rsidR="003045A3" w:rsidRPr="006A6B20">
              <w:t>Bickley boom</w:t>
            </w:r>
          </w:p>
        </w:tc>
      </w:tr>
      <w:tr w:rsidR="006B31D2" w14:paraId="53905E3E" w14:textId="77777777" w:rsidTr="00B10D09">
        <w:trPr>
          <w:trHeight w:val="510"/>
        </w:trPr>
        <w:tc>
          <w:tcPr>
            <w:tcW w:w="88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34525F3" w14:textId="77777777" w:rsidR="006B31D2" w:rsidRPr="006A6B20" w:rsidRDefault="006B31D2" w:rsidP="006A6B20">
            <w:pPr>
              <w:pStyle w:val="APVMAText"/>
            </w:pPr>
            <w:r w:rsidRPr="006A6B20">
              <w:t xml:space="preserve">Application Rate </w:t>
            </w:r>
          </w:p>
        </w:tc>
        <w:tc>
          <w:tcPr>
            <w:tcW w:w="4120" w:type="pct"/>
            <w:gridSpan w:val="4"/>
            <w:tcBorders>
              <w:top w:val="single" w:sz="4" w:space="0" w:color="auto"/>
              <w:left w:val="single" w:sz="4" w:space="0" w:color="auto"/>
              <w:bottom w:val="single" w:sz="4" w:space="0" w:color="auto"/>
              <w:right w:val="single" w:sz="4" w:space="0" w:color="auto"/>
            </w:tcBorders>
          </w:tcPr>
          <w:p w14:paraId="1ECDADC7" w14:textId="77777777" w:rsidR="006B31D2" w:rsidRPr="006A6B20" w:rsidRDefault="006B31D2" w:rsidP="006A6B20">
            <w:pPr>
              <w:pStyle w:val="APVMAText"/>
            </w:pPr>
            <w:r w:rsidRPr="006A6B20">
              <w:t>Mandatory downwind buffer zones</w:t>
            </w:r>
          </w:p>
        </w:tc>
      </w:tr>
      <w:tr w:rsidR="006B31D2" w14:paraId="7CB42F67" w14:textId="77777777" w:rsidTr="00B10D09">
        <w:trPr>
          <w:trHeight w:val="510"/>
        </w:trPr>
        <w:tc>
          <w:tcPr>
            <w:tcW w:w="880" w:type="pct"/>
            <w:vMerge/>
            <w:tcBorders>
              <w:left w:val="single" w:sz="4" w:space="0" w:color="auto"/>
              <w:bottom w:val="single" w:sz="4" w:space="0" w:color="auto"/>
              <w:right w:val="single" w:sz="4" w:space="0" w:color="auto"/>
            </w:tcBorders>
            <w:tcMar>
              <w:top w:w="0" w:type="dxa"/>
              <w:left w:w="108" w:type="dxa"/>
              <w:bottom w:w="0" w:type="dxa"/>
              <w:right w:w="108" w:type="dxa"/>
            </w:tcMar>
            <w:hideMark/>
          </w:tcPr>
          <w:p w14:paraId="647C5E24" w14:textId="77777777" w:rsidR="006B31D2" w:rsidRPr="006A6B20" w:rsidRDefault="006B31D2" w:rsidP="006A6B20">
            <w:pPr>
              <w:pStyle w:val="APVMAText"/>
            </w:pPr>
          </w:p>
        </w:tc>
        <w:tc>
          <w:tcPr>
            <w:tcW w:w="1029" w:type="pct"/>
            <w:tcBorders>
              <w:top w:val="single" w:sz="4" w:space="0" w:color="auto"/>
              <w:left w:val="single" w:sz="4" w:space="0" w:color="auto"/>
              <w:bottom w:val="single" w:sz="4" w:space="0" w:color="auto"/>
              <w:right w:val="single" w:sz="4" w:space="0" w:color="auto"/>
            </w:tcBorders>
          </w:tcPr>
          <w:p w14:paraId="12348151" w14:textId="77777777" w:rsidR="006B31D2" w:rsidRPr="006A6B20" w:rsidRDefault="006B31D2" w:rsidP="006A6B20">
            <w:pPr>
              <w:pStyle w:val="APVMAText"/>
            </w:pPr>
            <w:r w:rsidRPr="006A6B20">
              <w:t>Bystander areas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1CC08" w14:textId="77777777" w:rsidR="006B31D2" w:rsidRPr="006A6B20" w:rsidRDefault="006B31D2" w:rsidP="006A6B20">
            <w:pPr>
              <w:pStyle w:val="APVMAText"/>
            </w:pPr>
            <w:r w:rsidRPr="006A6B20">
              <w:t>Natural aquatic areas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D0CF2" w14:textId="77777777" w:rsidR="006B31D2" w:rsidRPr="006A6B20" w:rsidRDefault="006B31D2" w:rsidP="006A6B20">
            <w:pPr>
              <w:pStyle w:val="APVMAText"/>
            </w:pPr>
            <w:r w:rsidRPr="006A6B20">
              <w:t>Pollinator areas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6890B" w14:textId="77777777" w:rsidR="006B31D2" w:rsidRPr="006A6B20" w:rsidRDefault="006B31D2" w:rsidP="006A6B20">
            <w:pPr>
              <w:pStyle w:val="APVMAText"/>
            </w:pPr>
            <w:r w:rsidRPr="006A6B20">
              <w:t>Vegetation areas</w:t>
            </w:r>
          </w:p>
        </w:tc>
      </w:tr>
      <w:tr w:rsidR="006B31D2" w14:paraId="1B5AF4F9" w14:textId="77777777" w:rsidTr="00B10D09">
        <w:trPr>
          <w:trHeight w:val="544"/>
        </w:trPr>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B7C67" w14:textId="5BA9E8A4" w:rsidR="006B31D2" w:rsidRPr="006A6B20" w:rsidRDefault="006B31D2" w:rsidP="006A6B20">
            <w:pPr>
              <w:pStyle w:val="APVMAText"/>
            </w:pPr>
            <w:r w:rsidRPr="006A6B20">
              <w:rPr>
                <w:rFonts w:eastAsia="Times"/>
              </w:rPr>
              <w:t>2.5</w:t>
            </w:r>
            <w:r w:rsidR="00B10D09" w:rsidRPr="006A6B20">
              <w:rPr>
                <w:rFonts w:eastAsia="Times"/>
              </w:rPr>
              <w:t> </w:t>
            </w:r>
            <w:r w:rsidRPr="006A6B20">
              <w:rPr>
                <w:rFonts w:eastAsia="Times"/>
              </w:rPr>
              <w:t>L in minimum 10L/ha water</w:t>
            </w:r>
          </w:p>
        </w:tc>
        <w:tc>
          <w:tcPr>
            <w:tcW w:w="1029" w:type="pct"/>
            <w:tcBorders>
              <w:top w:val="single" w:sz="4" w:space="0" w:color="auto"/>
              <w:left w:val="single" w:sz="4" w:space="0" w:color="auto"/>
              <w:bottom w:val="single" w:sz="4" w:space="0" w:color="auto"/>
              <w:right w:val="single" w:sz="4" w:space="0" w:color="auto"/>
            </w:tcBorders>
          </w:tcPr>
          <w:p w14:paraId="2D304A2B" w14:textId="77777777" w:rsidR="006B31D2" w:rsidRPr="006A6B20" w:rsidRDefault="006B31D2" w:rsidP="006A6B20">
            <w:pPr>
              <w:pStyle w:val="APVMAText"/>
            </w:pPr>
            <w:r w:rsidRPr="006A6B20">
              <w:t>150 metres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A29CA" w14:textId="77777777" w:rsidR="006B31D2" w:rsidRPr="006A6B20" w:rsidRDefault="006B31D2" w:rsidP="006A6B20">
            <w:pPr>
              <w:pStyle w:val="APVMAText"/>
            </w:pPr>
            <w:r w:rsidRPr="006A6B20">
              <w:t>85 metres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FFE1" w14:textId="77777777" w:rsidR="006B31D2" w:rsidRPr="006A6B20" w:rsidRDefault="006B31D2" w:rsidP="006A6B20">
            <w:pPr>
              <w:pStyle w:val="APVMAText"/>
            </w:pPr>
            <w:r w:rsidRPr="006A6B20">
              <w:t>0 metres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7E1" w14:textId="77777777" w:rsidR="006B31D2" w:rsidRPr="006A6B20" w:rsidRDefault="006B31D2" w:rsidP="006A6B20">
            <w:pPr>
              <w:pStyle w:val="APVMAText"/>
            </w:pPr>
            <w:r w:rsidRPr="006A6B20">
              <w:t>30 metres</w:t>
            </w:r>
          </w:p>
        </w:tc>
      </w:tr>
      <w:tr w:rsidR="006B31D2" w14:paraId="324AB6E8" w14:textId="77777777" w:rsidTr="00B10D09">
        <w:trPr>
          <w:trHeight w:val="544"/>
        </w:trPr>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4AD08" w14:textId="204EBF29" w:rsidR="006B31D2" w:rsidRPr="006A6B20" w:rsidRDefault="006B31D2" w:rsidP="006A6B20">
            <w:pPr>
              <w:pStyle w:val="APVMAText"/>
            </w:pPr>
            <w:r w:rsidRPr="006A6B20">
              <w:rPr>
                <w:rFonts w:eastAsia="Times"/>
              </w:rPr>
              <w:t>3.75</w:t>
            </w:r>
            <w:r w:rsidR="00B10D09" w:rsidRPr="006A6B20">
              <w:rPr>
                <w:rFonts w:eastAsia="Times"/>
              </w:rPr>
              <w:t> </w:t>
            </w:r>
            <w:r w:rsidRPr="006A6B20">
              <w:rPr>
                <w:rFonts w:eastAsia="Times"/>
              </w:rPr>
              <w:t>L in minimum 10L/ha water</w:t>
            </w:r>
          </w:p>
        </w:tc>
        <w:tc>
          <w:tcPr>
            <w:tcW w:w="1029" w:type="pct"/>
            <w:tcBorders>
              <w:top w:val="single" w:sz="4" w:space="0" w:color="auto"/>
              <w:left w:val="single" w:sz="4" w:space="0" w:color="auto"/>
              <w:bottom w:val="single" w:sz="4" w:space="0" w:color="auto"/>
              <w:right w:val="single" w:sz="4" w:space="0" w:color="auto"/>
            </w:tcBorders>
          </w:tcPr>
          <w:p w14:paraId="161EC4B4" w14:textId="77777777" w:rsidR="006B31D2" w:rsidRPr="006A6B20" w:rsidRDefault="006B31D2" w:rsidP="006A6B20">
            <w:pPr>
              <w:pStyle w:val="APVMAText"/>
            </w:pPr>
            <w:r w:rsidRPr="006A6B20">
              <w:t>200 metres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CFB18" w14:textId="77777777" w:rsidR="006B31D2" w:rsidRPr="006A6B20" w:rsidRDefault="006B31D2" w:rsidP="006A6B20">
            <w:pPr>
              <w:pStyle w:val="APVMAText"/>
            </w:pPr>
            <w:r w:rsidRPr="006A6B20">
              <w:t>110 metres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9890F" w14:textId="77777777" w:rsidR="006B31D2" w:rsidRPr="006A6B20" w:rsidRDefault="006B31D2" w:rsidP="006A6B20">
            <w:pPr>
              <w:pStyle w:val="APVMAText"/>
            </w:pPr>
            <w:r w:rsidRPr="006A6B20">
              <w:t>0 metres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BC6EA" w14:textId="77777777" w:rsidR="006B31D2" w:rsidRPr="006A6B20" w:rsidRDefault="006B31D2" w:rsidP="006A6B20">
            <w:pPr>
              <w:pStyle w:val="APVMAText"/>
            </w:pPr>
            <w:r w:rsidRPr="006A6B20">
              <w:t>45 metres</w:t>
            </w:r>
          </w:p>
        </w:tc>
      </w:tr>
    </w:tbl>
    <w:p w14:paraId="7757A916" w14:textId="77777777" w:rsidR="006B31D2" w:rsidRDefault="006B31D2" w:rsidP="001F014C">
      <w:pPr>
        <w:pStyle w:val="APVMAText"/>
        <w:rPr>
          <w:rFonts w:eastAsia="Times"/>
          <w:szCs w:val="20"/>
        </w:rPr>
      </w:pPr>
    </w:p>
    <w:tbl>
      <w:tblPr>
        <w:tblStyle w:val="TableGrid"/>
        <w:tblW w:w="5000" w:type="pct"/>
        <w:tblLook w:val="04A0" w:firstRow="1" w:lastRow="0" w:firstColumn="1" w:lastColumn="0" w:noHBand="0" w:noVBand="1"/>
      </w:tblPr>
      <w:tblGrid>
        <w:gridCol w:w="1925"/>
        <w:gridCol w:w="1851"/>
        <w:gridCol w:w="919"/>
        <w:gridCol w:w="1055"/>
        <w:gridCol w:w="3878"/>
      </w:tblGrid>
      <w:tr w:rsidR="006B31D2" w14:paraId="5BDE13FC" w14:textId="77777777" w:rsidTr="001F014C">
        <w:trPr>
          <w:tblHeader/>
        </w:trPr>
        <w:tc>
          <w:tcPr>
            <w:tcW w:w="5000" w:type="pct"/>
            <w:gridSpan w:val="5"/>
          </w:tcPr>
          <w:p w14:paraId="78FEA3C7" w14:textId="77777777" w:rsidR="006B31D2" w:rsidRDefault="006B31D2" w:rsidP="00B10D09">
            <w:pPr>
              <w:pStyle w:val="APVMAText"/>
              <w:keepNext/>
              <w:keepLines/>
              <w:rPr>
                <w:rFonts w:eastAsia="Times"/>
              </w:rPr>
            </w:pPr>
            <w:r>
              <w:rPr>
                <w:rFonts w:eastAsia="Times"/>
              </w:rPr>
              <w:t>Directions for use</w:t>
            </w:r>
          </w:p>
        </w:tc>
      </w:tr>
      <w:tr w:rsidR="006B31D2" w14:paraId="4D8C1EA9" w14:textId="77777777" w:rsidTr="001F014C">
        <w:trPr>
          <w:tblHeader/>
        </w:trPr>
        <w:tc>
          <w:tcPr>
            <w:tcW w:w="1000" w:type="pct"/>
          </w:tcPr>
          <w:p w14:paraId="71B18CC6" w14:textId="77777777" w:rsidR="006B31D2" w:rsidRDefault="006B31D2" w:rsidP="001F014C">
            <w:pPr>
              <w:pStyle w:val="APVMAText"/>
              <w:rPr>
                <w:rFonts w:eastAsia="Times"/>
              </w:rPr>
            </w:pPr>
            <w:r>
              <w:rPr>
                <w:rFonts w:eastAsia="Times"/>
              </w:rPr>
              <w:t>CROP/SITUATION</w:t>
            </w:r>
          </w:p>
        </w:tc>
        <w:tc>
          <w:tcPr>
            <w:tcW w:w="961" w:type="pct"/>
          </w:tcPr>
          <w:p w14:paraId="43728D27" w14:textId="77777777" w:rsidR="006B31D2" w:rsidRDefault="006B31D2" w:rsidP="001F014C">
            <w:pPr>
              <w:pStyle w:val="APVMAText"/>
              <w:rPr>
                <w:rFonts w:eastAsia="Times"/>
              </w:rPr>
            </w:pPr>
            <w:r>
              <w:rPr>
                <w:rFonts w:eastAsia="Times"/>
              </w:rPr>
              <w:t>WEEDS CONTROLLED</w:t>
            </w:r>
          </w:p>
        </w:tc>
        <w:tc>
          <w:tcPr>
            <w:tcW w:w="477" w:type="pct"/>
          </w:tcPr>
          <w:p w14:paraId="1C9DE983" w14:textId="77777777" w:rsidR="006B31D2" w:rsidRDefault="006B31D2" w:rsidP="00B10D09">
            <w:pPr>
              <w:pStyle w:val="APVMAText"/>
              <w:keepNext/>
              <w:keepLines/>
              <w:rPr>
                <w:rFonts w:eastAsia="Times"/>
              </w:rPr>
            </w:pPr>
            <w:r>
              <w:rPr>
                <w:rFonts w:eastAsia="Times"/>
              </w:rPr>
              <w:t>STATE</w:t>
            </w:r>
          </w:p>
        </w:tc>
        <w:tc>
          <w:tcPr>
            <w:tcW w:w="548" w:type="pct"/>
          </w:tcPr>
          <w:p w14:paraId="7113FFFB" w14:textId="77777777" w:rsidR="006B31D2" w:rsidRDefault="006B31D2" w:rsidP="00B10D09">
            <w:pPr>
              <w:pStyle w:val="APVMAText"/>
              <w:keepNext/>
              <w:keepLines/>
              <w:rPr>
                <w:rFonts w:eastAsia="Times"/>
              </w:rPr>
            </w:pPr>
            <w:r>
              <w:rPr>
                <w:rFonts w:eastAsia="Times"/>
              </w:rPr>
              <w:t>RATE</w:t>
            </w:r>
          </w:p>
        </w:tc>
        <w:tc>
          <w:tcPr>
            <w:tcW w:w="2014" w:type="pct"/>
          </w:tcPr>
          <w:p w14:paraId="275045A2" w14:textId="77777777" w:rsidR="006B31D2" w:rsidRDefault="006B31D2" w:rsidP="00B10D09">
            <w:pPr>
              <w:pStyle w:val="APVMAText"/>
              <w:keepNext/>
              <w:keepLines/>
              <w:rPr>
                <w:rFonts w:eastAsia="Times"/>
              </w:rPr>
            </w:pPr>
            <w:r>
              <w:rPr>
                <w:rFonts w:eastAsia="Times"/>
              </w:rPr>
              <w:t>CRITICAL COMMENTS</w:t>
            </w:r>
          </w:p>
        </w:tc>
      </w:tr>
      <w:tr w:rsidR="006B31D2" w14:paraId="73A0393C" w14:textId="77777777" w:rsidTr="001F014C">
        <w:tc>
          <w:tcPr>
            <w:tcW w:w="1000" w:type="pct"/>
            <w:vMerge w:val="restart"/>
          </w:tcPr>
          <w:p w14:paraId="138105D3" w14:textId="77777777" w:rsidR="006B31D2" w:rsidRPr="001F014C" w:rsidRDefault="006B31D2" w:rsidP="001F014C">
            <w:pPr>
              <w:pStyle w:val="APVMAText"/>
              <w:rPr>
                <w:rFonts w:eastAsia="Times"/>
              </w:rPr>
            </w:pPr>
            <w:r w:rsidRPr="001F014C">
              <w:rPr>
                <w:rFonts w:eastAsia="Times"/>
              </w:rPr>
              <w:t>Rice – Permanent water</w:t>
            </w:r>
          </w:p>
          <w:p w14:paraId="57C92D9E" w14:textId="77777777" w:rsidR="006B31D2" w:rsidRPr="0047062E" w:rsidRDefault="006B31D2" w:rsidP="001F014C">
            <w:pPr>
              <w:pStyle w:val="APVMAText"/>
              <w:rPr>
                <w:rFonts w:eastAsia="Times"/>
              </w:rPr>
            </w:pPr>
            <w:r w:rsidRPr="001F014C">
              <w:rPr>
                <w:rFonts w:eastAsia="Times"/>
              </w:rPr>
              <w:t>Combine sown, sod sown and aerial sown rice</w:t>
            </w:r>
          </w:p>
        </w:tc>
        <w:tc>
          <w:tcPr>
            <w:tcW w:w="961" w:type="pct"/>
          </w:tcPr>
          <w:p w14:paraId="5BE7E88E" w14:textId="77777777" w:rsidR="006B31D2" w:rsidRPr="001F014C" w:rsidRDefault="006B31D2" w:rsidP="001F014C">
            <w:pPr>
              <w:pStyle w:val="APVMAText"/>
              <w:rPr>
                <w:rFonts w:eastAsia="Times"/>
              </w:rPr>
            </w:pPr>
            <w:r w:rsidRPr="001F014C">
              <w:rPr>
                <w:rFonts w:eastAsia="Times"/>
              </w:rPr>
              <w:t>Barnyard Grasses (</w:t>
            </w:r>
            <w:r w:rsidRPr="001F014C">
              <w:rPr>
                <w:rFonts w:eastAsia="Times"/>
                <w:i/>
                <w:iCs/>
              </w:rPr>
              <w:t>Echinochloa</w:t>
            </w:r>
            <w:r w:rsidRPr="001F014C">
              <w:rPr>
                <w:rFonts w:eastAsia="Times"/>
              </w:rPr>
              <w:t xml:space="preserve"> spp.)</w:t>
            </w:r>
          </w:p>
          <w:p w14:paraId="7E7B8FA1" w14:textId="77777777" w:rsidR="006B31D2" w:rsidRPr="001F014C" w:rsidRDefault="006B31D2" w:rsidP="001F014C">
            <w:pPr>
              <w:pStyle w:val="APVMAText"/>
              <w:rPr>
                <w:rFonts w:eastAsia="Times"/>
              </w:rPr>
            </w:pPr>
            <w:r w:rsidRPr="001F014C">
              <w:rPr>
                <w:rFonts w:eastAsia="Times"/>
              </w:rPr>
              <w:t>Silver top grass (</w:t>
            </w:r>
            <w:r w:rsidRPr="006A6B20">
              <w:rPr>
                <w:rFonts w:eastAsia="Times"/>
                <w:i/>
                <w:iCs/>
              </w:rPr>
              <w:t>Diplachne fusca</w:t>
            </w:r>
            <w:r w:rsidRPr="001F014C">
              <w:rPr>
                <w:rFonts w:eastAsia="Times"/>
              </w:rPr>
              <w:t>)</w:t>
            </w:r>
          </w:p>
        </w:tc>
        <w:tc>
          <w:tcPr>
            <w:tcW w:w="477" w:type="pct"/>
          </w:tcPr>
          <w:p w14:paraId="65420B4C" w14:textId="77777777" w:rsidR="006B31D2" w:rsidRPr="001F014C" w:rsidRDefault="006B31D2" w:rsidP="00B10D09">
            <w:pPr>
              <w:pStyle w:val="APVMAText"/>
              <w:keepNext/>
              <w:keepLines/>
              <w:rPr>
                <w:rFonts w:eastAsia="Times"/>
              </w:rPr>
            </w:pPr>
            <w:r w:rsidRPr="001F014C">
              <w:rPr>
                <w:rFonts w:eastAsia="Times"/>
              </w:rPr>
              <w:t>NSW only</w:t>
            </w:r>
          </w:p>
        </w:tc>
        <w:tc>
          <w:tcPr>
            <w:tcW w:w="548" w:type="pct"/>
          </w:tcPr>
          <w:p w14:paraId="31B84D89" w14:textId="4127C2AC" w:rsidR="006B31D2" w:rsidRPr="001F014C" w:rsidRDefault="006B31D2" w:rsidP="00B10D09">
            <w:pPr>
              <w:pStyle w:val="APVMAText"/>
              <w:keepNext/>
              <w:keepLines/>
              <w:rPr>
                <w:rFonts w:eastAsia="Times"/>
              </w:rPr>
            </w:pPr>
            <w:r w:rsidRPr="001F014C">
              <w:rPr>
                <w:rFonts w:eastAsia="Times"/>
              </w:rPr>
              <w:t>3.75</w:t>
            </w:r>
            <w:r w:rsidR="00B10D09">
              <w:rPr>
                <w:rFonts w:eastAsia="Times"/>
              </w:rPr>
              <w:t> </w:t>
            </w:r>
            <w:r w:rsidRPr="001F014C">
              <w:rPr>
                <w:rFonts w:eastAsia="Times"/>
              </w:rPr>
              <w:t>L in minimum 10</w:t>
            </w:r>
            <w:r w:rsidR="00B10D09">
              <w:rPr>
                <w:rFonts w:eastAsia="Times"/>
              </w:rPr>
              <w:t> </w:t>
            </w:r>
            <w:r w:rsidRPr="001F014C">
              <w:rPr>
                <w:rFonts w:eastAsia="Times"/>
              </w:rPr>
              <w:t>L/ha water</w:t>
            </w:r>
          </w:p>
        </w:tc>
        <w:tc>
          <w:tcPr>
            <w:tcW w:w="2014" w:type="pct"/>
          </w:tcPr>
          <w:p w14:paraId="06833BF7" w14:textId="035CADA2" w:rsidR="006B31D2" w:rsidRPr="001F014C" w:rsidRDefault="006B31D2" w:rsidP="00B10D09">
            <w:pPr>
              <w:pStyle w:val="APVMAText"/>
              <w:keepNext/>
              <w:keepLines/>
              <w:rPr>
                <w:rFonts w:eastAsia="Times"/>
              </w:rPr>
            </w:pPr>
            <w:r w:rsidRPr="001F014C">
              <w:rPr>
                <w:rFonts w:eastAsia="Times"/>
              </w:rPr>
              <w:t xml:space="preserve">Apply when </w:t>
            </w:r>
            <w:r w:rsidR="00656F27">
              <w:rPr>
                <w:rFonts w:eastAsia="Times"/>
              </w:rPr>
              <w:t>b</w:t>
            </w:r>
            <w:r w:rsidRPr="001F014C">
              <w:rPr>
                <w:rFonts w:eastAsia="Times"/>
              </w:rPr>
              <w:t>arnyard grass in in the 1</w:t>
            </w:r>
            <w:r w:rsidR="00656F27">
              <w:rPr>
                <w:rFonts w:eastAsia="Times"/>
              </w:rPr>
              <w:t xml:space="preserve"> to </w:t>
            </w:r>
            <w:r w:rsidRPr="001F014C">
              <w:rPr>
                <w:rFonts w:eastAsia="Times"/>
              </w:rPr>
              <w:t xml:space="preserve">4 leaf stage and </w:t>
            </w:r>
            <w:r w:rsidR="00656F27">
              <w:rPr>
                <w:rFonts w:eastAsia="Times"/>
              </w:rPr>
              <w:t>s</w:t>
            </w:r>
            <w:r w:rsidRPr="001F014C">
              <w:rPr>
                <w:rFonts w:eastAsia="Times"/>
              </w:rPr>
              <w:t xml:space="preserve">ilver top is up to the </w:t>
            </w:r>
            <w:r w:rsidR="00656F27">
              <w:rPr>
                <w:rFonts w:eastAsia="Times"/>
              </w:rPr>
              <w:t>2</w:t>
            </w:r>
            <w:r w:rsidRPr="001F014C">
              <w:rPr>
                <w:rFonts w:eastAsia="Times"/>
              </w:rPr>
              <w:t xml:space="preserve"> leaf stage. Weeds are usually 5</w:t>
            </w:r>
            <w:r w:rsidR="00656F27">
              <w:rPr>
                <w:rFonts w:eastAsia="Times"/>
              </w:rPr>
              <w:t xml:space="preserve"> to </w:t>
            </w:r>
            <w:r w:rsidRPr="001F014C">
              <w:rPr>
                <w:rFonts w:eastAsia="Times"/>
              </w:rPr>
              <w:t>10</w:t>
            </w:r>
            <w:r w:rsidR="006A6B20" w:rsidRPr="00B446FD">
              <w:t> </w:t>
            </w:r>
            <w:r w:rsidRPr="001F014C">
              <w:rPr>
                <w:rFonts w:eastAsia="Times"/>
              </w:rPr>
              <w:t>cm high. NO MORE than one</w:t>
            </w:r>
            <w:r w:rsidR="00656F27">
              <w:rPr>
                <w:rFonts w:eastAsia="Times"/>
              </w:rPr>
              <w:t xml:space="preserve"> </w:t>
            </w:r>
            <w:r w:rsidRPr="001F014C">
              <w:rPr>
                <w:rFonts w:eastAsia="Times"/>
              </w:rPr>
              <w:t>third plant bulk should be above water at spraying, nor should more than one</w:t>
            </w:r>
            <w:r w:rsidR="00656F27">
              <w:rPr>
                <w:rFonts w:eastAsia="Times"/>
              </w:rPr>
              <w:t xml:space="preserve"> </w:t>
            </w:r>
            <w:r w:rsidRPr="001F014C">
              <w:rPr>
                <w:rFonts w:eastAsia="Times"/>
              </w:rPr>
              <w:t>third of the bay be covered by these plants. DO NOT allow movement of water through bays for 2 hours before spraying. ALLOW ONLY MINIMUM water movement through bays for 3 days after application. After this time normal water coverage should be maintained. DO NOT use if excess rice and weed vegetation will impede redistribution of [the product] in water resulting in inadequate control.</w:t>
            </w:r>
          </w:p>
        </w:tc>
      </w:tr>
      <w:tr w:rsidR="006B31D2" w14:paraId="49A45A86" w14:textId="77777777" w:rsidTr="001F014C">
        <w:tc>
          <w:tcPr>
            <w:tcW w:w="1000" w:type="pct"/>
            <w:vMerge/>
          </w:tcPr>
          <w:p w14:paraId="64C0B013" w14:textId="77777777" w:rsidR="006B31D2" w:rsidRPr="0047062E" w:rsidRDefault="006B31D2" w:rsidP="001F014C">
            <w:pPr>
              <w:pStyle w:val="APVMAText"/>
              <w:rPr>
                <w:rFonts w:eastAsia="Times"/>
                <w:sz w:val="18"/>
              </w:rPr>
            </w:pPr>
          </w:p>
        </w:tc>
        <w:tc>
          <w:tcPr>
            <w:tcW w:w="961" w:type="pct"/>
          </w:tcPr>
          <w:p w14:paraId="4F2FBDB7" w14:textId="720AFBD4" w:rsidR="006B31D2" w:rsidRPr="001F014C" w:rsidRDefault="006B31D2" w:rsidP="001F014C">
            <w:pPr>
              <w:pStyle w:val="APVMAText"/>
              <w:rPr>
                <w:rFonts w:eastAsia="Times"/>
              </w:rPr>
            </w:pPr>
            <w:r w:rsidRPr="001F014C">
              <w:rPr>
                <w:rFonts w:eastAsia="Times"/>
              </w:rPr>
              <w:t>Barnyard Grasses (</w:t>
            </w:r>
            <w:r w:rsidRPr="001F014C">
              <w:rPr>
                <w:rFonts w:eastAsia="Times"/>
                <w:i/>
                <w:iCs/>
              </w:rPr>
              <w:t>Echinochloa</w:t>
            </w:r>
            <w:r w:rsidRPr="001F014C">
              <w:rPr>
                <w:rFonts w:eastAsia="Times"/>
              </w:rPr>
              <w:t xml:space="preserve"> spp.) 0</w:t>
            </w:r>
            <w:r w:rsidR="00656F27">
              <w:rPr>
                <w:rFonts w:eastAsia="Times"/>
              </w:rPr>
              <w:t xml:space="preserve"> to </w:t>
            </w:r>
            <w:r w:rsidRPr="001F014C">
              <w:rPr>
                <w:rFonts w:eastAsia="Times"/>
              </w:rPr>
              <w:t>2 leaf stage</w:t>
            </w:r>
          </w:p>
        </w:tc>
        <w:tc>
          <w:tcPr>
            <w:tcW w:w="477" w:type="pct"/>
          </w:tcPr>
          <w:p w14:paraId="758DF623" w14:textId="77777777" w:rsidR="006B31D2" w:rsidRPr="001F014C" w:rsidRDefault="006B31D2" w:rsidP="001F014C">
            <w:pPr>
              <w:pStyle w:val="APVMAText"/>
              <w:rPr>
                <w:rFonts w:eastAsia="Times"/>
              </w:rPr>
            </w:pPr>
            <w:r w:rsidRPr="001F014C">
              <w:rPr>
                <w:rFonts w:eastAsia="Times"/>
              </w:rPr>
              <w:t>NSW only</w:t>
            </w:r>
          </w:p>
        </w:tc>
        <w:tc>
          <w:tcPr>
            <w:tcW w:w="548" w:type="pct"/>
          </w:tcPr>
          <w:p w14:paraId="622882B1" w14:textId="7421D605" w:rsidR="006B31D2" w:rsidRPr="001F014C" w:rsidRDefault="006B31D2" w:rsidP="001F014C">
            <w:pPr>
              <w:pStyle w:val="APVMAText"/>
              <w:rPr>
                <w:rFonts w:eastAsia="Times"/>
              </w:rPr>
            </w:pPr>
            <w:r w:rsidRPr="001F014C">
              <w:rPr>
                <w:rFonts w:eastAsia="Times"/>
              </w:rPr>
              <w:t>2.5</w:t>
            </w:r>
            <w:r w:rsidR="00B10D09">
              <w:rPr>
                <w:rFonts w:eastAsia="Times"/>
              </w:rPr>
              <w:t> </w:t>
            </w:r>
            <w:r w:rsidRPr="001F014C">
              <w:rPr>
                <w:rFonts w:eastAsia="Times"/>
              </w:rPr>
              <w:t>L in minimum 10</w:t>
            </w:r>
            <w:r w:rsidR="00B10D09">
              <w:rPr>
                <w:rFonts w:eastAsia="Times"/>
              </w:rPr>
              <w:t> </w:t>
            </w:r>
            <w:r w:rsidRPr="001F014C">
              <w:rPr>
                <w:rFonts w:eastAsia="Times"/>
              </w:rPr>
              <w:t>L/ha water</w:t>
            </w:r>
          </w:p>
        </w:tc>
        <w:tc>
          <w:tcPr>
            <w:tcW w:w="2014" w:type="pct"/>
          </w:tcPr>
          <w:p w14:paraId="472AA262" w14:textId="157DDDE5" w:rsidR="006B31D2" w:rsidRPr="001F014C" w:rsidRDefault="006B31D2" w:rsidP="001F014C">
            <w:pPr>
              <w:pStyle w:val="APVMAText"/>
              <w:rPr>
                <w:rFonts w:eastAsia="Times"/>
              </w:rPr>
            </w:pPr>
            <w:r w:rsidRPr="001F014C">
              <w:rPr>
                <w:rFonts w:eastAsia="Times"/>
              </w:rPr>
              <w:t>Coverage of the rice field with permanent water must be maintained after spraying. Water movement to and through bays should cease 2 hours before application. Minimum water movement should be maintained for 3 days after application. After this time normal water coverage should be maintained.</w:t>
            </w:r>
          </w:p>
        </w:tc>
      </w:tr>
    </w:tbl>
    <w:p w14:paraId="070E49E8" w14:textId="77777777" w:rsidR="006B31D2" w:rsidRDefault="006B31D2" w:rsidP="001F014C">
      <w:pPr>
        <w:pStyle w:val="APVMAText"/>
        <w:rPr>
          <w:rFonts w:eastAsia="Times"/>
        </w:rPr>
        <w:sectPr w:rsidR="006B31D2">
          <w:headerReference w:type="default" r:id="rId44"/>
          <w:pgSz w:w="11906" w:h="16838" w:code="9"/>
          <w:pgMar w:top="2835" w:right="1134" w:bottom="1134" w:left="1134" w:header="1701" w:footer="680" w:gutter="0"/>
          <w:cols w:space="708"/>
          <w:docGrid w:linePitch="360"/>
        </w:sectPr>
      </w:pPr>
      <w:r>
        <w:rPr>
          <w:rFonts w:eastAsia="Times"/>
        </w:rPr>
        <w:t>NOT TO BE USED FOR ANY PURPOSE, OR IN ANY MANNER, CONTRARY TO THIS LABEL UNLESS AUTHORISED UNDER APPROPRIATE LEGISLATION.</w:t>
      </w:r>
    </w:p>
    <w:p w14:paraId="11FE14F7" w14:textId="77777777" w:rsidR="002F4591" w:rsidRDefault="002A3239" w:rsidP="002F4591">
      <w:pPr>
        <w:pStyle w:val="CoverTitle"/>
        <w:spacing w:before="7200"/>
        <w:jc w:val="center"/>
      </w:pPr>
      <w:bookmarkStart w:id="62" w:name="_Toc414373842"/>
      <w:bookmarkStart w:id="63" w:name="_Toc231963183"/>
      <w:bookmarkStart w:id="64" w:name="_Toc231963195"/>
      <w:r>
        <w:rPr>
          <w:noProof/>
          <w:lang w:eastAsia="en-AU"/>
        </w:rPr>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default" r:id="rId46"/>
          <w:footerReference w:type="default" r:id="rId47"/>
          <w:pgSz w:w="11906" w:h="16838" w:code="9"/>
          <w:pgMar w:top="2835" w:right="1134" w:bottom="1134" w:left="1134" w:header="1701" w:footer="680" w:gutter="0"/>
          <w:cols w:space="708"/>
          <w:docGrid w:linePitch="360"/>
        </w:sectPr>
      </w:pPr>
      <w:r>
        <w:t>Appendix</w:t>
      </w:r>
    </w:p>
    <w:p w14:paraId="3CE4C5F0" w14:textId="532AE014" w:rsidR="002E20AC" w:rsidRDefault="008B550C" w:rsidP="009E2AD6">
      <w:pPr>
        <w:pStyle w:val="GlossaryRefH1"/>
      </w:pPr>
      <w:bookmarkStart w:id="65" w:name="_Toc96334718"/>
      <w:bookmarkEnd w:id="62"/>
      <w:bookmarkEnd w:id="63"/>
      <w:r>
        <w:t>Acronyms and abbreviations</w:t>
      </w:r>
      <w:bookmarkEnd w:id="65"/>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14:paraId="2C49B9E9" w14:textId="77777777" w:rsidTr="008B550C">
        <w:trPr>
          <w:tblHeader/>
        </w:trPr>
        <w:tc>
          <w:tcPr>
            <w:tcW w:w="1111" w:type="pct"/>
            <w:shd w:val="clear" w:color="auto" w:fill="5C2946"/>
            <w:vAlign w:val="bottom"/>
          </w:tcPr>
          <w:p w14:paraId="2F8A4E79" w14:textId="77777777" w:rsidR="008B550C" w:rsidRDefault="008B550C" w:rsidP="008B550C">
            <w:pPr>
              <w:pStyle w:val="TableHead"/>
            </w:pPr>
            <w:r>
              <w:t>Shortened term</w:t>
            </w:r>
          </w:p>
        </w:tc>
        <w:tc>
          <w:tcPr>
            <w:tcW w:w="3889" w:type="pct"/>
            <w:shd w:val="clear" w:color="auto" w:fill="5C2946"/>
            <w:vAlign w:val="bottom"/>
          </w:tcPr>
          <w:p w14:paraId="67F139F7" w14:textId="77777777" w:rsidR="008B550C" w:rsidRDefault="008B550C" w:rsidP="008B550C">
            <w:pPr>
              <w:pStyle w:val="TableHead"/>
            </w:pPr>
            <w:r>
              <w:t>Full term</w:t>
            </w:r>
          </w:p>
        </w:tc>
      </w:tr>
      <w:tr w:rsidR="006B31D2" w14:paraId="17F5A2E8" w14:textId="77777777" w:rsidTr="002A3239">
        <w:tc>
          <w:tcPr>
            <w:tcW w:w="1111" w:type="pct"/>
          </w:tcPr>
          <w:p w14:paraId="236DD8D1" w14:textId="55275974" w:rsidR="006B31D2" w:rsidRDefault="006B31D2" w:rsidP="006B31D2">
            <w:pPr>
              <w:pStyle w:val="TableText"/>
            </w:pPr>
            <w:r>
              <w:t>ADI</w:t>
            </w:r>
          </w:p>
        </w:tc>
        <w:tc>
          <w:tcPr>
            <w:tcW w:w="3889" w:type="pct"/>
          </w:tcPr>
          <w:p w14:paraId="4823941B" w14:textId="20A71185" w:rsidR="006B31D2" w:rsidRDefault="006B31D2" w:rsidP="006B31D2">
            <w:pPr>
              <w:pStyle w:val="TableText"/>
            </w:pPr>
            <w:r>
              <w:t>Acceptable daily intake (for humans)</w:t>
            </w:r>
          </w:p>
        </w:tc>
      </w:tr>
      <w:tr w:rsidR="006B31D2" w14:paraId="2D810998" w14:textId="77777777" w:rsidTr="002A3239">
        <w:tc>
          <w:tcPr>
            <w:tcW w:w="1111" w:type="pct"/>
          </w:tcPr>
          <w:p w14:paraId="4577629E" w14:textId="44D6D8D5" w:rsidR="006B31D2" w:rsidRDefault="006B31D2" w:rsidP="006B31D2">
            <w:pPr>
              <w:pStyle w:val="TableText"/>
            </w:pPr>
            <w:r>
              <w:t>ARfD</w:t>
            </w:r>
          </w:p>
        </w:tc>
        <w:tc>
          <w:tcPr>
            <w:tcW w:w="3889" w:type="pct"/>
          </w:tcPr>
          <w:p w14:paraId="100F140E" w14:textId="353A4B8F" w:rsidR="006B31D2" w:rsidRDefault="006B31D2" w:rsidP="006B31D2">
            <w:pPr>
              <w:pStyle w:val="TableText"/>
            </w:pPr>
            <w:r>
              <w:t>Acute reference dose</w:t>
            </w:r>
          </w:p>
        </w:tc>
      </w:tr>
      <w:tr w:rsidR="006B31D2" w14:paraId="4299EB8E" w14:textId="77777777" w:rsidTr="002A3239">
        <w:tc>
          <w:tcPr>
            <w:tcW w:w="1111" w:type="pct"/>
          </w:tcPr>
          <w:p w14:paraId="4A59E203" w14:textId="7414441D" w:rsidR="006B31D2" w:rsidRDefault="006B31D2" w:rsidP="006B31D2">
            <w:pPr>
              <w:pStyle w:val="TableText"/>
            </w:pPr>
            <w:r>
              <w:t>bw</w:t>
            </w:r>
          </w:p>
        </w:tc>
        <w:tc>
          <w:tcPr>
            <w:tcW w:w="3889" w:type="pct"/>
          </w:tcPr>
          <w:p w14:paraId="7540661A" w14:textId="4885FF1A" w:rsidR="006B31D2" w:rsidRDefault="006B31D2" w:rsidP="006B31D2">
            <w:pPr>
              <w:pStyle w:val="TableText"/>
            </w:pPr>
            <w:r>
              <w:t>Bodyweight</w:t>
            </w:r>
          </w:p>
        </w:tc>
      </w:tr>
      <w:tr w:rsidR="006B31D2" w14:paraId="0D6F41D6" w14:textId="77777777" w:rsidTr="002A3239">
        <w:tc>
          <w:tcPr>
            <w:tcW w:w="1111" w:type="pct"/>
          </w:tcPr>
          <w:p w14:paraId="25EE8705" w14:textId="5798637B" w:rsidR="006B31D2" w:rsidRDefault="006B31D2" w:rsidP="006B31D2">
            <w:pPr>
              <w:pStyle w:val="TableText"/>
            </w:pPr>
            <w:r>
              <w:t>d</w:t>
            </w:r>
          </w:p>
        </w:tc>
        <w:tc>
          <w:tcPr>
            <w:tcW w:w="3889" w:type="pct"/>
          </w:tcPr>
          <w:p w14:paraId="4ABE9BE3" w14:textId="0C2D5A20" w:rsidR="006B31D2" w:rsidRDefault="006B31D2" w:rsidP="006B31D2">
            <w:pPr>
              <w:pStyle w:val="TableText"/>
            </w:pPr>
            <w:r>
              <w:t>Day</w:t>
            </w:r>
          </w:p>
        </w:tc>
      </w:tr>
      <w:tr w:rsidR="006B31D2" w14:paraId="7BB5E5AE" w14:textId="77777777" w:rsidTr="002A3239">
        <w:tc>
          <w:tcPr>
            <w:tcW w:w="1111" w:type="pct"/>
          </w:tcPr>
          <w:p w14:paraId="003D7794" w14:textId="42E73B71" w:rsidR="006B31D2" w:rsidRDefault="006B31D2" w:rsidP="006B31D2">
            <w:pPr>
              <w:pStyle w:val="TableText"/>
            </w:pPr>
            <w:r>
              <w:t>DAF</w:t>
            </w:r>
          </w:p>
        </w:tc>
        <w:tc>
          <w:tcPr>
            <w:tcW w:w="3889" w:type="pct"/>
          </w:tcPr>
          <w:p w14:paraId="51210B28" w14:textId="3BE03245" w:rsidR="006B31D2" w:rsidRDefault="006B31D2" w:rsidP="006B31D2">
            <w:pPr>
              <w:pStyle w:val="TableText"/>
            </w:pPr>
            <w:r>
              <w:t>Dermal Absorption Factor</w:t>
            </w:r>
          </w:p>
        </w:tc>
      </w:tr>
      <w:tr w:rsidR="006B31D2" w14:paraId="730BCA0F" w14:textId="77777777" w:rsidTr="002A3239">
        <w:tc>
          <w:tcPr>
            <w:tcW w:w="1111" w:type="pct"/>
          </w:tcPr>
          <w:p w14:paraId="0C393EDF" w14:textId="6DD71AC8" w:rsidR="006B31D2" w:rsidRDefault="006B31D2" w:rsidP="006B31D2">
            <w:pPr>
              <w:pStyle w:val="TableText"/>
            </w:pPr>
            <w:r>
              <w:t>FAO</w:t>
            </w:r>
          </w:p>
        </w:tc>
        <w:tc>
          <w:tcPr>
            <w:tcW w:w="3889" w:type="pct"/>
          </w:tcPr>
          <w:p w14:paraId="0B2DB1D4" w14:textId="3A9EBD17" w:rsidR="006B31D2" w:rsidRDefault="006B31D2" w:rsidP="006B31D2">
            <w:pPr>
              <w:pStyle w:val="TableText"/>
            </w:pPr>
            <w:r w:rsidRPr="00CB0A4E">
              <w:t>Food and Agriculture Organization of the United Nations</w:t>
            </w:r>
          </w:p>
        </w:tc>
      </w:tr>
      <w:tr w:rsidR="006B31D2" w14:paraId="3FBE834D" w14:textId="77777777" w:rsidTr="002A3239">
        <w:tc>
          <w:tcPr>
            <w:tcW w:w="1111" w:type="pct"/>
          </w:tcPr>
          <w:p w14:paraId="26539C8F" w14:textId="76C8F3D8" w:rsidR="006B31D2" w:rsidRDefault="006B31D2" w:rsidP="006B31D2">
            <w:pPr>
              <w:pStyle w:val="TableText"/>
            </w:pPr>
            <w:r>
              <w:t>g</w:t>
            </w:r>
          </w:p>
        </w:tc>
        <w:tc>
          <w:tcPr>
            <w:tcW w:w="3889" w:type="pct"/>
          </w:tcPr>
          <w:p w14:paraId="70A9DE35" w14:textId="163F932B" w:rsidR="006B31D2" w:rsidRDefault="006B31D2" w:rsidP="006B31D2">
            <w:pPr>
              <w:pStyle w:val="TableText"/>
            </w:pPr>
            <w:r>
              <w:t>Gram</w:t>
            </w:r>
          </w:p>
        </w:tc>
      </w:tr>
      <w:tr w:rsidR="006B31D2" w14:paraId="32052620" w14:textId="77777777" w:rsidTr="002A3239">
        <w:tc>
          <w:tcPr>
            <w:tcW w:w="1111" w:type="pct"/>
          </w:tcPr>
          <w:p w14:paraId="0ABFF81E" w14:textId="1FFD891A" w:rsidR="006B31D2" w:rsidRDefault="006B31D2" w:rsidP="006B31D2">
            <w:pPr>
              <w:pStyle w:val="TableText"/>
            </w:pPr>
            <w:r>
              <w:t>ha</w:t>
            </w:r>
          </w:p>
        </w:tc>
        <w:tc>
          <w:tcPr>
            <w:tcW w:w="3889" w:type="pct"/>
          </w:tcPr>
          <w:p w14:paraId="019E53E5" w14:textId="5C8171ED" w:rsidR="006B31D2" w:rsidRDefault="006B31D2" w:rsidP="006B31D2">
            <w:pPr>
              <w:pStyle w:val="TableText"/>
            </w:pPr>
            <w:r>
              <w:t>Hectare</w:t>
            </w:r>
          </w:p>
        </w:tc>
      </w:tr>
      <w:tr w:rsidR="006B31D2" w14:paraId="69FFBB15" w14:textId="77777777" w:rsidTr="002A3239">
        <w:tc>
          <w:tcPr>
            <w:tcW w:w="1111" w:type="pct"/>
          </w:tcPr>
          <w:p w14:paraId="0A945A5E" w14:textId="6CFC75E0" w:rsidR="006B31D2" w:rsidRDefault="006B31D2" w:rsidP="006B31D2">
            <w:pPr>
              <w:pStyle w:val="TableText"/>
            </w:pPr>
            <w:r>
              <w:t>in vitro</w:t>
            </w:r>
          </w:p>
        </w:tc>
        <w:tc>
          <w:tcPr>
            <w:tcW w:w="3889" w:type="pct"/>
          </w:tcPr>
          <w:p w14:paraId="785B84BA" w14:textId="2C42F7FB" w:rsidR="006B31D2" w:rsidRDefault="006B31D2" w:rsidP="006B31D2">
            <w:pPr>
              <w:pStyle w:val="TableText"/>
            </w:pPr>
            <w:r>
              <w:t>outside the living body and in an artificial environment</w:t>
            </w:r>
          </w:p>
        </w:tc>
      </w:tr>
      <w:tr w:rsidR="006B31D2" w14:paraId="523B089A" w14:textId="77777777" w:rsidTr="002A3239">
        <w:tc>
          <w:tcPr>
            <w:tcW w:w="1111" w:type="pct"/>
          </w:tcPr>
          <w:p w14:paraId="12B8FF41" w14:textId="2030175A" w:rsidR="006B31D2" w:rsidRDefault="006B31D2" w:rsidP="006B31D2">
            <w:pPr>
              <w:pStyle w:val="TableText"/>
            </w:pPr>
            <w:r>
              <w:t>kg</w:t>
            </w:r>
          </w:p>
        </w:tc>
        <w:tc>
          <w:tcPr>
            <w:tcW w:w="3889" w:type="pct"/>
          </w:tcPr>
          <w:p w14:paraId="5E25264C" w14:textId="6FFC8FE4" w:rsidR="006B31D2" w:rsidRDefault="006B31D2" w:rsidP="006B31D2">
            <w:pPr>
              <w:pStyle w:val="TableText"/>
            </w:pPr>
            <w:r>
              <w:t>Kilogram</w:t>
            </w:r>
          </w:p>
        </w:tc>
      </w:tr>
      <w:tr w:rsidR="006B31D2" w14:paraId="68BB6524" w14:textId="77777777" w:rsidTr="002A3239">
        <w:tc>
          <w:tcPr>
            <w:tcW w:w="1111" w:type="pct"/>
          </w:tcPr>
          <w:p w14:paraId="3DC5D15D" w14:textId="47290082" w:rsidR="006B31D2" w:rsidRDefault="006B31D2" w:rsidP="006B31D2">
            <w:pPr>
              <w:pStyle w:val="TableText"/>
            </w:pPr>
            <w:r>
              <w:t>L</w:t>
            </w:r>
          </w:p>
        </w:tc>
        <w:tc>
          <w:tcPr>
            <w:tcW w:w="3889" w:type="pct"/>
          </w:tcPr>
          <w:p w14:paraId="68FDB952" w14:textId="0B055D9C" w:rsidR="006B31D2" w:rsidRDefault="006B31D2" w:rsidP="006B31D2">
            <w:pPr>
              <w:pStyle w:val="TableText"/>
            </w:pPr>
            <w:r>
              <w:t>Litre</w:t>
            </w:r>
          </w:p>
        </w:tc>
      </w:tr>
      <w:tr w:rsidR="006B31D2" w14:paraId="7E8F109A" w14:textId="77777777" w:rsidTr="002A3239">
        <w:tc>
          <w:tcPr>
            <w:tcW w:w="1111" w:type="pct"/>
          </w:tcPr>
          <w:p w14:paraId="7823F48F" w14:textId="67E4F01A" w:rsidR="006B31D2" w:rsidRDefault="006B31D2" w:rsidP="006B31D2">
            <w:pPr>
              <w:pStyle w:val="TableText"/>
            </w:pPr>
            <w:r>
              <w:t>LD</w:t>
            </w:r>
            <w:r>
              <w:rPr>
                <w:vertAlign w:val="subscript"/>
              </w:rPr>
              <w:t>50</w:t>
            </w:r>
          </w:p>
        </w:tc>
        <w:tc>
          <w:tcPr>
            <w:tcW w:w="3889" w:type="pct"/>
          </w:tcPr>
          <w:p w14:paraId="166A1407" w14:textId="54DC0BC2" w:rsidR="006B31D2" w:rsidRDefault="006B31D2" w:rsidP="006B31D2">
            <w:pPr>
              <w:pStyle w:val="TableText"/>
            </w:pPr>
            <w:r>
              <w:t>dosage of chemical that kills 50% of the test population of organisms</w:t>
            </w:r>
          </w:p>
        </w:tc>
      </w:tr>
      <w:tr w:rsidR="006B31D2" w14:paraId="151B6809" w14:textId="77777777" w:rsidTr="002A3239">
        <w:tc>
          <w:tcPr>
            <w:tcW w:w="1111" w:type="pct"/>
          </w:tcPr>
          <w:p w14:paraId="5BDBFD13" w14:textId="5772F111" w:rsidR="006B31D2" w:rsidRDefault="006B31D2" w:rsidP="006B31D2">
            <w:pPr>
              <w:pStyle w:val="TableText"/>
            </w:pPr>
            <w:r w:rsidRPr="00B02EB2">
              <w:t>LOAEL</w:t>
            </w:r>
          </w:p>
        </w:tc>
        <w:tc>
          <w:tcPr>
            <w:tcW w:w="3889" w:type="pct"/>
          </w:tcPr>
          <w:p w14:paraId="2188B884" w14:textId="6F97042C" w:rsidR="006B31D2" w:rsidRDefault="006B31D2" w:rsidP="006B31D2">
            <w:pPr>
              <w:pStyle w:val="TableText"/>
            </w:pPr>
            <w:r>
              <w:t xml:space="preserve">Lowest </w:t>
            </w:r>
            <w:r w:rsidRPr="00B02EB2">
              <w:t>Observed Adverse Effect Level</w:t>
            </w:r>
          </w:p>
        </w:tc>
      </w:tr>
      <w:tr w:rsidR="006B31D2" w14:paraId="7E15C939" w14:textId="77777777" w:rsidTr="002A3239">
        <w:tc>
          <w:tcPr>
            <w:tcW w:w="1111" w:type="pct"/>
          </w:tcPr>
          <w:p w14:paraId="618DB8FB" w14:textId="24D59229" w:rsidR="006B31D2" w:rsidRPr="00B02EB2" w:rsidRDefault="006B31D2" w:rsidP="006B31D2">
            <w:pPr>
              <w:pStyle w:val="TableText"/>
            </w:pPr>
            <w:r>
              <w:t>mg</w:t>
            </w:r>
          </w:p>
        </w:tc>
        <w:tc>
          <w:tcPr>
            <w:tcW w:w="3889" w:type="pct"/>
          </w:tcPr>
          <w:p w14:paraId="14FE6282" w14:textId="3054EB83" w:rsidR="006B31D2" w:rsidRDefault="006B31D2" w:rsidP="006B31D2">
            <w:pPr>
              <w:pStyle w:val="TableText"/>
            </w:pPr>
            <w:r>
              <w:t>Milligram</w:t>
            </w:r>
          </w:p>
        </w:tc>
      </w:tr>
      <w:tr w:rsidR="006B31D2" w14:paraId="6E7D2D8A" w14:textId="77777777" w:rsidTr="002A3239">
        <w:tc>
          <w:tcPr>
            <w:tcW w:w="1111" w:type="pct"/>
          </w:tcPr>
          <w:p w14:paraId="335B1832" w14:textId="5348E65E" w:rsidR="006B31D2" w:rsidRDefault="006B31D2" w:rsidP="006B31D2">
            <w:pPr>
              <w:pStyle w:val="TableText"/>
            </w:pPr>
            <w:r>
              <w:t>mL</w:t>
            </w:r>
          </w:p>
        </w:tc>
        <w:tc>
          <w:tcPr>
            <w:tcW w:w="3889" w:type="pct"/>
          </w:tcPr>
          <w:p w14:paraId="48BBFA46" w14:textId="2EBA78E5" w:rsidR="006B31D2" w:rsidRDefault="006B31D2" w:rsidP="006B31D2">
            <w:pPr>
              <w:pStyle w:val="TableText"/>
            </w:pPr>
            <w:r>
              <w:t>Millilitre</w:t>
            </w:r>
          </w:p>
        </w:tc>
      </w:tr>
      <w:tr w:rsidR="006B31D2" w14:paraId="38549E97" w14:textId="77777777" w:rsidTr="002A3239">
        <w:tc>
          <w:tcPr>
            <w:tcW w:w="1111" w:type="pct"/>
          </w:tcPr>
          <w:p w14:paraId="45810BC1" w14:textId="2154DB74" w:rsidR="006B31D2" w:rsidRDefault="006B31D2" w:rsidP="006B31D2">
            <w:pPr>
              <w:pStyle w:val="TableText"/>
            </w:pPr>
            <w:r>
              <w:t>MRL</w:t>
            </w:r>
          </w:p>
        </w:tc>
        <w:tc>
          <w:tcPr>
            <w:tcW w:w="3889" w:type="pct"/>
          </w:tcPr>
          <w:p w14:paraId="02ACC029" w14:textId="4F73BE64" w:rsidR="006B31D2" w:rsidRDefault="006B31D2" w:rsidP="006B31D2">
            <w:pPr>
              <w:pStyle w:val="TableText"/>
            </w:pPr>
            <w:r>
              <w:t>Maximum Residue Limit</w:t>
            </w:r>
          </w:p>
        </w:tc>
      </w:tr>
      <w:tr w:rsidR="006B31D2" w14:paraId="231D4B19" w14:textId="77777777" w:rsidTr="002A3239">
        <w:tc>
          <w:tcPr>
            <w:tcW w:w="1111" w:type="pct"/>
          </w:tcPr>
          <w:p w14:paraId="40D0A870" w14:textId="35D6B0CF" w:rsidR="006B31D2" w:rsidRDefault="006B31D2" w:rsidP="006B31D2">
            <w:pPr>
              <w:pStyle w:val="TableText"/>
            </w:pPr>
            <w:r>
              <w:t>NEDI</w:t>
            </w:r>
          </w:p>
        </w:tc>
        <w:tc>
          <w:tcPr>
            <w:tcW w:w="3889" w:type="pct"/>
          </w:tcPr>
          <w:p w14:paraId="1FDAACA0" w14:textId="0849CDEB" w:rsidR="006B31D2" w:rsidRDefault="006B31D2" w:rsidP="006B31D2">
            <w:pPr>
              <w:pStyle w:val="TableText"/>
            </w:pPr>
            <w:r>
              <w:t>National Estimated Daily Intake</w:t>
            </w:r>
          </w:p>
        </w:tc>
      </w:tr>
      <w:tr w:rsidR="006B31D2" w14:paraId="428A0DAA" w14:textId="77777777" w:rsidTr="002A3239">
        <w:tc>
          <w:tcPr>
            <w:tcW w:w="1111" w:type="pct"/>
          </w:tcPr>
          <w:p w14:paraId="152363C2" w14:textId="453B1DE8" w:rsidR="006B31D2" w:rsidRDefault="006B31D2" w:rsidP="006B31D2">
            <w:pPr>
              <w:pStyle w:val="TableText"/>
            </w:pPr>
            <w:r>
              <w:t>NESTI</w:t>
            </w:r>
          </w:p>
        </w:tc>
        <w:tc>
          <w:tcPr>
            <w:tcW w:w="3889" w:type="pct"/>
          </w:tcPr>
          <w:p w14:paraId="09B6BD55" w14:textId="07F71D62" w:rsidR="006B31D2" w:rsidRDefault="006B31D2" w:rsidP="006B31D2">
            <w:pPr>
              <w:pStyle w:val="TableText"/>
            </w:pPr>
            <w:r>
              <w:t>National Estimated Short Term Intake</w:t>
            </w:r>
          </w:p>
        </w:tc>
      </w:tr>
      <w:tr w:rsidR="006B31D2" w14:paraId="7009F6DD" w14:textId="77777777" w:rsidTr="002A3239">
        <w:tc>
          <w:tcPr>
            <w:tcW w:w="1111" w:type="pct"/>
          </w:tcPr>
          <w:p w14:paraId="1A5D7CD9" w14:textId="49507631" w:rsidR="006B31D2" w:rsidRDefault="006B31D2" w:rsidP="006B31D2">
            <w:pPr>
              <w:pStyle w:val="TableText"/>
            </w:pPr>
            <w:r>
              <w:t>NOEC/NOEL</w:t>
            </w:r>
          </w:p>
        </w:tc>
        <w:tc>
          <w:tcPr>
            <w:tcW w:w="3889" w:type="pct"/>
          </w:tcPr>
          <w:p w14:paraId="0F8B5A0A" w14:textId="2ED32406" w:rsidR="006B31D2" w:rsidRDefault="006B31D2" w:rsidP="006B31D2">
            <w:pPr>
              <w:pStyle w:val="TableText"/>
            </w:pPr>
            <w:r>
              <w:t>No Observable Effect Concentration Level</w:t>
            </w:r>
          </w:p>
        </w:tc>
      </w:tr>
      <w:tr w:rsidR="006B31D2" w14:paraId="56A64025" w14:textId="77777777" w:rsidTr="002A3239">
        <w:tc>
          <w:tcPr>
            <w:tcW w:w="1111" w:type="pct"/>
          </w:tcPr>
          <w:p w14:paraId="39C5E108" w14:textId="42F7B35E" w:rsidR="006B31D2" w:rsidRDefault="006B31D2" w:rsidP="006B31D2">
            <w:pPr>
              <w:pStyle w:val="TableText"/>
            </w:pPr>
            <w:r>
              <w:t>NOAEL</w:t>
            </w:r>
          </w:p>
        </w:tc>
        <w:tc>
          <w:tcPr>
            <w:tcW w:w="3889" w:type="pct"/>
          </w:tcPr>
          <w:p w14:paraId="7756C3E6" w14:textId="33A8F484" w:rsidR="006B31D2" w:rsidRDefault="006B31D2" w:rsidP="006B31D2">
            <w:pPr>
              <w:pStyle w:val="TableText"/>
            </w:pPr>
            <w:r>
              <w:t>No Observed Adverse Effect Level</w:t>
            </w:r>
          </w:p>
        </w:tc>
      </w:tr>
      <w:tr w:rsidR="006B31D2" w14:paraId="0DF1C951" w14:textId="77777777" w:rsidTr="002A3239">
        <w:tc>
          <w:tcPr>
            <w:tcW w:w="1111" w:type="pct"/>
          </w:tcPr>
          <w:p w14:paraId="5B205FD9" w14:textId="0FC4F1DC" w:rsidR="006B31D2" w:rsidRDefault="006B31D2" w:rsidP="006B31D2">
            <w:pPr>
              <w:pStyle w:val="TableText"/>
            </w:pPr>
            <w:r>
              <w:t>OECD</w:t>
            </w:r>
          </w:p>
        </w:tc>
        <w:tc>
          <w:tcPr>
            <w:tcW w:w="3889" w:type="pct"/>
          </w:tcPr>
          <w:p w14:paraId="0409FB13" w14:textId="117F38B3" w:rsidR="006B31D2" w:rsidRDefault="006B31D2" w:rsidP="006B31D2">
            <w:pPr>
              <w:pStyle w:val="TableText"/>
            </w:pPr>
            <w:r w:rsidRPr="006D7D77">
              <w:t>Organisation for Economic Co-operation and Development</w:t>
            </w:r>
          </w:p>
        </w:tc>
      </w:tr>
      <w:tr w:rsidR="006B31D2" w14:paraId="5A7B1F0F" w14:textId="77777777" w:rsidTr="002A3239">
        <w:tc>
          <w:tcPr>
            <w:tcW w:w="1111" w:type="pct"/>
          </w:tcPr>
          <w:p w14:paraId="62FC4667" w14:textId="40636AD4" w:rsidR="006B31D2" w:rsidRDefault="006B31D2" w:rsidP="006B31D2">
            <w:pPr>
              <w:pStyle w:val="TableText"/>
            </w:pPr>
            <w:r>
              <w:t>PHED</w:t>
            </w:r>
          </w:p>
        </w:tc>
        <w:tc>
          <w:tcPr>
            <w:tcW w:w="3889" w:type="pct"/>
          </w:tcPr>
          <w:p w14:paraId="0325C174" w14:textId="41061278" w:rsidR="006B31D2" w:rsidRPr="006D7D77" w:rsidRDefault="006B31D2" w:rsidP="006B31D2">
            <w:pPr>
              <w:pStyle w:val="TableText"/>
            </w:pPr>
            <w:r w:rsidRPr="006D7D77">
              <w:t>Pesticide Handler Exposure </w:t>
            </w:r>
            <w:r w:rsidRPr="00E6548D">
              <w:rPr>
                <w:bCs/>
              </w:rPr>
              <w:t>Database</w:t>
            </w:r>
            <w:r>
              <w:t> </w:t>
            </w:r>
          </w:p>
        </w:tc>
      </w:tr>
      <w:tr w:rsidR="006B31D2" w14:paraId="335105B7" w14:textId="77777777" w:rsidTr="002A3239">
        <w:tc>
          <w:tcPr>
            <w:tcW w:w="1111" w:type="pct"/>
          </w:tcPr>
          <w:p w14:paraId="443BD0F2" w14:textId="46550FFA" w:rsidR="006B31D2" w:rsidRDefault="006B31D2" w:rsidP="006B31D2">
            <w:pPr>
              <w:pStyle w:val="TableText"/>
            </w:pPr>
            <w:r>
              <w:t>PPE</w:t>
            </w:r>
          </w:p>
        </w:tc>
        <w:tc>
          <w:tcPr>
            <w:tcW w:w="3889" w:type="pct"/>
          </w:tcPr>
          <w:p w14:paraId="45CBB7A5" w14:textId="4852C322" w:rsidR="006B31D2" w:rsidRPr="006D7D77" w:rsidRDefault="006B31D2" w:rsidP="006B31D2">
            <w:pPr>
              <w:pStyle w:val="TableText"/>
            </w:pPr>
            <w:r>
              <w:t>Personal Protective Equipment</w:t>
            </w:r>
          </w:p>
        </w:tc>
      </w:tr>
      <w:tr w:rsidR="006B31D2" w14:paraId="04C03FFE" w14:textId="77777777" w:rsidTr="002A3239">
        <w:tc>
          <w:tcPr>
            <w:tcW w:w="1111" w:type="pct"/>
          </w:tcPr>
          <w:p w14:paraId="01DBE47C" w14:textId="5E63B3A3" w:rsidR="006B31D2" w:rsidRDefault="006B31D2" w:rsidP="006B31D2">
            <w:pPr>
              <w:pStyle w:val="TableText"/>
            </w:pPr>
            <w:r>
              <w:t>ppm</w:t>
            </w:r>
          </w:p>
        </w:tc>
        <w:tc>
          <w:tcPr>
            <w:tcW w:w="3889" w:type="pct"/>
          </w:tcPr>
          <w:p w14:paraId="6BD92729" w14:textId="31EF4F2E" w:rsidR="006B31D2" w:rsidRDefault="006B31D2" w:rsidP="006B31D2">
            <w:pPr>
              <w:pStyle w:val="TableText"/>
            </w:pPr>
            <w:r>
              <w:t>parts per million</w:t>
            </w:r>
          </w:p>
        </w:tc>
      </w:tr>
      <w:tr w:rsidR="006B31D2" w14:paraId="2EBB6BB7" w14:textId="77777777" w:rsidTr="002A3239">
        <w:tc>
          <w:tcPr>
            <w:tcW w:w="1111" w:type="pct"/>
          </w:tcPr>
          <w:p w14:paraId="73D764EA" w14:textId="672009AB" w:rsidR="006B31D2" w:rsidRDefault="006B31D2" w:rsidP="006B31D2">
            <w:pPr>
              <w:pStyle w:val="TableText"/>
            </w:pPr>
            <w:r>
              <w:rPr>
                <w:bCs/>
              </w:rPr>
              <w:t>µ</w:t>
            </w:r>
            <w:r>
              <w:t>g</w:t>
            </w:r>
          </w:p>
        </w:tc>
        <w:tc>
          <w:tcPr>
            <w:tcW w:w="3889" w:type="pct"/>
          </w:tcPr>
          <w:p w14:paraId="294748AA" w14:textId="531FDC2E" w:rsidR="006B31D2" w:rsidRDefault="006B31D2" w:rsidP="006B31D2">
            <w:pPr>
              <w:pStyle w:val="TableText"/>
            </w:pPr>
            <w:r>
              <w:t>Microgram</w:t>
            </w:r>
          </w:p>
        </w:tc>
      </w:tr>
    </w:tbl>
    <w:p w14:paraId="517CEFC3" w14:textId="77777777" w:rsidR="009D452E" w:rsidRDefault="009D452E">
      <w:pPr>
        <w:pStyle w:val="NormalText"/>
        <w:tabs>
          <w:tab w:val="left" w:pos="1361"/>
        </w:tabs>
        <w:sectPr w:rsidR="009D452E">
          <w:headerReference w:type="even" r:id="rId48"/>
          <w:headerReference w:type="default" r:id="rId49"/>
          <w:pgSz w:w="11906" w:h="16838" w:code="9"/>
          <w:pgMar w:top="2835" w:right="1134" w:bottom="1134" w:left="1134" w:header="1701" w:footer="680" w:gutter="0"/>
          <w:cols w:space="708"/>
          <w:docGrid w:linePitch="360"/>
        </w:sectPr>
      </w:pPr>
    </w:p>
    <w:p w14:paraId="26E1F57C" w14:textId="77777777" w:rsidR="009D452E" w:rsidRDefault="002E20AC" w:rsidP="00FB0015">
      <w:pPr>
        <w:pStyle w:val="GlossaryRefH1"/>
      </w:pPr>
      <w:bookmarkStart w:id="66" w:name="_Toc231963196"/>
      <w:bookmarkStart w:id="67" w:name="_Toc414373850"/>
      <w:bookmarkStart w:id="68" w:name="_Toc96334719"/>
      <w:bookmarkEnd w:id="64"/>
      <w:r>
        <w:t>Reference</w:t>
      </w:r>
      <w:bookmarkEnd w:id="66"/>
      <w:bookmarkEnd w:id="67"/>
      <w:r w:rsidR="002A3239">
        <w:t>s</w:t>
      </w:r>
      <w:bookmarkEnd w:id="68"/>
    </w:p>
    <w:p w14:paraId="00EA5BB3" w14:textId="3C691474" w:rsidR="006B31D2" w:rsidRDefault="006B31D2" w:rsidP="006A6B20">
      <w:pPr>
        <w:pStyle w:val="APVMAText"/>
      </w:pPr>
      <w:r>
        <w:t xml:space="preserve">Agrisearch (2014), </w:t>
      </w:r>
      <w:r w:rsidRPr="00461D97">
        <w:rPr>
          <w:i/>
        </w:rPr>
        <w:t>Mixer and Loader Exposure Study with Molinate</w:t>
      </w:r>
      <w:r>
        <w:t xml:space="preserve">, Eurofins Agroservices Pty Ltd, Orange, NSW, </w:t>
      </w:r>
      <w:r w:rsidRPr="009F160B">
        <w:t>Report No 140664, Sponsored by Ricegrowers’ Association of Australia, Leeton NSW (24 October 2014</w:t>
      </w:r>
      <w:r w:rsidR="001F014C" w:rsidRPr="009F160B">
        <w:t>). [</w:t>
      </w:r>
      <w:r w:rsidRPr="009F160B">
        <w:t>Ricegrowers’ Association of Australia; sub:</w:t>
      </w:r>
      <w:r w:rsidRPr="00E6548D">
        <w:t xml:space="preserve"> A193781</w:t>
      </w:r>
      <w:r w:rsidRPr="009F160B">
        <w:t>]</w:t>
      </w:r>
      <w:r>
        <w:t>.</w:t>
      </w:r>
    </w:p>
    <w:p w14:paraId="39CC8BFD" w14:textId="0E3B2AB1" w:rsidR="006B31D2" w:rsidRPr="00E6548D" w:rsidRDefault="006B31D2" w:rsidP="006A6B20">
      <w:pPr>
        <w:pStyle w:val="APVMAText"/>
        <w:rPr>
          <w:rFonts w:cs="Times New Roman"/>
        </w:rPr>
      </w:pPr>
      <w:r w:rsidRPr="00E6548D">
        <w:rPr>
          <w:rFonts w:cs="Times New Roman"/>
        </w:rPr>
        <w:t xml:space="preserve">Agrisearch (2016), </w:t>
      </w:r>
      <w:r w:rsidRPr="00E6548D">
        <w:rPr>
          <w:rFonts w:cs="Times New Roman"/>
          <w:i/>
        </w:rPr>
        <w:t>Mixer/Loader and Applicator Exposure Study with Molinate</w:t>
      </w:r>
      <w:r w:rsidR="00656F27">
        <w:rPr>
          <w:rFonts w:cs="Times New Roman"/>
          <w:i/>
        </w:rPr>
        <w:t xml:space="preserve"> – </w:t>
      </w:r>
      <w:r w:rsidRPr="00E6548D">
        <w:rPr>
          <w:rFonts w:cs="Times New Roman"/>
          <w:i/>
        </w:rPr>
        <w:t>Final Study,</w:t>
      </w:r>
      <w:r w:rsidRPr="00E6548D">
        <w:rPr>
          <w:rFonts w:cs="Times New Roman"/>
        </w:rPr>
        <w:t xml:space="preserve"> Eurofins Agroservices Pty Ltd, Orange, NSW, Report No 160639, Sponsored by Ricegrowers’ Association of Australia, Leeton NSW (Revised 24 January 2017</w:t>
      </w:r>
      <w:r w:rsidR="001F014C" w:rsidRPr="00E6548D">
        <w:rPr>
          <w:rFonts w:cs="Times New Roman"/>
        </w:rPr>
        <w:t>). [</w:t>
      </w:r>
      <w:r w:rsidRPr="00E6548D">
        <w:rPr>
          <w:rFonts w:cs="Times New Roman"/>
        </w:rPr>
        <w:t>Cropcare</w:t>
      </w:r>
      <w:r>
        <w:t xml:space="preserve"> Australiasia/Nufarm</w:t>
      </w:r>
      <w:r w:rsidRPr="00E6548D">
        <w:rPr>
          <w:rFonts w:cs="Times New Roman"/>
        </w:rPr>
        <w:t>; sub: A804750]</w:t>
      </w:r>
      <w:r>
        <w:rPr>
          <w:rFonts w:cs="Times New Roman"/>
        </w:rPr>
        <w:t>.</w:t>
      </w:r>
    </w:p>
    <w:p w14:paraId="772337F5" w14:textId="2766380D" w:rsidR="006B31D2" w:rsidRPr="00CC790D" w:rsidRDefault="006B31D2" w:rsidP="006A6B20">
      <w:pPr>
        <w:pStyle w:val="APVMAText"/>
      </w:pPr>
      <w:r w:rsidRPr="00CC790D">
        <w:t>Allen SA (1995)</w:t>
      </w:r>
      <w:r>
        <w:t>,</w:t>
      </w:r>
      <w:r w:rsidRPr="00CC790D">
        <w:t xml:space="preserve"> </w:t>
      </w:r>
      <w:r w:rsidRPr="006B31D2">
        <w:rPr>
          <w:i/>
        </w:rPr>
        <w:t>Molinate ai skin sensitisation test in the guinea pig</w:t>
      </w:r>
      <w:r>
        <w:rPr>
          <w:i/>
        </w:rPr>
        <w:t>,</w:t>
      </w:r>
      <w:r w:rsidRPr="00CC790D">
        <w:t xml:space="preserve"> Report No. OXN 139a/950097/SS. Lab: Huntington Research Centre Ltd, Huntington, Cambridgeshire, England. Sponsor: Oxon-Italia S.P.A, Pero, Milano, Italy. Unpublished [SIPCAM; sub: 12288, Vol 1 of 6]</w:t>
      </w:r>
      <w:r>
        <w:t>.</w:t>
      </w:r>
    </w:p>
    <w:p w14:paraId="1D26AF83" w14:textId="622D21DE" w:rsidR="006B31D2" w:rsidRPr="00DE7FE1" w:rsidRDefault="006B31D2" w:rsidP="006A6B20">
      <w:pPr>
        <w:pStyle w:val="APVMAText"/>
        <w:rPr>
          <w:color w:val="000000"/>
          <w:lang w:eastAsia="en-AU"/>
        </w:rPr>
      </w:pPr>
      <w:r w:rsidRPr="00BF39FD">
        <w:rPr>
          <w:color w:val="000000"/>
          <w:lang w:eastAsia="en-AU"/>
        </w:rPr>
        <w:t>ANZECC</w:t>
      </w:r>
      <w:r w:rsidRPr="00DE7FE1">
        <w:rPr>
          <w:color w:val="000000"/>
          <w:lang w:eastAsia="en-AU"/>
        </w:rPr>
        <w:t xml:space="preserve">/ARMCANZ </w:t>
      </w:r>
      <w:r>
        <w:rPr>
          <w:color w:val="000000"/>
          <w:lang w:eastAsia="en-AU"/>
        </w:rPr>
        <w:t>(</w:t>
      </w:r>
      <w:r w:rsidRPr="00DE7FE1">
        <w:rPr>
          <w:color w:val="000000"/>
          <w:lang w:eastAsia="en-AU"/>
        </w:rPr>
        <w:t>2000</w:t>
      </w:r>
      <w:r>
        <w:rPr>
          <w:color w:val="000000"/>
          <w:lang w:eastAsia="en-AU"/>
        </w:rPr>
        <w:t xml:space="preserve">), </w:t>
      </w:r>
      <w:r w:rsidRPr="00DE7FE1">
        <w:rPr>
          <w:color w:val="000000"/>
          <w:lang w:eastAsia="en-AU"/>
        </w:rPr>
        <w:t>Australian and New Zealand Environment Conservation Council and Agriculture and Resource Management Counci</w:t>
      </w:r>
      <w:r>
        <w:rPr>
          <w:color w:val="000000"/>
          <w:lang w:eastAsia="en-AU"/>
        </w:rPr>
        <w:t>l of Australia and New Zealand</w:t>
      </w:r>
      <w:r w:rsidRPr="00DE7FE1">
        <w:rPr>
          <w:color w:val="000000"/>
          <w:lang w:eastAsia="en-AU"/>
        </w:rPr>
        <w:t>, A</w:t>
      </w:r>
      <w:r w:rsidRPr="006B31D2">
        <w:rPr>
          <w:i/>
          <w:color w:val="000000"/>
          <w:lang w:eastAsia="en-AU"/>
        </w:rPr>
        <w:t>ustralian and New Zealand Guidelines for Fresh and Marine Water Quality, Volume 2, Aquatic Ecosystems</w:t>
      </w:r>
      <w:r w:rsidR="00656F27">
        <w:rPr>
          <w:rFonts w:cs="Times New Roman"/>
          <w:i/>
        </w:rPr>
        <w:t xml:space="preserve"> – </w:t>
      </w:r>
      <w:r w:rsidRPr="006B31D2">
        <w:rPr>
          <w:i/>
          <w:color w:val="000000"/>
          <w:lang w:eastAsia="en-AU"/>
        </w:rPr>
        <w:t>Rationale and Background Information (Chapter 8)</w:t>
      </w:r>
      <w:r>
        <w:rPr>
          <w:color w:val="000000"/>
          <w:lang w:eastAsia="en-AU"/>
        </w:rPr>
        <w:t>.</w:t>
      </w:r>
    </w:p>
    <w:p w14:paraId="7027F1A7" w14:textId="77777777" w:rsidR="006B31D2" w:rsidRDefault="006B31D2" w:rsidP="006A6B20">
      <w:pPr>
        <w:pStyle w:val="APVMAText"/>
      </w:pPr>
      <w:r>
        <w:t>APVMA (2004), Chemical Review Program,</w:t>
      </w:r>
      <w:r w:rsidRPr="00461D97">
        <w:rPr>
          <w:i/>
        </w:rPr>
        <w:t xml:space="preserve"> Review of the Mammalian Toxicology and Metabolism/Toxicokinetics of Molinate</w:t>
      </w:r>
      <w:r>
        <w:t>, Prepared by OCS, Department of Health &amp; Ageing, Canberra (January 2004).</w:t>
      </w:r>
    </w:p>
    <w:p w14:paraId="476E954B" w14:textId="77777777" w:rsidR="006B31D2" w:rsidRDefault="006B31D2" w:rsidP="006A6B20">
      <w:pPr>
        <w:pStyle w:val="APVMAText"/>
      </w:pPr>
      <w:r>
        <w:t xml:space="preserve">APVMA (2012), Chemical Review Program, </w:t>
      </w:r>
      <w:r w:rsidRPr="00461D97">
        <w:rPr>
          <w:i/>
        </w:rPr>
        <w:t>OHS risk assessment of the ground and aerial application of molinate</w:t>
      </w:r>
      <w:r>
        <w:t>, Prepared by OCS, Department of Health &amp; Ageing, Canberra (October 2012).</w:t>
      </w:r>
    </w:p>
    <w:p w14:paraId="78624160" w14:textId="6AC50E41" w:rsidR="006B31D2" w:rsidRDefault="006B31D2" w:rsidP="006A6B20">
      <w:pPr>
        <w:pStyle w:val="APVMAText"/>
      </w:pPr>
      <w:r>
        <w:t xml:space="preserve">APVMA (2014), </w:t>
      </w:r>
      <w:r w:rsidRPr="00461D97">
        <w:rPr>
          <w:i/>
        </w:rPr>
        <w:t xml:space="preserve">Molinate </w:t>
      </w:r>
      <w:r w:rsidR="00CC1E20" w:rsidRPr="00461D97">
        <w:rPr>
          <w:i/>
        </w:rPr>
        <w:t>preliminary review findings</w:t>
      </w:r>
      <w:r w:rsidR="00CC1E20">
        <w:rPr>
          <w:i/>
        </w:rPr>
        <w:t xml:space="preserve"> report</w:t>
      </w:r>
      <w:r w:rsidR="00CC1E20">
        <w:t>,</w:t>
      </w:r>
      <w:r>
        <w:t xml:space="preserve"> available at </w:t>
      </w:r>
      <w:hyperlink r:id="rId50" w:history="1">
        <w:r w:rsidR="00CC1E20" w:rsidRPr="003D2EF3">
          <w:rPr>
            <w:rStyle w:val="Hyperlink"/>
          </w:rPr>
          <w:t>apvma.gov.au/node/14616</w:t>
        </w:r>
      </w:hyperlink>
      <w:r w:rsidR="00CC1E20">
        <w:t>.</w:t>
      </w:r>
    </w:p>
    <w:p w14:paraId="6C72E5A0" w14:textId="6253E41D" w:rsidR="006B31D2" w:rsidRPr="006B31D2" w:rsidRDefault="006B31D2" w:rsidP="006A6B20">
      <w:pPr>
        <w:pStyle w:val="APVMAText"/>
      </w:pPr>
      <w:r w:rsidRPr="00DE7FE1">
        <w:rPr>
          <w:szCs w:val="19"/>
        </w:rPr>
        <w:t>APVMA</w:t>
      </w:r>
      <w:r>
        <w:rPr>
          <w:szCs w:val="19"/>
        </w:rPr>
        <w:t xml:space="preserve"> (2018),</w:t>
      </w:r>
      <w:r w:rsidRPr="00DE7FE1">
        <w:rPr>
          <w:szCs w:val="19"/>
        </w:rPr>
        <w:t xml:space="preserve"> </w:t>
      </w:r>
      <w:r w:rsidRPr="006B31D2">
        <w:rPr>
          <w:i/>
          <w:szCs w:val="19"/>
        </w:rPr>
        <w:t>Human Health Risk Assessment Manual</w:t>
      </w:r>
      <w:r>
        <w:rPr>
          <w:szCs w:val="19"/>
        </w:rPr>
        <w:t xml:space="preserve">, available at </w:t>
      </w:r>
      <w:hyperlink r:id="rId51" w:history="1">
        <w:r w:rsidRPr="001F014C">
          <w:rPr>
            <w:rStyle w:val="Hyperlink"/>
          </w:rPr>
          <w:t>apvma.gov.au/node/32926</w:t>
        </w:r>
      </w:hyperlink>
      <w:r w:rsidRPr="006B31D2">
        <w:t>.</w:t>
      </w:r>
    </w:p>
    <w:p w14:paraId="0EE01EBE" w14:textId="38163411" w:rsidR="006B31D2" w:rsidRPr="006B31D2" w:rsidRDefault="006B31D2" w:rsidP="006A6B20">
      <w:pPr>
        <w:pStyle w:val="APVMAText"/>
      </w:pPr>
      <w:r w:rsidRPr="00DE7FE1">
        <w:rPr>
          <w:szCs w:val="19"/>
        </w:rPr>
        <w:t xml:space="preserve">APVMA </w:t>
      </w:r>
      <w:r>
        <w:rPr>
          <w:szCs w:val="19"/>
        </w:rPr>
        <w:t xml:space="preserve">(2019a), </w:t>
      </w:r>
      <w:r w:rsidRPr="006B31D2">
        <w:rPr>
          <w:i/>
          <w:szCs w:val="19"/>
        </w:rPr>
        <w:t>Environment Risk Assessment Manual</w:t>
      </w:r>
      <w:r>
        <w:rPr>
          <w:szCs w:val="19"/>
        </w:rPr>
        <w:t>, available at</w:t>
      </w:r>
      <w:r w:rsidRPr="00DE7FE1">
        <w:rPr>
          <w:szCs w:val="19"/>
        </w:rPr>
        <w:t xml:space="preserve"> </w:t>
      </w:r>
      <w:hyperlink r:id="rId52" w:history="1">
        <w:r w:rsidRPr="001F014C">
          <w:rPr>
            <w:rStyle w:val="Hyperlink"/>
          </w:rPr>
          <w:t>apvma.gov.au/node/46416</w:t>
        </w:r>
      </w:hyperlink>
      <w:r w:rsidRPr="006B31D2">
        <w:t>.</w:t>
      </w:r>
    </w:p>
    <w:p w14:paraId="47081CFD" w14:textId="4D4934F1" w:rsidR="006B31D2" w:rsidRPr="006B31D2" w:rsidRDefault="006B31D2" w:rsidP="006A6B20">
      <w:pPr>
        <w:pStyle w:val="APVMAText"/>
      </w:pPr>
      <w:r w:rsidRPr="00DE7FE1">
        <w:rPr>
          <w:szCs w:val="19"/>
        </w:rPr>
        <w:t xml:space="preserve">APVMA </w:t>
      </w:r>
      <w:r>
        <w:rPr>
          <w:szCs w:val="19"/>
        </w:rPr>
        <w:t xml:space="preserve">(2019b), </w:t>
      </w:r>
      <w:r w:rsidRPr="006B31D2">
        <w:rPr>
          <w:i/>
          <w:szCs w:val="19"/>
        </w:rPr>
        <w:t>Residues and Trade Risk Assessment Manual</w:t>
      </w:r>
      <w:r>
        <w:rPr>
          <w:szCs w:val="19"/>
        </w:rPr>
        <w:t>, available at</w:t>
      </w:r>
      <w:r w:rsidRPr="00DE7FE1">
        <w:rPr>
          <w:szCs w:val="19"/>
        </w:rPr>
        <w:t xml:space="preserve"> </w:t>
      </w:r>
      <w:hyperlink r:id="rId53" w:history="1">
        <w:r w:rsidRPr="001F014C">
          <w:rPr>
            <w:rStyle w:val="Hyperlink"/>
          </w:rPr>
          <w:t>apvma.gov.au/node/45576</w:t>
        </w:r>
      </w:hyperlink>
      <w:r w:rsidRPr="006B31D2">
        <w:t>.</w:t>
      </w:r>
    </w:p>
    <w:p w14:paraId="1D4CF812" w14:textId="7118E080" w:rsidR="006B31D2" w:rsidRPr="006B31D2" w:rsidRDefault="006B31D2" w:rsidP="006A6B20">
      <w:pPr>
        <w:pStyle w:val="APVMAText"/>
      </w:pPr>
      <w:r w:rsidRPr="00DE7FE1">
        <w:rPr>
          <w:szCs w:val="19"/>
        </w:rPr>
        <w:t>APVMA</w:t>
      </w:r>
      <w:r>
        <w:rPr>
          <w:szCs w:val="19"/>
        </w:rPr>
        <w:t xml:space="preserve"> (2019c),</w:t>
      </w:r>
      <w:r w:rsidRPr="00DE7FE1">
        <w:rPr>
          <w:szCs w:val="19"/>
        </w:rPr>
        <w:t xml:space="preserve"> </w:t>
      </w:r>
      <w:r w:rsidRPr="006B31D2">
        <w:rPr>
          <w:i/>
          <w:szCs w:val="19"/>
        </w:rPr>
        <w:t>Chemistry and Manufacture Risk Assessment Manual</w:t>
      </w:r>
      <w:r>
        <w:rPr>
          <w:szCs w:val="19"/>
        </w:rPr>
        <w:t>, available at</w:t>
      </w:r>
      <w:r w:rsidRPr="00DE7FE1">
        <w:rPr>
          <w:szCs w:val="19"/>
        </w:rPr>
        <w:t xml:space="preserve"> </w:t>
      </w:r>
      <w:hyperlink r:id="rId54" w:history="1">
        <w:r w:rsidRPr="001F014C">
          <w:rPr>
            <w:rStyle w:val="Hyperlink"/>
          </w:rPr>
          <w:t>apvma.gov.au/node/45566</w:t>
        </w:r>
      </w:hyperlink>
      <w:r w:rsidRPr="006B31D2">
        <w:t>.</w:t>
      </w:r>
    </w:p>
    <w:p w14:paraId="2CD57C11" w14:textId="4BE29932" w:rsidR="006B31D2" w:rsidRDefault="006B31D2" w:rsidP="006A6B20">
      <w:pPr>
        <w:pStyle w:val="APVMAText"/>
        <w:rPr>
          <w:szCs w:val="19"/>
        </w:rPr>
      </w:pPr>
      <w:r w:rsidRPr="00DE7FE1">
        <w:rPr>
          <w:szCs w:val="19"/>
        </w:rPr>
        <w:t>APVMA</w:t>
      </w:r>
      <w:r>
        <w:rPr>
          <w:szCs w:val="19"/>
        </w:rPr>
        <w:t xml:space="preserve"> (2019d), </w:t>
      </w:r>
      <w:r w:rsidRPr="006B31D2">
        <w:rPr>
          <w:i/>
          <w:szCs w:val="19"/>
        </w:rPr>
        <w:t>Spray Drift Policy</w:t>
      </w:r>
      <w:r>
        <w:rPr>
          <w:szCs w:val="19"/>
        </w:rPr>
        <w:t>, available at</w:t>
      </w:r>
      <w:r w:rsidRPr="00DE7FE1">
        <w:rPr>
          <w:szCs w:val="19"/>
        </w:rPr>
        <w:t xml:space="preserve"> </w:t>
      </w:r>
      <w:hyperlink r:id="rId55" w:history="1">
        <w:r w:rsidRPr="001F014C">
          <w:rPr>
            <w:rStyle w:val="Hyperlink"/>
          </w:rPr>
          <w:t>apvma.gov.au/node/10796</w:t>
        </w:r>
      </w:hyperlink>
      <w:r>
        <w:rPr>
          <w:szCs w:val="19"/>
        </w:rPr>
        <w:t>.</w:t>
      </w:r>
    </w:p>
    <w:p w14:paraId="1505747E" w14:textId="77777777" w:rsidR="006B31D2" w:rsidRDefault="006B31D2" w:rsidP="006A6B20">
      <w:pPr>
        <w:pStyle w:val="APVMAText"/>
      </w:pPr>
      <w:r>
        <w:t xml:space="preserve">California EPA (1996), </w:t>
      </w:r>
      <w:r w:rsidRPr="006B31D2">
        <w:rPr>
          <w:i/>
        </w:rPr>
        <w:t>Molinate (Ordram) Risk Characterisation Document</w:t>
      </w:r>
      <w:r>
        <w:t xml:space="preserve">, available at </w:t>
      </w:r>
      <w:hyperlink r:id="rId56" w:history="1">
        <w:r w:rsidRPr="001F014C">
          <w:rPr>
            <w:rStyle w:val="Hyperlink"/>
          </w:rPr>
          <w:t>cdpr.ca.gov/docs/risk/rcd/molinate.pdf</w:t>
        </w:r>
      </w:hyperlink>
      <w:r w:rsidRPr="00461D97">
        <w:t>.</w:t>
      </w:r>
    </w:p>
    <w:p w14:paraId="0D52B0DC" w14:textId="4AAA747E" w:rsidR="006B31D2" w:rsidRDefault="006B31D2" w:rsidP="006A6B20">
      <w:pPr>
        <w:pStyle w:val="APVMAText"/>
        <w:rPr>
          <w:i/>
        </w:rPr>
      </w:pPr>
      <w:r>
        <w:t xml:space="preserve">Coleambally Irrigation (2016), </w:t>
      </w:r>
      <w:r w:rsidRPr="00DE7FE1">
        <w:rPr>
          <w:i/>
        </w:rPr>
        <w:t xml:space="preserve">Coleambally Irrigation </w:t>
      </w:r>
      <w:r w:rsidRPr="00031651">
        <w:rPr>
          <w:i/>
        </w:rPr>
        <w:t>Annual</w:t>
      </w:r>
      <w:r>
        <w:rPr>
          <w:i/>
        </w:rPr>
        <w:t xml:space="preserve"> Compliance Report 2016.</w:t>
      </w:r>
    </w:p>
    <w:p w14:paraId="3857AC68" w14:textId="2573A2AE" w:rsidR="006B31D2" w:rsidRPr="00FE1CB1" w:rsidRDefault="006B31D2" w:rsidP="006A6B20">
      <w:pPr>
        <w:pStyle w:val="APVMAText"/>
        <w:rPr>
          <w:i/>
        </w:rPr>
      </w:pPr>
      <w:r>
        <w:t xml:space="preserve">Coleambally Irrigation (2017), </w:t>
      </w:r>
      <w:r w:rsidRPr="00FE1CB1">
        <w:rPr>
          <w:i/>
        </w:rPr>
        <w:t xml:space="preserve">Coleambally Irrigation </w:t>
      </w:r>
      <w:r>
        <w:rPr>
          <w:i/>
        </w:rPr>
        <w:t>Annual Compliance Report 2017.</w:t>
      </w:r>
    </w:p>
    <w:p w14:paraId="167DEC5F" w14:textId="37358EEF" w:rsidR="006B31D2" w:rsidRPr="00FE1CB1" w:rsidRDefault="006B31D2" w:rsidP="006A6B20">
      <w:pPr>
        <w:pStyle w:val="APVMAText"/>
        <w:rPr>
          <w:i/>
        </w:rPr>
      </w:pPr>
      <w:r>
        <w:t xml:space="preserve">Coleambally Irrigation (2018), </w:t>
      </w:r>
      <w:r w:rsidRPr="00FE1CB1">
        <w:rPr>
          <w:i/>
        </w:rPr>
        <w:t xml:space="preserve">Coleambally Irrigation </w:t>
      </w:r>
      <w:r>
        <w:rPr>
          <w:i/>
        </w:rPr>
        <w:t>Annual Compliance Report 2018.</w:t>
      </w:r>
    </w:p>
    <w:p w14:paraId="77E1C323" w14:textId="15EAB058" w:rsidR="006B31D2" w:rsidRDefault="006B31D2" w:rsidP="006A6B20">
      <w:pPr>
        <w:pStyle w:val="APVMAText"/>
        <w:rPr>
          <w:i/>
        </w:rPr>
      </w:pPr>
      <w:r>
        <w:t xml:space="preserve">Coleambally Irrigation (2019), </w:t>
      </w:r>
      <w:r w:rsidRPr="00FE1CB1">
        <w:rPr>
          <w:i/>
        </w:rPr>
        <w:t xml:space="preserve">Coleambally Irrigation </w:t>
      </w:r>
      <w:r>
        <w:rPr>
          <w:i/>
        </w:rPr>
        <w:t>Annual Compliance Report 2019.</w:t>
      </w:r>
    </w:p>
    <w:p w14:paraId="2B08129F" w14:textId="52B66229" w:rsidR="006B31D2" w:rsidRDefault="006B31D2" w:rsidP="006A6B20">
      <w:pPr>
        <w:pStyle w:val="APVMAText"/>
      </w:pPr>
      <w:r>
        <w:t xml:space="preserve">Dickhaus S &amp; Heisler E (1979), </w:t>
      </w:r>
      <w:r w:rsidRPr="006B31D2">
        <w:rPr>
          <w:i/>
        </w:rPr>
        <w:t>Report on a preliminary study for 4 weeks for a 3 month subacute toxicity study in the species rat with molinate as feed admixture</w:t>
      </w:r>
      <w:r>
        <w:rPr>
          <w:i/>
        </w:rPr>
        <w:t>,</w:t>
      </w:r>
      <w:r>
        <w:t xml:space="preserve"> Report No. No. 2-4-175-79. Lab: Phamatox Forshung and Beratung GmbG, Hannover, Germany. Sponsor: Oxon-Italia S.P.A, Pero, Milano, Italy. Unpublished [SIPCAM; sub: 12288, Vol 2 of 6].</w:t>
      </w:r>
    </w:p>
    <w:p w14:paraId="6FBF2FCE" w14:textId="1F7D242A" w:rsidR="006B31D2" w:rsidRDefault="006B31D2" w:rsidP="006A6B20">
      <w:pPr>
        <w:pStyle w:val="APVMAText"/>
      </w:pPr>
      <w:r>
        <w:t xml:space="preserve">Dickhaus S &amp; Heisler E (1980a), </w:t>
      </w:r>
      <w:r w:rsidRPr="006B31D2">
        <w:rPr>
          <w:i/>
        </w:rPr>
        <w:t>Irritant effects of molinate on rabbit skin</w:t>
      </w:r>
      <w:r>
        <w:t>, Study No. 1-3-257-80. Lab: Phamatox Forshung and Beratung GmbG, Hannover, Germany. Sponsor: Oxon-Italia S.P.A Fine Chemicals, Pero, Milano, Italy. Unpublished [SIPCAM; sub: 12288, Vol 1 of 6].</w:t>
      </w:r>
    </w:p>
    <w:p w14:paraId="1499EE12" w14:textId="38E44CA5" w:rsidR="006B31D2" w:rsidRDefault="006B31D2" w:rsidP="006A6B20">
      <w:pPr>
        <w:pStyle w:val="APVMAText"/>
      </w:pPr>
      <w:r>
        <w:t>Dickhaus S &amp; Heisler E (1980b),</w:t>
      </w:r>
      <w:r w:rsidRPr="006B31D2">
        <w:rPr>
          <w:i/>
        </w:rPr>
        <w:t xml:space="preserve"> Irritant effects of molinate on rabbit eye</w:t>
      </w:r>
      <w:r>
        <w:t>, Study No. 1-3-258-80. Lab: Phamatox Forshung and Beratung GmbG, Hannover, Germany. Sponsor: Oxon-Italia S.P.A, Pero, Milano, Italy. Unpublished [SIPCAM; sub: 12288, Vol 1 of 6],</w:t>
      </w:r>
    </w:p>
    <w:p w14:paraId="704EE24E" w14:textId="47C7DC81" w:rsidR="006B31D2" w:rsidRDefault="006B31D2" w:rsidP="006A6B20">
      <w:pPr>
        <w:pStyle w:val="APVMAText"/>
      </w:pPr>
      <w:r>
        <w:t xml:space="preserve">Dickhaus S &amp; Heisler E (1985), </w:t>
      </w:r>
      <w:r w:rsidRPr="006B31D2">
        <w:rPr>
          <w:i/>
        </w:rPr>
        <w:t>Acute toxicological study on compound molinate technical after dermal application to the rat</w:t>
      </w:r>
      <w:r>
        <w:t>, Study No. 1-4-37-88. Lab: Phamatox Forshung and Beratung GmbG, Hannover, Germany. Sponsor: Oxon Italia, S.P.A Pero/Milano.</w:t>
      </w:r>
      <w:r>
        <w:rPr>
          <w:b/>
        </w:rPr>
        <w:t xml:space="preserve"> </w:t>
      </w:r>
      <w:r>
        <w:t>Unpublished. [SIPCAM; sub: 12288, Vol 1 of 6],</w:t>
      </w:r>
    </w:p>
    <w:p w14:paraId="1D4CCC44" w14:textId="743C272C" w:rsidR="006B31D2" w:rsidRDefault="006B31D2" w:rsidP="006A6B20">
      <w:pPr>
        <w:pStyle w:val="APVMAText"/>
      </w:pPr>
      <w:r>
        <w:t xml:space="preserve">EC (2003), </w:t>
      </w:r>
      <w:r w:rsidRPr="006B31D2">
        <w:rPr>
          <w:i/>
        </w:rPr>
        <w:t>Review Report for the active substance molinate</w:t>
      </w:r>
      <w:r>
        <w:t>, SANC0/3047/99-final 3 June 2003,</w:t>
      </w:r>
    </w:p>
    <w:p w14:paraId="2644FEFB" w14:textId="28F6D641" w:rsidR="006B31D2" w:rsidRDefault="006B31D2" w:rsidP="006A6B20">
      <w:pPr>
        <w:pStyle w:val="APVMAText"/>
      </w:pPr>
      <w:r>
        <w:t xml:space="preserve">Heisler E (1979), </w:t>
      </w:r>
      <w:r w:rsidRPr="006B31D2">
        <w:rPr>
          <w:i/>
        </w:rPr>
        <w:t>Acute toxicological study molinate after oral application in the rat</w:t>
      </w:r>
      <w:r>
        <w:t>, Study No. 1-4-175-79. Lab: Phamatox Forshung and Beratung GmbG, Hannover, Germany. Sponsor: Oxon Italia, S.P.A Pero/Milano. Unpublished. [SIPCAM; sub: 12288, Vol 1 of 6].</w:t>
      </w:r>
    </w:p>
    <w:p w14:paraId="3FF6B874" w14:textId="284DEFAC" w:rsidR="006B31D2" w:rsidRDefault="006B31D2" w:rsidP="006A6B20">
      <w:pPr>
        <w:pStyle w:val="APVMAText"/>
      </w:pPr>
      <w:r>
        <w:t xml:space="preserve">Kennelly J (1985a), </w:t>
      </w:r>
      <w:r w:rsidRPr="006B31D2">
        <w:rPr>
          <w:i/>
        </w:rPr>
        <w:t>Study to determine the ability of molinate technical to induce mutations to 6-thioguanidine resistance in mouse lymphoma L5178Y cells using a fluctuation assay</w:t>
      </w:r>
      <w:r>
        <w:t>, Study No. OXM1/ML/KF15/ML3. Lab: Microtest Research Ltd, Heslington, York, UK. Sponsor: Oxon Italia, S.P.A Pero/Milano. [SIPCAM; sub: 12288, Vol 4 of 6].</w:t>
      </w:r>
    </w:p>
    <w:p w14:paraId="770F08BD" w14:textId="728E1D2A" w:rsidR="006B31D2" w:rsidRDefault="006B31D2" w:rsidP="006A6B20">
      <w:pPr>
        <w:pStyle w:val="APVMAText"/>
      </w:pPr>
      <w:r>
        <w:t xml:space="preserve">Kennelly J (1985b), </w:t>
      </w:r>
      <w:r w:rsidRPr="006B31D2">
        <w:rPr>
          <w:i/>
        </w:rPr>
        <w:t>Study to determine the ability of molinate technical to induce unscheduled DNA synthesis (UDS) in HeLa cells</w:t>
      </w:r>
      <w:r>
        <w:t>, Study No. OXM/He/KF17/He2. Lab: Microtest Research Ltd, Heslington, York, UK. Sponsor: Oxon Italia, S.P.A Pero/Milano. [SIPCAM; sub: 12288, Vol 4 of 6].</w:t>
      </w:r>
    </w:p>
    <w:p w14:paraId="16CF2942" w14:textId="07CF296C" w:rsidR="006B31D2" w:rsidRDefault="006B31D2" w:rsidP="006A6B20">
      <w:pPr>
        <w:pStyle w:val="APVMAText"/>
      </w:pPr>
      <w:r>
        <w:t xml:space="preserve">Kirkland DJ (1985a), </w:t>
      </w:r>
      <w:r w:rsidRPr="006B31D2">
        <w:rPr>
          <w:i/>
        </w:rPr>
        <w:t>Study to evaluate the potential of molinate technical to induce sister chromatid exchange (SCE) in cultured hamster ovary (CHO) cells</w:t>
      </w:r>
      <w:r>
        <w:t>, Study No. OXN 1/SCE/KF21/SC1. Lab: Microtest Research Ltd, Heslington, York, UK. Sponsor: Oxon Italia, S.P.A Pero/Milano. [SIPCAM; sub: 12288, Vol 4 of 6].</w:t>
      </w:r>
    </w:p>
    <w:p w14:paraId="246E805A" w14:textId="5B37E71B" w:rsidR="006B31D2" w:rsidRDefault="006B31D2" w:rsidP="006A6B20">
      <w:pPr>
        <w:pStyle w:val="APVMAText"/>
        <w:rPr>
          <w:caps/>
        </w:rPr>
      </w:pPr>
      <w:r>
        <w:t xml:space="preserve">Kirkland DJ (1985b), </w:t>
      </w:r>
      <w:r w:rsidRPr="006B31D2">
        <w:rPr>
          <w:i/>
        </w:rPr>
        <w:t>Study to evaluate the potential of molinate technical to induce micronuclei in the bone marrow of treated mice</w:t>
      </w:r>
      <w:r>
        <w:t>, Study No. OXN 1/MNT/KF18/MN1. Lab: Microtest Research Ltd, Heslington, York, UK. Sponsor: Oxon Italia, S.P.A Pero/Milano. [SIPCAM; sub: 12288, Vol 4 of 6].</w:t>
      </w:r>
    </w:p>
    <w:p w14:paraId="3E3EB917" w14:textId="3723EBEC" w:rsidR="006B31D2" w:rsidRDefault="006B31D2" w:rsidP="006A6B20">
      <w:pPr>
        <w:pStyle w:val="APVMAText"/>
        <w:rPr>
          <w:i/>
        </w:rPr>
      </w:pPr>
      <w:r>
        <w:t xml:space="preserve">Murray Irrigation (2016), </w:t>
      </w:r>
      <w:r w:rsidRPr="00DE7FE1">
        <w:rPr>
          <w:i/>
        </w:rPr>
        <w:t>Murray Irrigation Annual Compliance Report 2015</w:t>
      </w:r>
      <w:r w:rsidR="001F014C">
        <w:rPr>
          <w:i/>
        </w:rPr>
        <w:t>–</w:t>
      </w:r>
      <w:r w:rsidRPr="00DE7FE1">
        <w:rPr>
          <w:i/>
        </w:rPr>
        <w:t>16</w:t>
      </w:r>
      <w:r>
        <w:rPr>
          <w:i/>
        </w:rPr>
        <w:t>.</w:t>
      </w:r>
    </w:p>
    <w:p w14:paraId="074F6A45" w14:textId="0164C424" w:rsidR="006B31D2" w:rsidRPr="00FE1CB1" w:rsidRDefault="006B31D2" w:rsidP="006A6B20">
      <w:pPr>
        <w:pStyle w:val="APVMAText"/>
      </w:pPr>
      <w:r>
        <w:t xml:space="preserve">Murray Irrigation (2017), </w:t>
      </w:r>
      <w:r w:rsidRPr="00FE1CB1">
        <w:rPr>
          <w:i/>
        </w:rPr>
        <w:t xml:space="preserve">Murray Irrigation </w:t>
      </w:r>
      <w:r>
        <w:rPr>
          <w:i/>
        </w:rPr>
        <w:t>Annual Compliance Report 2016</w:t>
      </w:r>
      <w:r w:rsidR="001F014C">
        <w:rPr>
          <w:i/>
        </w:rPr>
        <w:t>–</w:t>
      </w:r>
      <w:r>
        <w:rPr>
          <w:i/>
        </w:rPr>
        <w:t>17.</w:t>
      </w:r>
    </w:p>
    <w:p w14:paraId="0CAC946A" w14:textId="5B895911" w:rsidR="006B31D2" w:rsidRPr="00FE1CB1" w:rsidRDefault="006B31D2" w:rsidP="006A6B20">
      <w:pPr>
        <w:pStyle w:val="APVMAText"/>
      </w:pPr>
      <w:r>
        <w:t xml:space="preserve">Murray Irrigation (2018), </w:t>
      </w:r>
      <w:r w:rsidRPr="00FE1CB1">
        <w:rPr>
          <w:i/>
        </w:rPr>
        <w:t>Murray Irrigation Annual Compliance Report 201</w:t>
      </w:r>
      <w:r>
        <w:rPr>
          <w:i/>
        </w:rPr>
        <w:t>7</w:t>
      </w:r>
      <w:r w:rsidR="001F014C">
        <w:rPr>
          <w:i/>
        </w:rPr>
        <w:t>–</w:t>
      </w:r>
      <w:r w:rsidRPr="00FE1CB1">
        <w:rPr>
          <w:i/>
        </w:rPr>
        <w:t>1</w:t>
      </w:r>
      <w:r>
        <w:rPr>
          <w:i/>
        </w:rPr>
        <w:t>8.</w:t>
      </w:r>
    </w:p>
    <w:p w14:paraId="53C65496" w14:textId="649632C3" w:rsidR="006B31D2" w:rsidRDefault="006B31D2" w:rsidP="006A6B20">
      <w:pPr>
        <w:pStyle w:val="APVMAText"/>
        <w:rPr>
          <w:i/>
        </w:rPr>
      </w:pPr>
      <w:r>
        <w:t xml:space="preserve">Murray Irrigation (2019), </w:t>
      </w:r>
      <w:r w:rsidRPr="00FE1CB1">
        <w:rPr>
          <w:i/>
        </w:rPr>
        <w:t>Murray Irrigation Annual Compliance Report 201</w:t>
      </w:r>
      <w:r>
        <w:rPr>
          <w:i/>
        </w:rPr>
        <w:t>8</w:t>
      </w:r>
      <w:r w:rsidR="001F014C">
        <w:rPr>
          <w:i/>
        </w:rPr>
        <w:t>–</w:t>
      </w:r>
      <w:r>
        <w:rPr>
          <w:i/>
        </w:rPr>
        <w:t>19.</w:t>
      </w:r>
    </w:p>
    <w:p w14:paraId="7AA7F387" w14:textId="496DDF20" w:rsidR="006B31D2" w:rsidRPr="00031651" w:rsidRDefault="006B31D2" w:rsidP="006A6B20">
      <w:pPr>
        <w:pStyle w:val="APVMAText"/>
      </w:pPr>
      <w:r w:rsidRPr="00DE7FE1">
        <w:t>Murrumbidgee</w:t>
      </w:r>
      <w:r>
        <w:t xml:space="preserve"> Irrigation (2016), </w:t>
      </w:r>
      <w:r w:rsidRPr="00DE7FE1">
        <w:rPr>
          <w:i/>
        </w:rPr>
        <w:t>Murrumbidgee Irrigation</w:t>
      </w:r>
      <w:r w:rsidRPr="00031651">
        <w:rPr>
          <w:i/>
        </w:rPr>
        <w:t xml:space="preserve"> </w:t>
      </w:r>
      <w:r>
        <w:rPr>
          <w:i/>
        </w:rPr>
        <w:t>Annual Compliance Report 2016.</w:t>
      </w:r>
    </w:p>
    <w:p w14:paraId="1836779C" w14:textId="6BA8CBC1" w:rsidR="006B31D2" w:rsidRPr="00FE1CB1" w:rsidRDefault="006B31D2" w:rsidP="006A6B20">
      <w:pPr>
        <w:pStyle w:val="APVMAText"/>
      </w:pPr>
      <w:r w:rsidRPr="00FE1CB1">
        <w:t>Murrumbidgee</w:t>
      </w:r>
      <w:r>
        <w:t xml:space="preserve"> Irrigation (2017), </w:t>
      </w:r>
      <w:r w:rsidRPr="00FE1CB1">
        <w:rPr>
          <w:i/>
        </w:rPr>
        <w:t>Murrumbidgee Irrigation</w:t>
      </w:r>
      <w:r w:rsidRPr="00031651">
        <w:rPr>
          <w:i/>
        </w:rPr>
        <w:t xml:space="preserve"> </w:t>
      </w:r>
      <w:r>
        <w:rPr>
          <w:i/>
        </w:rPr>
        <w:t>Annual Compliance Report 2017.</w:t>
      </w:r>
    </w:p>
    <w:p w14:paraId="7C974EFF" w14:textId="7CD417F1" w:rsidR="006B31D2" w:rsidRPr="00FE1CB1" w:rsidRDefault="006B31D2" w:rsidP="006A6B20">
      <w:pPr>
        <w:pStyle w:val="APVMAText"/>
      </w:pPr>
      <w:r w:rsidRPr="00FE1CB1">
        <w:t>Murrumbidgee</w:t>
      </w:r>
      <w:r>
        <w:t xml:space="preserve"> Irrigation (2018), </w:t>
      </w:r>
      <w:r w:rsidRPr="00FE1CB1">
        <w:rPr>
          <w:i/>
        </w:rPr>
        <w:t>Murrumbidgee Irrigation</w:t>
      </w:r>
      <w:r w:rsidRPr="00031651">
        <w:rPr>
          <w:i/>
        </w:rPr>
        <w:t xml:space="preserve"> </w:t>
      </w:r>
      <w:r>
        <w:rPr>
          <w:i/>
        </w:rPr>
        <w:t>Annual Compliance Report 2018.</w:t>
      </w:r>
    </w:p>
    <w:p w14:paraId="53BE76BC" w14:textId="0D5C7AB6" w:rsidR="006B31D2" w:rsidRPr="00DE7FE1" w:rsidRDefault="006B31D2" w:rsidP="006A6B20">
      <w:pPr>
        <w:pStyle w:val="APVMAText"/>
      </w:pPr>
      <w:r w:rsidRPr="00DE7FE1">
        <w:t>Murrumbidgee Irrigation (2019)</w:t>
      </w:r>
      <w:r>
        <w:t>,</w:t>
      </w:r>
      <w:r w:rsidRPr="00DE7FE1">
        <w:t xml:space="preserve"> </w:t>
      </w:r>
      <w:r w:rsidRPr="00DE7FE1">
        <w:rPr>
          <w:i/>
        </w:rPr>
        <w:t>Murrumbidgee Irrigation Annual Compliance Report 2019</w:t>
      </w:r>
      <w:r>
        <w:rPr>
          <w:i/>
        </w:rPr>
        <w:t>.</w:t>
      </w:r>
    </w:p>
    <w:p w14:paraId="4CDDEBEE" w14:textId="1BC5A6F2" w:rsidR="006B31D2" w:rsidRDefault="006B31D2" w:rsidP="006A6B20">
      <w:pPr>
        <w:pStyle w:val="APVMAText"/>
        <w:rPr>
          <w:lang w:val="en"/>
        </w:rPr>
      </w:pPr>
      <w:r w:rsidRPr="0024653D">
        <w:rPr>
          <w:lang w:val="en"/>
        </w:rPr>
        <w:t>Hayes, W.J., Jr., E.R. Laws, Jr., (eds.)</w:t>
      </w:r>
      <w:r>
        <w:rPr>
          <w:lang w:val="en"/>
        </w:rPr>
        <w:t>,</w:t>
      </w:r>
      <w:r w:rsidRPr="0024653D">
        <w:rPr>
          <w:lang w:val="en"/>
        </w:rPr>
        <w:t xml:space="preserve"> </w:t>
      </w:r>
      <w:r w:rsidRPr="00461D97">
        <w:rPr>
          <w:i/>
          <w:lang w:val="en"/>
        </w:rPr>
        <w:t>Handbook of Pesticide Toxicology</w:t>
      </w:r>
      <w:r>
        <w:rPr>
          <w:lang w:val="en"/>
        </w:rPr>
        <w:t>,</w:t>
      </w:r>
      <w:r w:rsidRPr="0024653D">
        <w:rPr>
          <w:lang w:val="en"/>
        </w:rPr>
        <w:t xml:space="preserve"> Volume 3</w:t>
      </w:r>
      <w:r>
        <w:rPr>
          <w:lang w:val="en"/>
        </w:rPr>
        <w:t>,</w:t>
      </w:r>
      <w:r w:rsidRPr="0024653D">
        <w:rPr>
          <w:lang w:val="en"/>
        </w:rPr>
        <w:t xml:space="preserve"> Classes of Pesticides</w:t>
      </w:r>
      <w:r>
        <w:rPr>
          <w:lang w:val="en"/>
        </w:rPr>
        <w:t>,</w:t>
      </w:r>
      <w:r w:rsidRPr="0024653D">
        <w:rPr>
          <w:lang w:val="en"/>
        </w:rPr>
        <w:t xml:space="preserve"> New York, NY: Academic Press, Inc., 1991, p. 1348</w:t>
      </w:r>
      <w:r>
        <w:rPr>
          <w:lang w:val="en"/>
        </w:rPr>
        <w:t>.</w:t>
      </w:r>
    </w:p>
    <w:p w14:paraId="78B0D6EF" w14:textId="77777777" w:rsidR="006B31D2" w:rsidRDefault="006B31D2" w:rsidP="006A6B20">
      <w:pPr>
        <w:pStyle w:val="APVMAText"/>
      </w:pPr>
      <w:r>
        <w:t xml:space="preserve">Jewell, W.T and Miller, M.G. (1999), </w:t>
      </w:r>
      <w:r w:rsidRPr="00461D97">
        <w:rPr>
          <w:i/>
        </w:rPr>
        <w:t>Comparison of Human and Rat Metabolism of Molinate in Liver Microsomes and Slices</w:t>
      </w:r>
      <w:r>
        <w:t>, Drug Metabolism and Disposition, 27(7) 842–847.</w:t>
      </w:r>
    </w:p>
    <w:p w14:paraId="333287FC" w14:textId="77777777" w:rsidR="006B31D2" w:rsidRDefault="006B31D2" w:rsidP="006A6B20">
      <w:pPr>
        <w:pStyle w:val="APVMAText"/>
      </w:pPr>
      <w:r>
        <w:t xml:space="preserve">OCS (2006), </w:t>
      </w:r>
      <w:r w:rsidRPr="0072460E">
        <w:rPr>
          <w:i/>
        </w:rPr>
        <w:t>OHS Risk Assessment of the Ground Application of Molinate via Herbigation and SCWIIRT</w:t>
      </w:r>
      <w:r>
        <w:t>, Department of Health &amp; Ageing (April 2006).</w:t>
      </w:r>
    </w:p>
    <w:p w14:paraId="34979D73" w14:textId="77777777" w:rsidR="006B31D2" w:rsidRDefault="006B31D2" w:rsidP="006A6B20">
      <w:pPr>
        <w:pStyle w:val="APVMAText"/>
      </w:pPr>
      <w:r>
        <w:t xml:space="preserve">OECD (1997), </w:t>
      </w:r>
      <w:r w:rsidRPr="00461D97">
        <w:rPr>
          <w:i/>
        </w:rPr>
        <w:t>Guidance Document for the Conduct of Studies of Occupational Exposure to Pesticides during Agricultural Application</w:t>
      </w:r>
      <w:r>
        <w:t>, Series on Testing and Assessment No. 9. OECD/GD (97)148.</w:t>
      </w:r>
    </w:p>
    <w:p w14:paraId="37800285" w14:textId="0940A023" w:rsidR="006B31D2" w:rsidRPr="007678EF" w:rsidRDefault="006B31D2" w:rsidP="006A6B20">
      <w:pPr>
        <w:pStyle w:val="APVMAText"/>
        <w:rPr>
          <w:rFonts w:eastAsia="Arial Unicode MS"/>
        </w:rPr>
      </w:pPr>
      <w:r>
        <w:rPr>
          <w:rFonts w:eastAsia="Arial Unicode MS"/>
          <w:szCs w:val="17"/>
        </w:rPr>
        <w:t>RGA (2016),</w:t>
      </w:r>
      <w:r w:rsidRPr="00441263">
        <w:t xml:space="preserve"> </w:t>
      </w:r>
      <w:r w:rsidRPr="00DE7FE1">
        <w:rPr>
          <w:rFonts w:eastAsia="Arial Unicode MS"/>
          <w:i/>
          <w:szCs w:val="17"/>
        </w:rPr>
        <w:t xml:space="preserve">Environmental detection of molinate in the Australian rice </w:t>
      </w:r>
      <w:r w:rsidRPr="003366C6">
        <w:rPr>
          <w:rFonts w:eastAsia="Arial Unicode MS"/>
          <w:i/>
        </w:rPr>
        <w:t>industry</w:t>
      </w:r>
      <w:r w:rsidRPr="007678EF">
        <w:rPr>
          <w:rFonts w:eastAsia="Arial Unicode MS"/>
          <w:i/>
        </w:rPr>
        <w:t>: Ricegrowers’ Association of Australia report to the Australian Pesticides and Veterinary Medicines Authority</w:t>
      </w:r>
      <w:r w:rsidRPr="00E6548D">
        <w:rPr>
          <w:rFonts w:eastAsia="Arial Unicode MS"/>
        </w:rPr>
        <w:t>. [</w:t>
      </w:r>
      <w:r w:rsidRPr="009F160B">
        <w:t>Ricegrowers’ Association of Australia; Sub:</w:t>
      </w:r>
      <w:r w:rsidRPr="00E6548D">
        <w:t xml:space="preserve"> A518077</w:t>
      </w:r>
      <w:r w:rsidRPr="003366C6">
        <w:rPr>
          <w:rFonts w:eastAsia="Arial Unicode MS"/>
        </w:rPr>
        <w:t>]</w:t>
      </w:r>
      <w:r>
        <w:rPr>
          <w:rFonts w:eastAsia="Arial Unicode MS"/>
        </w:rPr>
        <w:t>.</w:t>
      </w:r>
    </w:p>
    <w:p w14:paraId="44ED7591" w14:textId="08A1CCBB" w:rsidR="006B31D2" w:rsidRDefault="006B31D2" w:rsidP="006A6B20">
      <w:pPr>
        <w:pStyle w:val="APVMAText"/>
      </w:pPr>
      <w:r>
        <w:rPr>
          <w:rFonts w:eastAsia="Arial Unicode MS"/>
          <w:szCs w:val="17"/>
        </w:rPr>
        <w:t xml:space="preserve">TUIS (1986), </w:t>
      </w:r>
      <w:r w:rsidRPr="006B31D2">
        <w:rPr>
          <w:rFonts w:eastAsia="Arial Unicode MS"/>
          <w:i/>
          <w:szCs w:val="17"/>
        </w:rPr>
        <w:t>Toxicity Unit Information System</w:t>
      </w:r>
      <w:r>
        <w:rPr>
          <w:rFonts w:eastAsia="Arial Unicode MS"/>
          <w:szCs w:val="17"/>
        </w:rPr>
        <w:t>, Report No. 7132.</w:t>
      </w:r>
    </w:p>
    <w:p w14:paraId="64C41FEE" w14:textId="77777777" w:rsidR="006B31D2" w:rsidRDefault="006B31D2" w:rsidP="006A6B20">
      <w:pPr>
        <w:pStyle w:val="APVMAText"/>
      </w:pPr>
      <w:r>
        <w:t xml:space="preserve">US EPA (1998), </w:t>
      </w:r>
      <w:r w:rsidRPr="00461D97">
        <w:rPr>
          <w:i/>
        </w:rPr>
        <w:t>PHED Surrogate Exposure Guide</w:t>
      </w:r>
      <w:r>
        <w:t>, Office of Pesticide Programs.</w:t>
      </w:r>
    </w:p>
    <w:p w14:paraId="5309C8A6" w14:textId="77777777" w:rsidR="006B31D2" w:rsidRDefault="006B31D2" w:rsidP="006A6B20">
      <w:pPr>
        <w:pStyle w:val="APVMAText"/>
      </w:pPr>
      <w:r>
        <w:t xml:space="preserve">US EPA (2001), </w:t>
      </w:r>
      <w:r w:rsidRPr="00461D97">
        <w:rPr>
          <w:i/>
        </w:rPr>
        <w:t>Revised Human Health Risk Assessment for Molinate</w:t>
      </w:r>
      <w:r>
        <w:t>.</w:t>
      </w:r>
    </w:p>
    <w:p w14:paraId="39636451" w14:textId="77777777" w:rsidR="006B31D2" w:rsidRDefault="006B31D2" w:rsidP="006A6B20">
      <w:pPr>
        <w:pStyle w:val="APVMAText"/>
      </w:pPr>
      <w:r>
        <w:t xml:space="preserve">US EPA (2006), </w:t>
      </w:r>
      <w:r w:rsidRPr="00461D97">
        <w:rPr>
          <w:i/>
        </w:rPr>
        <w:t>US EPA Toxicological Chapter</w:t>
      </w:r>
      <w:r>
        <w:t>, assessment of mammalian toxicity and metabolism of molinate, as part of a Re-Registration Eligibility Document for Molinate.</w:t>
      </w:r>
    </w:p>
    <w:p w14:paraId="45935570" w14:textId="03294C1B" w:rsidR="008B550C" w:rsidRDefault="006B31D2" w:rsidP="006A6B20">
      <w:pPr>
        <w:pStyle w:val="APVMAText"/>
      </w:pPr>
      <w:r w:rsidRPr="005876CE">
        <w:t>Worthing, C.R. and S.B. Walker</w:t>
      </w:r>
      <w:r>
        <w:t xml:space="preserve"> (eds.) (1987), </w:t>
      </w:r>
      <w:r w:rsidRPr="00461D97">
        <w:rPr>
          <w:i/>
        </w:rPr>
        <w:t>The Pesticide Manual: A World Compendium</w:t>
      </w:r>
      <w:r>
        <w:t>,</w:t>
      </w:r>
      <w:r w:rsidRPr="005876CE">
        <w:t xml:space="preserve"> 8th ed</w:t>
      </w:r>
      <w:r>
        <w:t>,</w:t>
      </w:r>
      <w:r w:rsidRPr="005876CE">
        <w:t xml:space="preserve"> Thornton Heath, UK: The British Crop P</w:t>
      </w:r>
      <w:r>
        <w:t>rotection Council, p. 57.</w:t>
      </w:r>
    </w:p>
    <w:sectPr w:rsidR="008B550C">
      <w:headerReference w:type="default" r:id="rId5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5871" w14:textId="77777777" w:rsidR="00DD5AB6" w:rsidRDefault="00DD5AB6">
      <w:r>
        <w:separator/>
      </w:r>
    </w:p>
    <w:p w14:paraId="12FCABB0" w14:textId="77777777" w:rsidR="00DD5AB6" w:rsidRDefault="00DD5AB6"/>
    <w:p w14:paraId="0253411A" w14:textId="77777777" w:rsidR="00DD5AB6" w:rsidRDefault="00DD5AB6"/>
  </w:endnote>
  <w:endnote w:type="continuationSeparator" w:id="0">
    <w:p w14:paraId="325E76AD" w14:textId="77777777" w:rsidR="00DD5AB6" w:rsidRDefault="00DD5AB6">
      <w:r>
        <w:continuationSeparator/>
      </w:r>
    </w:p>
    <w:p w14:paraId="6CFB866A" w14:textId="77777777" w:rsidR="00DD5AB6" w:rsidRDefault="00DD5AB6"/>
    <w:p w14:paraId="086079DC" w14:textId="77777777" w:rsidR="00DD5AB6" w:rsidRDefault="00DD5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8F7E" w14:textId="77777777" w:rsidR="00DA0A6A" w:rsidRDefault="00DA0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1553" w14:textId="77777777" w:rsidR="00DA0A6A" w:rsidRDefault="00DA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3570" w14:textId="77777777" w:rsidR="00DA0A6A" w:rsidRDefault="00DA0A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01C2" w14:textId="77777777" w:rsidR="00B446FD" w:rsidRPr="002A3239" w:rsidRDefault="00B446FD" w:rsidP="002A32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D45A" w14:textId="77777777" w:rsidR="00DD5AB6" w:rsidRDefault="00DD5AB6">
      <w:r>
        <w:separator/>
      </w:r>
    </w:p>
  </w:footnote>
  <w:footnote w:type="continuationSeparator" w:id="0">
    <w:p w14:paraId="5CFF9D9A" w14:textId="77777777" w:rsidR="00DD5AB6" w:rsidRDefault="00DD5AB6">
      <w:pPr>
        <w:spacing w:line="180" w:lineRule="exact"/>
      </w:pPr>
      <w:r>
        <w:continuationSeparator/>
      </w:r>
    </w:p>
    <w:p w14:paraId="554E09BD" w14:textId="77777777" w:rsidR="00DD5AB6" w:rsidRDefault="00DD5AB6"/>
    <w:p w14:paraId="2DD88DF9" w14:textId="77777777" w:rsidR="00DD5AB6" w:rsidRDefault="00DD5AB6"/>
  </w:footnote>
  <w:footnote w:type="continuationNotice" w:id="1">
    <w:p w14:paraId="7F9658D3" w14:textId="77777777" w:rsidR="00DD5AB6" w:rsidRDefault="00DD5AB6"/>
    <w:p w14:paraId="45DA8027" w14:textId="77777777" w:rsidR="00DD5AB6" w:rsidRDefault="00DD5AB6"/>
    <w:p w14:paraId="6A73286A" w14:textId="77777777" w:rsidR="00DD5AB6" w:rsidRDefault="00DD5AB6"/>
  </w:footnote>
  <w:footnote w:id="2">
    <w:p w14:paraId="09FCDA71" w14:textId="77777777" w:rsidR="00B446FD" w:rsidRPr="005F3F2B" w:rsidRDefault="00B446FD" w:rsidP="00B446FD">
      <w:pPr>
        <w:pStyle w:val="FootnoteText"/>
        <w:spacing w:before="0"/>
      </w:pPr>
      <w:r w:rsidRPr="002F3DD6">
        <w:rPr>
          <w:rStyle w:val="FootnoteReference"/>
        </w:rPr>
        <w:footnoteRef/>
      </w:r>
      <w:r w:rsidRPr="002F3DD6">
        <w:t xml:space="preserve"> </w:t>
      </w:r>
      <w:r w:rsidRPr="002F3DD6">
        <w:rPr>
          <w:i/>
        </w:rPr>
        <w:t>The Pesticide Manual</w:t>
      </w:r>
      <w:r w:rsidRPr="002F3DD6">
        <w:t>, British Crop Protection Council, 2016</w:t>
      </w:r>
    </w:p>
  </w:footnote>
  <w:footnote w:id="3">
    <w:p w14:paraId="0BB64CF2" w14:textId="26BB4DC0" w:rsidR="00B446FD" w:rsidRDefault="00B446FD" w:rsidP="00B446FD">
      <w:pPr>
        <w:pStyle w:val="FootnoteText"/>
      </w:pPr>
      <w:r>
        <w:rPr>
          <w:rStyle w:val="FootnoteReference"/>
        </w:rPr>
        <w:footnoteRef/>
      </w:r>
      <w:r>
        <w:t xml:space="preserve"> Australian Pesticides and Veterinary Medicines Authority, </w:t>
      </w:r>
      <w:hyperlink r:id="rId1" w:history="1">
        <w:r w:rsidRPr="001F014C">
          <w:rPr>
            <w:rStyle w:val="Hyperlink"/>
            <w:i/>
            <w:iCs/>
          </w:rPr>
          <w:t>Occupational health and safety (Part 6)</w:t>
        </w:r>
      </w:hyperlink>
      <w:r>
        <w:t xml:space="preserve">, paragraph </w:t>
      </w:r>
      <w:r w:rsidRPr="00A316B5">
        <w:t>2.4.1.1.</w:t>
      </w:r>
      <w:r>
        <w:t>, APVMA website, 20 July 2020.</w:t>
      </w:r>
    </w:p>
  </w:footnote>
  <w:footnote w:id="4">
    <w:p w14:paraId="2285BF4F" w14:textId="0C6587F2" w:rsidR="00915A11" w:rsidRPr="00302DB5" w:rsidRDefault="00915A11" w:rsidP="00F10530">
      <w:pPr>
        <w:autoSpaceDE w:val="0"/>
        <w:autoSpaceDN w:val="0"/>
        <w:spacing w:line="240" w:lineRule="auto"/>
        <w:rPr>
          <w:color w:val="auto"/>
        </w:rPr>
      </w:pPr>
      <w:r>
        <w:rPr>
          <w:rStyle w:val="FootnoteReference"/>
        </w:rPr>
        <w:footnoteRef/>
      </w:r>
      <w:r>
        <w:t xml:space="preserve"> </w:t>
      </w:r>
      <w:r w:rsidR="00302DB5">
        <w:t xml:space="preserve">Federal Register of Legislation, </w:t>
      </w:r>
      <w:hyperlink r:id="rId2" w:history="1">
        <w:r w:rsidRPr="001F014C">
          <w:rPr>
            <w:rStyle w:val="Hyperlink"/>
          </w:rPr>
          <w:t>Agricultural and Veterinary Chemicals Code (MRL Standard) Instrument 2019</w:t>
        </w:r>
      </w:hyperlink>
      <w:r w:rsidR="00302DB5" w:rsidRPr="00302DB5">
        <w:rPr>
          <w:rStyle w:val="Hyperlink"/>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B030" w14:textId="77777777" w:rsidR="00DA0A6A" w:rsidRDefault="00DA0A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9B87" w14:textId="56D21F3F" w:rsidR="006B31D2" w:rsidRDefault="006B31D2">
    <w:pPr>
      <w:pStyle w:val="OddHeader"/>
    </w:pPr>
    <w:r>
      <w:tab/>
      <w:t>Work health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C5A8E">
      <w:rPr>
        <w:rStyle w:val="PageNumber"/>
        <w:rFonts w:cs="Times New Roman"/>
        <w:bCs w:val="0"/>
        <w:noProof/>
        <w:szCs w:val="24"/>
      </w:rPr>
      <w:t>17</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AD41" w14:textId="684F1A85" w:rsidR="00B446FD" w:rsidRPr="006B31D2" w:rsidRDefault="00B446FD" w:rsidP="006B31D2">
    <w:pPr>
      <w:pStyle w:val="OddHeader"/>
      <w:rPr>
        <w:rFonts w:ascii="Arial" w:hAnsi="Arial"/>
        <w:color w:val="auto"/>
        <w:sz w:val="18"/>
      </w:rPr>
    </w:pPr>
    <w:r>
      <w:tab/>
    </w:r>
    <w:r w:rsidR="006B31D2" w:rsidRPr="006B31D2">
      <w:t>Environment</w:t>
    </w:r>
    <w:r w:rsidRPr="006B31D2">
      <w:tab/>
    </w:r>
    <w:r w:rsidRPr="006B31D2">
      <w:rPr>
        <w:rStyle w:val="PageNumber"/>
        <w:b w:val="0"/>
        <w:kern w:val="20"/>
      </w:rPr>
      <w:fldChar w:fldCharType="begin"/>
    </w:r>
    <w:r w:rsidRPr="006B31D2">
      <w:rPr>
        <w:rStyle w:val="PageNumber"/>
        <w:b w:val="0"/>
        <w:kern w:val="20"/>
      </w:rPr>
      <w:instrText xml:space="preserve"> PAGE </w:instrText>
    </w:r>
    <w:r w:rsidRPr="006B31D2">
      <w:rPr>
        <w:rStyle w:val="PageNumber"/>
        <w:b w:val="0"/>
        <w:kern w:val="20"/>
      </w:rPr>
      <w:fldChar w:fldCharType="separate"/>
    </w:r>
    <w:r w:rsidR="00AC5A8E">
      <w:rPr>
        <w:rStyle w:val="PageNumber"/>
        <w:b w:val="0"/>
        <w:noProof/>
        <w:kern w:val="20"/>
      </w:rPr>
      <w:t>19</w:t>
    </w:r>
    <w:r w:rsidRPr="006B31D2">
      <w:rPr>
        <w:rStyle w:val="PageNumber"/>
        <w:b w:val="0"/>
        <w:kern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0F32" w14:textId="1CBE8EA0" w:rsidR="00915A11" w:rsidRPr="006B31D2" w:rsidRDefault="00915A11" w:rsidP="006B31D2">
    <w:pPr>
      <w:pStyle w:val="OddHeader"/>
      <w:rPr>
        <w:color w:val="auto"/>
      </w:rPr>
    </w:pPr>
    <w:r>
      <w:tab/>
      <w:t>Residues and trade</w:t>
    </w:r>
    <w:r>
      <w:tab/>
    </w:r>
    <w:r w:rsidRPr="006B31D2">
      <w:rPr>
        <w:rStyle w:val="PageNumber"/>
        <w:rFonts w:cs="Times New Roman"/>
        <w:b w:val="0"/>
        <w:bCs w:val="0"/>
        <w:caps/>
        <w:szCs w:val="24"/>
      </w:rPr>
      <w:fldChar w:fldCharType="begin"/>
    </w:r>
    <w:r w:rsidRPr="006B31D2">
      <w:rPr>
        <w:rStyle w:val="PageNumber"/>
        <w:rFonts w:cs="Times New Roman"/>
        <w:bCs w:val="0"/>
        <w:szCs w:val="24"/>
      </w:rPr>
      <w:instrText xml:space="preserve"> PAGE </w:instrText>
    </w:r>
    <w:r w:rsidRPr="006B31D2">
      <w:rPr>
        <w:rStyle w:val="PageNumber"/>
        <w:rFonts w:cs="Times New Roman"/>
        <w:b w:val="0"/>
        <w:bCs w:val="0"/>
        <w:caps/>
        <w:szCs w:val="24"/>
      </w:rPr>
      <w:fldChar w:fldCharType="separate"/>
    </w:r>
    <w:r w:rsidR="00B671A7">
      <w:rPr>
        <w:rStyle w:val="PageNumber"/>
        <w:rFonts w:cs="Times New Roman"/>
        <w:bCs w:val="0"/>
        <w:noProof/>
        <w:szCs w:val="24"/>
      </w:rPr>
      <w:t>19</w:t>
    </w:r>
    <w:r w:rsidRPr="006B31D2">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4FC4" w14:textId="1E0D0084" w:rsidR="006B31D2" w:rsidRPr="006B31D2" w:rsidRDefault="006B31D2" w:rsidP="006B31D2">
    <w:pPr>
      <w:pStyle w:val="OddHeader"/>
      <w:rPr>
        <w:color w:val="auto"/>
      </w:rPr>
    </w:pPr>
    <w:r>
      <w:tab/>
      <w:t>Efficacy and target crop safety</w:t>
    </w:r>
    <w:r>
      <w:tab/>
    </w:r>
    <w:r w:rsidRPr="006B31D2">
      <w:rPr>
        <w:rStyle w:val="PageNumber"/>
        <w:rFonts w:cs="Times New Roman"/>
        <w:b w:val="0"/>
        <w:bCs w:val="0"/>
        <w:caps/>
        <w:szCs w:val="24"/>
      </w:rPr>
      <w:fldChar w:fldCharType="begin"/>
    </w:r>
    <w:r w:rsidRPr="006B31D2">
      <w:rPr>
        <w:rStyle w:val="PageNumber"/>
        <w:rFonts w:cs="Times New Roman"/>
        <w:bCs w:val="0"/>
        <w:szCs w:val="24"/>
      </w:rPr>
      <w:instrText xml:space="preserve"> PAGE </w:instrText>
    </w:r>
    <w:r w:rsidRPr="006B31D2">
      <w:rPr>
        <w:rStyle w:val="PageNumber"/>
        <w:rFonts w:cs="Times New Roman"/>
        <w:b w:val="0"/>
        <w:bCs w:val="0"/>
        <w:caps/>
        <w:szCs w:val="24"/>
      </w:rPr>
      <w:fldChar w:fldCharType="separate"/>
    </w:r>
    <w:r w:rsidR="00AC5A8E">
      <w:rPr>
        <w:rStyle w:val="PageNumber"/>
        <w:rFonts w:cs="Times New Roman"/>
        <w:bCs w:val="0"/>
        <w:noProof/>
        <w:szCs w:val="24"/>
      </w:rPr>
      <w:t>21</w:t>
    </w:r>
    <w:r w:rsidRPr="006B31D2">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1EB" w14:textId="0B889121" w:rsidR="006B31D2" w:rsidRPr="006B31D2" w:rsidRDefault="006B31D2" w:rsidP="006B31D2">
    <w:pPr>
      <w:pStyle w:val="OddHeader"/>
      <w:rPr>
        <w:color w:val="auto"/>
      </w:rPr>
    </w:pPr>
    <w:r>
      <w:tab/>
      <w:t>Spray drift assessment</w:t>
    </w:r>
    <w:r>
      <w:tab/>
    </w:r>
    <w:r w:rsidRPr="006B31D2">
      <w:rPr>
        <w:rStyle w:val="PageNumber"/>
        <w:rFonts w:cs="Times New Roman"/>
        <w:b w:val="0"/>
        <w:bCs w:val="0"/>
        <w:caps/>
        <w:szCs w:val="24"/>
      </w:rPr>
      <w:fldChar w:fldCharType="begin"/>
    </w:r>
    <w:r w:rsidRPr="006B31D2">
      <w:rPr>
        <w:rStyle w:val="PageNumber"/>
        <w:rFonts w:cs="Times New Roman"/>
        <w:bCs w:val="0"/>
        <w:szCs w:val="24"/>
      </w:rPr>
      <w:instrText xml:space="preserve"> PAGE </w:instrText>
    </w:r>
    <w:r w:rsidRPr="006B31D2">
      <w:rPr>
        <w:rStyle w:val="PageNumber"/>
        <w:rFonts w:cs="Times New Roman"/>
        <w:b w:val="0"/>
        <w:bCs w:val="0"/>
        <w:caps/>
        <w:szCs w:val="24"/>
      </w:rPr>
      <w:fldChar w:fldCharType="separate"/>
    </w:r>
    <w:r w:rsidR="00AC5A8E">
      <w:rPr>
        <w:rStyle w:val="PageNumber"/>
        <w:rFonts w:cs="Times New Roman"/>
        <w:bCs w:val="0"/>
        <w:noProof/>
        <w:szCs w:val="24"/>
      </w:rPr>
      <w:t>23</w:t>
    </w:r>
    <w:r w:rsidRPr="006B31D2">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92F1" w14:textId="56017F24" w:rsidR="006B31D2" w:rsidRPr="006B31D2" w:rsidRDefault="006B31D2" w:rsidP="006B31D2">
    <w:pPr>
      <w:pStyle w:val="OddHeader"/>
      <w:rPr>
        <w:color w:val="auto"/>
      </w:rPr>
    </w:pPr>
    <w:r>
      <w:tab/>
      <w:t>Required label elements</w:t>
    </w:r>
    <w:r>
      <w:tab/>
    </w:r>
    <w:r w:rsidRPr="006B31D2">
      <w:rPr>
        <w:rStyle w:val="PageNumber"/>
        <w:rFonts w:cs="Times New Roman"/>
        <w:b w:val="0"/>
        <w:bCs w:val="0"/>
        <w:caps/>
        <w:szCs w:val="24"/>
      </w:rPr>
      <w:fldChar w:fldCharType="begin"/>
    </w:r>
    <w:r w:rsidRPr="006B31D2">
      <w:rPr>
        <w:rStyle w:val="PageNumber"/>
        <w:rFonts w:cs="Times New Roman"/>
        <w:bCs w:val="0"/>
        <w:szCs w:val="24"/>
      </w:rPr>
      <w:instrText xml:space="preserve"> PAGE </w:instrText>
    </w:r>
    <w:r w:rsidRPr="006B31D2">
      <w:rPr>
        <w:rStyle w:val="PageNumber"/>
        <w:rFonts w:cs="Times New Roman"/>
        <w:b w:val="0"/>
        <w:bCs w:val="0"/>
        <w:caps/>
        <w:szCs w:val="24"/>
      </w:rPr>
      <w:fldChar w:fldCharType="separate"/>
    </w:r>
    <w:r w:rsidR="00AC5A8E">
      <w:rPr>
        <w:rStyle w:val="PageNumber"/>
        <w:rFonts w:cs="Times New Roman"/>
        <w:bCs w:val="0"/>
        <w:noProof/>
        <w:szCs w:val="24"/>
      </w:rPr>
      <w:t>25</w:t>
    </w:r>
    <w:r w:rsidRPr="006B31D2">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5095" w14:textId="0668D00B" w:rsidR="00D23D6A" w:rsidRDefault="008B550C">
    <w:pPr>
      <w:pStyle w:val="OddHeader"/>
    </w:pPr>
    <w:r>
      <w:tab/>
    </w:r>
    <w:r w:rsidR="00E33D53">
      <w:t>[Section title]</w:t>
    </w:r>
    <w:r w:rsidR="00D23D6A">
      <w:tab/>
    </w:r>
    <w:r w:rsidR="00D23D6A" w:rsidRPr="00D67788">
      <w:rPr>
        <w:rStyle w:val="PageNumber"/>
        <w:rFonts w:cs="Times New Roman"/>
        <w:b w:val="0"/>
        <w:bCs w:val="0"/>
        <w:caps/>
        <w:color w:val="53284F"/>
        <w:szCs w:val="24"/>
      </w:rPr>
      <w:fldChar w:fldCharType="begin"/>
    </w:r>
    <w:r w:rsidR="00D23D6A" w:rsidRPr="00D67788">
      <w:rPr>
        <w:rStyle w:val="PageNumber"/>
        <w:rFonts w:cs="Times New Roman"/>
        <w:bCs w:val="0"/>
        <w:color w:val="53284F"/>
        <w:szCs w:val="24"/>
      </w:rPr>
      <w:instrText xml:space="preserve"> PAGE </w:instrText>
    </w:r>
    <w:r w:rsidR="00D23D6A" w:rsidRPr="00D67788">
      <w:rPr>
        <w:rStyle w:val="PageNumber"/>
        <w:rFonts w:cs="Times New Roman"/>
        <w:b w:val="0"/>
        <w:bCs w:val="0"/>
        <w:caps/>
        <w:color w:val="53284F"/>
        <w:szCs w:val="24"/>
      </w:rPr>
      <w:fldChar w:fldCharType="separate"/>
    </w:r>
    <w:r w:rsidR="00B32002">
      <w:rPr>
        <w:rStyle w:val="PageNumber"/>
        <w:rFonts w:cs="Times New Roman"/>
        <w:bCs w:val="0"/>
        <w:noProof/>
        <w:color w:val="53284F"/>
        <w:szCs w:val="24"/>
      </w:rPr>
      <w:t>27</w:t>
    </w:r>
    <w:r w:rsidR="00D23D6A" w:rsidRPr="00D67788">
      <w:rPr>
        <w:rStyle w:val="PageNumber"/>
        <w:rFonts w:cs="Times New Roman"/>
        <w:b w:val="0"/>
        <w:bCs w:val="0"/>
        <w:caps/>
        <w:color w:val="53284F"/>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92CB" w14:textId="61981BEE" w:rsidR="00D23D6A" w:rsidRDefault="006B31D2">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C5A8E">
      <w:rPr>
        <w:rStyle w:val="PageNumber"/>
        <w:noProof/>
        <w:szCs w:val="24"/>
      </w:rPr>
      <w:t>32</w:t>
    </w:r>
    <w:r>
      <w:rPr>
        <w:rStyle w:val="PageNumber"/>
        <w:b w:val="0"/>
        <w:caps/>
        <w:szCs w:val="24"/>
      </w:rPr>
      <w:fldChar w:fldCharType="end"/>
    </w:r>
    <w:r>
      <w:tab/>
    </w:r>
    <w:r w:rsidR="00CC1E20">
      <w:t>Final m</w:t>
    </w:r>
    <w:r w:rsidRPr="006B31D2">
      <w:t>olinate Review Technical Report</w:t>
    </w:r>
    <w:r w:rsidR="00D23D6A">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FD09" w14:textId="70C8FA89" w:rsidR="00D23D6A" w:rsidRDefault="00D23D6A">
    <w:pPr>
      <w:pStyle w:val="OddHeader"/>
    </w:pPr>
    <w:r>
      <w:tab/>
    </w:r>
    <w:r w:rsidR="006B31D2">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C5A8E">
      <w:rPr>
        <w:rStyle w:val="PageNumber"/>
        <w:rFonts w:cs="Times New Roman"/>
        <w:bCs w:val="0"/>
        <w:noProof/>
        <w:szCs w:val="24"/>
      </w:rPr>
      <w:t>31</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4491F5C5" w:rsidR="00D23D6A" w:rsidRDefault="00D23D6A">
    <w:pPr>
      <w:pStyle w:val="OddHeader"/>
    </w:pPr>
    <w:r>
      <w:tab/>
    </w:r>
    <w:r w:rsidR="006B31D2">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C5A8E">
      <w:rPr>
        <w:rStyle w:val="PageNumber"/>
        <w:rFonts w:cs="Times New Roman"/>
        <w:bCs w:val="0"/>
        <w:noProof/>
        <w:szCs w:val="24"/>
      </w:rPr>
      <w:t>33</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D518" w14:textId="77777777" w:rsidR="00DA0A6A" w:rsidRDefault="00DA0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3DF5" w14:textId="77777777" w:rsidR="00DA0A6A" w:rsidRDefault="00DA0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5951A115"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C5A8E">
      <w:rPr>
        <w:rStyle w:val="PageNumber"/>
        <w:noProof/>
        <w:szCs w:val="24"/>
      </w:rPr>
      <w:t>24</w:t>
    </w:r>
    <w:r>
      <w:rPr>
        <w:rStyle w:val="PageNumber"/>
        <w:b w:val="0"/>
        <w:caps/>
        <w:szCs w:val="24"/>
      </w:rPr>
      <w:fldChar w:fldCharType="end"/>
    </w:r>
    <w:r>
      <w:tab/>
    </w:r>
    <w:r w:rsidR="00D22224">
      <w:t xml:space="preserve">Final </w:t>
    </w:r>
    <w:r w:rsidR="00CC1E20">
      <w:t>m</w:t>
    </w:r>
    <w:r w:rsidR="006B31D2" w:rsidRPr="006B31D2">
      <w:t>olinate Review Technical Report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29E3253D"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C5A8E">
      <w:rPr>
        <w:rStyle w:val="PageNumber"/>
        <w:rFonts w:cs="Times New Roman"/>
        <w:bCs w:val="0"/>
        <w:noProof/>
        <w:szCs w:val="24"/>
      </w:rPr>
      <w:t>iii</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104F" w14:textId="62E08D47" w:rsidR="00D23D6A" w:rsidRDefault="00D23D6A" w:rsidP="00AB659C">
    <w:pPr>
      <w:pStyle w:val="OddHeader"/>
    </w:pPr>
    <w:r>
      <w:tab/>
    </w:r>
    <w:r w:rsidR="006B31D2">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C5A8E">
      <w:rPr>
        <w:rStyle w:val="PageNumber"/>
        <w:rFonts w:cs="Times New Roman"/>
        <w:bCs w:val="0"/>
        <w:noProof/>
        <w:szCs w:val="24"/>
      </w:rPr>
      <w:t>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A9D7" w14:textId="4C10A762" w:rsidR="00D23D6A" w:rsidRDefault="00D23D6A">
    <w:pPr>
      <w:pStyle w:val="OddHeader"/>
    </w:pPr>
    <w:r>
      <w:tab/>
    </w:r>
    <w:r w:rsidR="006B31D2">
      <w:t>Summary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C5A8E">
      <w:rPr>
        <w:rStyle w:val="PageNumber"/>
        <w:rFonts w:cs="Times New Roman"/>
        <w:bCs w:val="0"/>
        <w:noProof/>
        <w:szCs w:val="24"/>
      </w:rPr>
      <w:t>3</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9916" w14:textId="275BBA66" w:rsidR="006B31D2" w:rsidRDefault="006B31D2">
    <w:pPr>
      <w:pStyle w:val="OddHeader"/>
    </w:pPr>
    <w:r>
      <w:tab/>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C5A8E">
      <w:rPr>
        <w:rStyle w:val="PageNumber"/>
        <w:rFonts w:cs="Times New Roman"/>
        <w:bCs w:val="0"/>
        <w:noProof/>
        <w:szCs w:val="24"/>
      </w:rPr>
      <w:t>5</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6DDD" w14:textId="7DA42CA8" w:rsidR="006B31D2" w:rsidRDefault="006B31D2">
    <w:pPr>
      <w:pStyle w:val="OddHeader"/>
    </w:pPr>
    <w:r>
      <w:tab/>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C5A8E">
      <w:rPr>
        <w:rStyle w:val="PageNumber"/>
        <w:rFonts w:cs="Times New Roman"/>
        <w:bCs w:val="0"/>
        <w:noProof/>
        <w:szCs w:val="24"/>
      </w:rPr>
      <w:t>13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1A2C90"/>
    <w:multiLevelType w:val="hybridMultilevel"/>
    <w:tmpl w:val="261C7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4B14A7F"/>
    <w:multiLevelType w:val="hybridMultilevel"/>
    <w:tmpl w:val="6B46B5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0C87F78"/>
    <w:multiLevelType w:val="hybridMultilevel"/>
    <w:tmpl w:val="DBF49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18"/>
  </w:num>
  <w:num w:numId="4">
    <w:abstractNumId w:val="19"/>
  </w:num>
  <w:num w:numId="5">
    <w:abstractNumId w:val="18"/>
  </w:num>
  <w:num w:numId="6">
    <w:abstractNumId w:val="22"/>
  </w:num>
  <w:num w:numId="7">
    <w:abstractNumId w:val="20"/>
  </w:num>
  <w:num w:numId="8">
    <w:abstractNumId w:val="11"/>
  </w:num>
  <w:num w:numId="9">
    <w:abstractNumId w:val="10"/>
  </w:num>
  <w:num w:numId="10">
    <w:abstractNumId w:val="13"/>
  </w:num>
  <w:num w:numId="11">
    <w:abstractNumId w:val="17"/>
  </w:num>
  <w:num w:numId="12">
    <w:abstractNumId w:val="22"/>
  </w:num>
  <w:num w:numId="13">
    <w:abstractNumId w:val="22"/>
  </w:num>
  <w:num w:numId="14">
    <w:abstractNumId w:val="18"/>
  </w:num>
  <w:num w:numId="15">
    <w:abstractNumId w:val="11"/>
  </w:num>
  <w:num w:numId="16">
    <w:abstractNumId w:val="19"/>
  </w:num>
  <w:num w:numId="17">
    <w:abstractNumId w:val="10"/>
  </w:num>
  <w:num w:numId="18">
    <w:abstractNumId w:val="13"/>
  </w:num>
  <w:num w:numId="19">
    <w:abstractNumId w:val="21"/>
  </w:num>
  <w:num w:numId="20">
    <w:abstractNumId w:val="23"/>
  </w:num>
  <w:num w:numId="21">
    <w:abstractNumId w:val="12"/>
  </w:num>
  <w:num w:numId="22">
    <w:abstractNumId w:val="22"/>
  </w:num>
  <w:num w:numId="23">
    <w:abstractNumId w:val="22"/>
  </w:num>
  <w:num w:numId="24">
    <w:abstractNumId w:val="22"/>
  </w:num>
  <w:num w:numId="25">
    <w:abstractNumId w:val="22"/>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lvlOverride w:ilvl="0">
      <w:startOverride w:val="1"/>
    </w:lvlOverride>
    <w:lvlOverride w:ilvl="1"/>
    <w:lvlOverride w:ilvl="2"/>
    <w:lvlOverride w:ilvl="3"/>
    <w:lvlOverride w:ilvl="4"/>
    <w:lvlOverride w:ilvl="5"/>
    <w:lvlOverride w:ilvl="6"/>
    <w:lvlOverride w:ilvl="7"/>
    <w:lvlOverride w:ilvl="8"/>
  </w:num>
  <w:num w:numId="39">
    <w:abstractNumId w:val="15"/>
  </w:num>
  <w:num w:numId="40">
    <w:abstractNumId w:val="14"/>
  </w:num>
  <w:num w:numId="41">
    <w:abstractNumId w:val="16"/>
  </w:num>
  <w:num w:numId="42">
    <w:abstractNumId w:val="24"/>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10A00"/>
    <w:rsid w:val="00012FBC"/>
    <w:rsid w:val="00033133"/>
    <w:rsid w:val="00044E5A"/>
    <w:rsid w:val="00067828"/>
    <w:rsid w:val="000765C1"/>
    <w:rsid w:val="00082E64"/>
    <w:rsid w:val="0008350E"/>
    <w:rsid w:val="00096163"/>
    <w:rsid w:val="000A7EF6"/>
    <w:rsid w:val="000C2C1B"/>
    <w:rsid w:val="000C35A2"/>
    <w:rsid w:val="000D045A"/>
    <w:rsid w:val="000D49ED"/>
    <w:rsid w:val="000E372E"/>
    <w:rsid w:val="00120E00"/>
    <w:rsid w:val="0014090E"/>
    <w:rsid w:val="00146527"/>
    <w:rsid w:val="001534D8"/>
    <w:rsid w:val="00167BB3"/>
    <w:rsid w:val="00174E15"/>
    <w:rsid w:val="00184190"/>
    <w:rsid w:val="00193533"/>
    <w:rsid w:val="001B335C"/>
    <w:rsid w:val="001C6607"/>
    <w:rsid w:val="001D3257"/>
    <w:rsid w:val="001F014C"/>
    <w:rsid w:val="002426A0"/>
    <w:rsid w:val="0025418F"/>
    <w:rsid w:val="0026493F"/>
    <w:rsid w:val="00280720"/>
    <w:rsid w:val="00282A32"/>
    <w:rsid w:val="002A3239"/>
    <w:rsid w:val="002A394F"/>
    <w:rsid w:val="002A69DD"/>
    <w:rsid w:val="002B5703"/>
    <w:rsid w:val="002D7779"/>
    <w:rsid w:val="002E20AC"/>
    <w:rsid w:val="002F4591"/>
    <w:rsid w:val="0030255E"/>
    <w:rsid w:val="00302DB5"/>
    <w:rsid w:val="003045A3"/>
    <w:rsid w:val="0031487D"/>
    <w:rsid w:val="00334E12"/>
    <w:rsid w:val="00347883"/>
    <w:rsid w:val="003506C5"/>
    <w:rsid w:val="00381544"/>
    <w:rsid w:val="00393E2F"/>
    <w:rsid w:val="003A558F"/>
    <w:rsid w:val="003C0891"/>
    <w:rsid w:val="003F5F2E"/>
    <w:rsid w:val="003F713B"/>
    <w:rsid w:val="004070E1"/>
    <w:rsid w:val="0041228F"/>
    <w:rsid w:val="0041559F"/>
    <w:rsid w:val="00444045"/>
    <w:rsid w:val="00444FF1"/>
    <w:rsid w:val="004616C8"/>
    <w:rsid w:val="00461D26"/>
    <w:rsid w:val="00470304"/>
    <w:rsid w:val="004714D4"/>
    <w:rsid w:val="00473575"/>
    <w:rsid w:val="0049603E"/>
    <w:rsid w:val="004C3895"/>
    <w:rsid w:val="004D2C4F"/>
    <w:rsid w:val="005064D5"/>
    <w:rsid w:val="00511C2C"/>
    <w:rsid w:val="00515F30"/>
    <w:rsid w:val="00520963"/>
    <w:rsid w:val="00522E27"/>
    <w:rsid w:val="005527B9"/>
    <w:rsid w:val="00556804"/>
    <w:rsid w:val="00560E83"/>
    <w:rsid w:val="00563297"/>
    <w:rsid w:val="00566590"/>
    <w:rsid w:val="00572131"/>
    <w:rsid w:val="00582459"/>
    <w:rsid w:val="005B679E"/>
    <w:rsid w:val="005D1A47"/>
    <w:rsid w:val="006110AE"/>
    <w:rsid w:val="0062466B"/>
    <w:rsid w:val="00643052"/>
    <w:rsid w:val="0064579C"/>
    <w:rsid w:val="00656F27"/>
    <w:rsid w:val="00657A28"/>
    <w:rsid w:val="006A6B20"/>
    <w:rsid w:val="006B31D2"/>
    <w:rsid w:val="006C08BC"/>
    <w:rsid w:val="006E2753"/>
    <w:rsid w:val="006E33F7"/>
    <w:rsid w:val="00700C27"/>
    <w:rsid w:val="00702B7D"/>
    <w:rsid w:val="00711AFF"/>
    <w:rsid w:val="007275CF"/>
    <w:rsid w:val="00734103"/>
    <w:rsid w:val="00736063"/>
    <w:rsid w:val="00770B96"/>
    <w:rsid w:val="00794B71"/>
    <w:rsid w:val="0079772A"/>
    <w:rsid w:val="007A27EB"/>
    <w:rsid w:val="007C3B97"/>
    <w:rsid w:val="007D2FA8"/>
    <w:rsid w:val="007E13F3"/>
    <w:rsid w:val="007E420B"/>
    <w:rsid w:val="007F0146"/>
    <w:rsid w:val="0080495F"/>
    <w:rsid w:val="00832D38"/>
    <w:rsid w:val="008362F6"/>
    <w:rsid w:val="008366A3"/>
    <w:rsid w:val="00847050"/>
    <w:rsid w:val="008545E1"/>
    <w:rsid w:val="008573F8"/>
    <w:rsid w:val="00860B66"/>
    <w:rsid w:val="00862E63"/>
    <w:rsid w:val="00892071"/>
    <w:rsid w:val="00892292"/>
    <w:rsid w:val="008B550C"/>
    <w:rsid w:val="008C5C0D"/>
    <w:rsid w:val="008C6B9D"/>
    <w:rsid w:val="008E4ED4"/>
    <w:rsid w:val="008F14C4"/>
    <w:rsid w:val="008F5393"/>
    <w:rsid w:val="00915A11"/>
    <w:rsid w:val="00916BE4"/>
    <w:rsid w:val="00942FAA"/>
    <w:rsid w:val="00953C8F"/>
    <w:rsid w:val="0095647E"/>
    <w:rsid w:val="00972247"/>
    <w:rsid w:val="009A4448"/>
    <w:rsid w:val="009A7614"/>
    <w:rsid w:val="009B6ACE"/>
    <w:rsid w:val="009D0E59"/>
    <w:rsid w:val="009D452E"/>
    <w:rsid w:val="009E2AD6"/>
    <w:rsid w:val="009E494C"/>
    <w:rsid w:val="009F16FF"/>
    <w:rsid w:val="00A23729"/>
    <w:rsid w:val="00A2448D"/>
    <w:rsid w:val="00A32F45"/>
    <w:rsid w:val="00A35765"/>
    <w:rsid w:val="00A6283D"/>
    <w:rsid w:val="00A66116"/>
    <w:rsid w:val="00A66635"/>
    <w:rsid w:val="00A77CE7"/>
    <w:rsid w:val="00A87101"/>
    <w:rsid w:val="00A96978"/>
    <w:rsid w:val="00AB659C"/>
    <w:rsid w:val="00AC5A8E"/>
    <w:rsid w:val="00AE4330"/>
    <w:rsid w:val="00AF232A"/>
    <w:rsid w:val="00B10D09"/>
    <w:rsid w:val="00B15647"/>
    <w:rsid w:val="00B27675"/>
    <w:rsid w:val="00B32002"/>
    <w:rsid w:val="00B446FD"/>
    <w:rsid w:val="00B50074"/>
    <w:rsid w:val="00B509EE"/>
    <w:rsid w:val="00B671A7"/>
    <w:rsid w:val="00BC5423"/>
    <w:rsid w:val="00BD021C"/>
    <w:rsid w:val="00BD2289"/>
    <w:rsid w:val="00BD55DB"/>
    <w:rsid w:val="00BD70E8"/>
    <w:rsid w:val="00C21BEA"/>
    <w:rsid w:val="00C36537"/>
    <w:rsid w:val="00C50D88"/>
    <w:rsid w:val="00C53C96"/>
    <w:rsid w:val="00C73D24"/>
    <w:rsid w:val="00C95323"/>
    <w:rsid w:val="00C9656F"/>
    <w:rsid w:val="00CA17DC"/>
    <w:rsid w:val="00CC1E20"/>
    <w:rsid w:val="00CC6A6F"/>
    <w:rsid w:val="00CD6650"/>
    <w:rsid w:val="00CE456A"/>
    <w:rsid w:val="00CE54B4"/>
    <w:rsid w:val="00CE7F45"/>
    <w:rsid w:val="00D10F59"/>
    <w:rsid w:val="00D22224"/>
    <w:rsid w:val="00D23D6A"/>
    <w:rsid w:val="00D4143D"/>
    <w:rsid w:val="00D505AD"/>
    <w:rsid w:val="00D67788"/>
    <w:rsid w:val="00D874AA"/>
    <w:rsid w:val="00D9318E"/>
    <w:rsid w:val="00D942C8"/>
    <w:rsid w:val="00DA0A6A"/>
    <w:rsid w:val="00DB3BF5"/>
    <w:rsid w:val="00DD08E2"/>
    <w:rsid w:val="00DD18F1"/>
    <w:rsid w:val="00DD5AB6"/>
    <w:rsid w:val="00E30533"/>
    <w:rsid w:val="00E318E3"/>
    <w:rsid w:val="00E33D53"/>
    <w:rsid w:val="00E35DE7"/>
    <w:rsid w:val="00E41FED"/>
    <w:rsid w:val="00E424AB"/>
    <w:rsid w:val="00E70840"/>
    <w:rsid w:val="00E97570"/>
    <w:rsid w:val="00EA511C"/>
    <w:rsid w:val="00EE297E"/>
    <w:rsid w:val="00EE5B09"/>
    <w:rsid w:val="00F0383D"/>
    <w:rsid w:val="00F10530"/>
    <w:rsid w:val="00F30BDA"/>
    <w:rsid w:val="00F51AA7"/>
    <w:rsid w:val="00F56C76"/>
    <w:rsid w:val="00F6733A"/>
    <w:rsid w:val="00F74E41"/>
    <w:rsid w:val="00F916A0"/>
    <w:rsid w:val="00F91A09"/>
    <w:rsid w:val="00F92A4A"/>
    <w:rsid w:val="00FB0015"/>
    <w:rsid w:val="00FC09D2"/>
    <w:rsid w:val="00FC198C"/>
    <w:rsid w:val="00FD344F"/>
    <w:rsid w:val="00FD6DD3"/>
    <w:rsid w:val="00FE54CA"/>
    <w:rsid w:val="00FE6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302DB5"/>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character" w:customStyle="1" w:styleId="NormalTextChar">
    <w:name w:val="Normal Text Char"/>
    <w:basedOn w:val="DefaultParagraphFont"/>
    <w:link w:val="NormalText"/>
    <w:rsid w:val="00B446FD"/>
    <w:rPr>
      <w:rFonts w:ascii="Arial" w:hAnsi="Arial" w:cs="Arial"/>
      <w:color w:val="1A1B1A" w:themeColor="text1" w:themeShade="80"/>
      <w:kern w:val="20"/>
      <w:sz w:val="19"/>
      <w:szCs w:val="24"/>
      <w:u w:color="000000"/>
      <w:lang w:eastAsia="en-US"/>
    </w:rPr>
  </w:style>
  <w:style w:type="paragraph" w:customStyle="1" w:styleId="APVMATableText">
    <w:name w:val="APVMA_TableText"/>
    <w:basedOn w:val="NormalText"/>
    <w:link w:val="APVMATableTextChar"/>
    <w:qFormat/>
    <w:rsid w:val="00B446FD"/>
    <w:pPr>
      <w:spacing w:before="120" w:after="120" w:line="210" w:lineRule="exact"/>
    </w:pPr>
    <w:rPr>
      <w:color w:val="auto"/>
      <w:spacing w:val="6"/>
      <w:sz w:val="17"/>
    </w:rPr>
  </w:style>
  <w:style w:type="character" w:customStyle="1" w:styleId="APVMATableTextChar">
    <w:name w:val="APVMA_TableText Char"/>
    <w:link w:val="APVMATableText"/>
    <w:rsid w:val="00B446FD"/>
    <w:rPr>
      <w:rFonts w:ascii="Arial" w:hAnsi="Arial" w:cs="Arial"/>
      <w:spacing w:val="6"/>
      <w:kern w:val="20"/>
      <w:sz w:val="17"/>
      <w:szCs w:val="24"/>
      <w:u w:color="000000"/>
      <w:lang w:eastAsia="en-US"/>
    </w:rPr>
  </w:style>
  <w:style w:type="paragraph" w:customStyle="1" w:styleId="APVMASourceTableNote">
    <w:name w:val="APVMA_Source/TableNote"/>
    <w:basedOn w:val="NormalText"/>
    <w:uiPriority w:val="4"/>
    <w:rsid w:val="00B446FD"/>
    <w:pPr>
      <w:spacing w:before="0" w:after="0" w:line="280" w:lineRule="atLeast"/>
    </w:pPr>
    <w:rPr>
      <w:i/>
      <w:color w:val="auto"/>
      <w:spacing w:val="6"/>
      <w:sz w:val="16"/>
    </w:rPr>
  </w:style>
  <w:style w:type="character" w:customStyle="1" w:styleId="FootnoteTextChar">
    <w:name w:val="Footnote Text Char"/>
    <w:aliases w:val="APVMA_Footnote Char"/>
    <w:link w:val="FootnoteText"/>
    <w:uiPriority w:val="4"/>
    <w:semiHidden/>
    <w:rsid w:val="00B446FD"/>
    <w:rPr>
      <w:rFonts w:ascii="Arial" w:hAnsi="Arial" w:cs="Arial"/>
      <w:color w:val="1A1B1A" w:themeColor="text1" w:themeShade="80"/>
      <w:spacing w:val="6"/>
      <w:kern w:val="20"/>
      <w:sz w:val="16"/>
      <w:u w:color="000000"/>
      <w:lang w:eastAsia="en-US"/>
    </w:rPr>
  </w:style>
  <w:style w:type="paragraph" w:customStyle="1" w:styleId="APVMAOddHeader">
    <w:name w:val="APVMA_Odd_Header"/>
    <w:basedOn w:val="NormalText"/>
    <w:rsid w:val="00B446FD"/>
    <w:pPr>
      <w:pBdr>
        <w:bottom w:val="single" w:sz="4" w:space="1" w:color="auto"/>
      </w:pBdr>
      <w:tabs>
        <w:tab w:val="right" w:pos="9072"/>
        <w:tab w:val="right" w:pos="9638"/>
      </w:tabs>
      <w:spacing w:before="0" w:after="0" w:line="200" w:lineRule="exact"/>
    </w:pPr>
    <w:rPr>
      <w:b/>
      <w:bCs/>
      <w:caps/>
      <w:color w:val="5C2946"/>
      <w:sz w:val="18"/>
      <w:szCs w:val="18"/>
    </w:rPr>
  </w:style>
  <w:style w:type="character" w:customStyle="1" w:styleId="FooterChar">
    <w:name w:val="Footer Char"/>
    <w:link w:val="Footer"/>
    <w:uiPriority w:val="99"/>
    <w:rsid w:val="00B446FD"/>
    <w:rPr>
      <w:rFonts w:ascii="Arial" w:hAnsi="Arial"/>
      <w:color w:val="1A1B1A" w:themeColor="text1" w:themeShade="80"/>
      <w:sz w:val="16"/>
      <w:szCs w:val="24"/>
      <w:lang w:eastAsia="en-US"/>
    </w:rPr>
  </w:style>
  <w:style w:type="paragraph" w:customStyle="1" w:styleId="APVMAListNumbered">
    <w:name w:val="APVMA_List_Numbered"/>
    <w:basedOn w:val="NormalText"/>
    <w:uiPriority w:val="4"/>
    <w:qFormat/>
    <w:rsid w:val="00915A11"/>
    <w:pPr>
      <w:tabs>
        <w:tab w:val="num" w:pos="340"/>
      </w:tabs>
      <w:spacing w:before="120" w:after="120"/>
      <w:ind w:left="340" w:hanging="340"/>
    </w:pPr>
    <w:rPr>
      <w:color w:val="auto"/>
    </w:rPr>
  </w:style>
  <w:style w:type="table" w:styleId="TableGrid">
    <w:name w:val="Table Grid"/>
    <w:basedOn w:val="TableNormal"/>
    <w:uiPriority w:val="59"/>
    <w:rsid w:val="007C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Text">
    <w:name w:val="APVMA_Text"/>
    <w:basedOn w:val="Normal"/>
    <w:qFormat/>
    <w:rsid w:val="006B31D2"/>
    <w:pPr>
      <w:suppressAutoHyphens/>
      <w:spacing w:before="240" w:after="240" w:line="280" w:lineRule="exact"/>
    </w:pPr>
    <w:rPr>
      <w:rFonts w:cs="Arial"/>
      <w:color w:val="auto"/>
      <w:sz w:val="20"/>
      <w:u w:color="000000"/>
    </w:rPr>
  </w:style>
  <w:style w:type="paragraph" w:styleId="NoSpacing">
    <w:name w:val="No Spacing"/>
    <w:uiPriority w:val="1"/>
    <w:qFormat/>
    <w:rsid w:val="00E424AB"/>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CC1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oter" Target="footer4.xml"/><Relationship Id="rId39" Type="http://schemas.openxmlformats.org/officeDocument/2006/relationships/header" Target="header13.xml"/><Relationship Id="rId21" Type="http://schemas.openxmlformats.org/officeDocument/2006/relationships/hyperlink" Target="http://www.dpmc.gov.au/pmc/publication/commonwealth-coat-arms-information-and-guidelines" TargetMode="External"/><Relationship Id="rId34" Type="http://schemas.openxmlformats.org/officeDocument/2006/relationships/hyperlink" Target="https://apvma.gov.au/node/12641." TargetMode="External"/><Relationship Id="rId42" Type="http://schemas.openxmlformats.org/officeDocument/2006/relationships/header" Target="header14.xml"/><Relationship Id="rId47" Type="http://schemas.openxmlformats.org/officeDocument/2006/relationships/footer" Target="footer6.xml"/><Relationship Id="rId50" Type="http://schemas.openxmlformats.org/officeDocument/2006/relationships/hyperlink" Target="https://apvma.gov.au/node/14616" TargetMode="External"/><Relationship Id="rId55" Type="http://schemas.openxmlformats.org/officeDocument/2006/relationships/hyperlink" Target="https://apvma.gov.au/node/10796"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7.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5.xml"/><Relationship Id="rId40" Type="http://schemas.openxmlformats.org/officeDocument/2006/relationships/hyperlink" Target="https://apvma.gov.au/node/39701" TargetMode="External"/><Relationship Id="rId45" Type="http://schemas.openxmlformats.org/officeDocument/2006/relationships/image" Target="media/image6.png"/><Relationship Id="rId53" Type="http://schemas.openxmlformats.org/officeDocument/2006/relationships/hyperlink" Target="https://apvma.gov.au/node/45576"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s://creativecommons.org/licenses/by/4.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communications@apvma.gov.au" TargetMode="External"/><Relationship Id="rId27" Type="http://schemas.openxmlformats.org/officeDocument/2006/relationships/header" Target="header6.xml"/><Relationship Id="rId30" Type="http://schemas.openxmlformats.org/officeDocument/2006/relationships/image" Target="media/image5.emf"/><Relationship Id="rId35" Type="http://schemas.openxmlformats.org/officeDocument/2006/relationships/header" Target="header10.xml"/><Relationship Id="rId43" Type="http://schemas.openxmlformats.org/officeDocument/2006/relationships/hyperlink" Target="http://www.apvma.gov.au/spraydrift" TargetMode="External"/><Relationship Id="rId48" Type="http://schemas.openxmlformats.org/officeDocument/2006/relationships/header" Target="header17.xml"/><Relationship Id="rId56" Type="http://schemas.openxmlformats.org/officeDocument/2006/relationships/hyperlink" Target="http://www.cdpr.ca.gov/docs/risk/rcd/molinate.pdf" TargetMode="External"/><Relationship Id="rId8" Type="http://schemas.openxmlformats.org/officeDocument/2006/relationships/endnotes" Target="endnotes.xml"/><Relationship Id="rId51" Type="http://schemas.openxmlformats.org/officeDocument/2006/relationships/hyperlink" Target="https://apvma.gov.au/node/32926"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theme" Target="theme/theme1.xml"/><Relationship Id="rId20" Type="http://schemas.openxmlformats.org/officeDocument/2006/relationships/hyperlink" Target="https://creativecommons.org/licenses/by/4.0/legalcode" TargetMode="External"/><Relationship Id="rId41" Type="http://schemas.openxmlformats.org/officeDocument/2006/relationships/hyperlink" Target="https://apvma.gov.au/node/39736" TargetMode="External"/><Relationship Id="rId54" Type="http://schemas.openxmlformats.org/officeDocument/2006/relationships/hyperlink" Target="https://apvma.gov.au/node/4556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apvma.gov.au" TargetMode="External"/><Relationship Id="rId28" Type="http://schemas.openxmlformats.org/officeDocument/2006/relationships/hyperlink" Target="https://apvma.gov.au/node/14616" TargetMode="External"/><Relationship Id="rId36" Type="http://schemas.openxmlformats.org/officeDocument/2006/relationships/header" Target="header11.xml"/><Relationship Id="rId49" Type="http://schemas.openxmlformats.org/officeDocument/2006/relationships/header" Target="header18.xml"/><Relationship Id="rId57" Type="http://schemas.openxmlformats.org/officeDocument/2006/relationships/header" Target="header19.xml"/><Relationship Id="rId10" Type="http://schemas.openxmlformats.org/officeDocument/2006/relationships/image" Target="media/image2.png"/><Relationship Id="rId31" Type="http://schemas.openxmlformats.org/officeDocument/2006/relationships/hyperlink" Target="https://apvma.gov.au/node/2585" TargetMode="External"/><Relationship Id="rId44" Type="http://schemas.openxmlformats.org/officeDocument/2006/relationships/header" Target="header15.xml"/><Relationship Id="rId52" Type="http://schemas.openxmlformats.org/officeDocument/2006/relationships/hyperlink" Target="https://apvma.gov.au/node/4641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Series/F2019L01105" TargetMode="External"/><Relationship Id="rId1" Type="http://schemas.openxmlformats.org/officeDocument/2006/relationships/hyperlink" Target="https://apvma.gov.au/node/1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A2403431</value>
    </field>
    <field name="Objective-Title">
      <value order="0">2022 - Final Molinate Review Technical Report</value>
    </field>
    <field name="Objective-Description">
      <value order="0"/>
    </field>
    <field name="Objective-CreationStamp">
      <value order="0">2022-01-28T03:51:04Z</value>
    </field>
    <field name="Objective-IsApproved">
      <value order="0">false</value>
    </field>
    <field name="Objective-IsPublished">
      <value order="0">false</value>
    </field>
    <field name="Objective-DatePublished">
      <value order="0"/>
    </field>
    <field name="Objective-ModificationStamp">
      <value order="0">2022-02-20T22:40:59Z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- 2021-2025:2022:00 Special Gazettes:Molinate Special Gazette 25 February 2022</value>
    </field>
    <field name="Objective-Parent">
      <value order="0">Molinate Special Gazette 25 February 2022</value>
    </field>
    <field name="Objective-State">
      <value order="0">Being Edited</value>
    </field>
    <field name="Objective-VersionId">
      <value order="0">vA3759335</value>
    </field>
    <field name="Objective-Version">
      <value order="0">0.13</value>
    </field>
    <field name="Objective-VersionNumber">
      <value order="0">13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1F73EAA-D06F-4DED-A0E9-48D5E723520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3</TotalTime>
  <Pages>38</Pages>
  <Words>10758</Words>
  <Characters>64817</Characters>
  <Application>Microsoft Office Word</Application>
  <DocSecurity>4</DocSecurity>
  <Lines>540</Lines>
  <Paragraphs>150</Paragraphs>
  <ScaleCrop>false</ScaleCrop>
  <HeadingPairs>
    <vt:vector size="2" baseType="variant">
      <vt:variant>
        <vt:lpstr>Title</vt:lpstr>
      </vt:variant>
      <vt:variant>
        <vt:i4>1</vt:i4>
      </vt:variant>
    </vt:vector>
  </HeadingPairs>
  <TitlesOfParts>
    <vt:vector size="1" baseType="lpstr">
      <vt:lpstr>Final molinate Review Technical Report</vt:lpstr>
    </vt:vector>
  </TitlesOfParts>
  <Manager/>
  <Company>Australian Pesticides and Veterinary Medicines Authority</Company>
  <LinksUpToDate>false</LinksUpToDate>
  <CharactersWithSpaces>75425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molinate Review Technical Report</dc:title>
  <dc:subject/>
  <dc:creator>APVMA</dc:creator>
  <cp:keywords/>
  <dc:description/>
  <cp:lastModifiedBy>ELLIOTT, Amy</cp:lastModifiedBy>
  <cp:revision>2</cp:revision>
  <cp:lastPrinted>2020-11-12T03:52:00Z</cp:lastPrinted>
  <dcterms:created xsi:type="dcterms:W3CDTF">2022-02-24T03:48:00Z</dcterms:created>
  <dcterms:modified xsi:type="dcterms:W3CDTF">2022-02-24T03:48:00Z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A2403431</vt:lpwstr>
  </property>
  <property fmtid="{D5CDD505-2E9C-101B-9397-08002B2CF9AE}" pid="4" name="Objective-Title">
    <vt:lpwstr>2022 - Final molinate Review Technical Report</vt:lpwstr>
  </property>
  <property fmtid="{D5CDD505-2E9C-101B-9397-08002B2CF9AE}" pid="5" name="Objective-Comment">
    <vt:lpwstr/>
  </property>
  <property fmtid="{D5CDD505-2E9C-101B-9397-08002B2CF9AE}" pid="6" name="Objective-CreationStamp">
    <vt:filetime>2022-01-28T03:51:09Z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2022-02-21T22:56:29Z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- 2021-2025:2022:00 Special Gazettes:Molinate Special Gazette 25 February 2022:</vt:lpwstr>
  </property>
  <property fmtid="{D5CDD505-2E9C-101B-9397-08002B2CF9AE}" pid="13" name="Objective-Parent">
    <vt:lpwstr>Molinate Special Gazette 25 February 2022</vt:lpwstr>
  </property>
  <property fmtid="{D5CDD505-2E9C-101B-9397-08002B2CF9AE}" pid="14" name="Objective-State">
    <vt:lpwstr>Being Drafted</vt:lpwstr>
  </property>
  <property fmtid="{D5CDD505-2E9C-101B-9397-08002B2CF9AE}" pid="15" name="Objective-Version">
    <vt:lpwstr>0.13</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vA3759335</vt:lpwstr>
  </property>
  <property fmtid="{D5CDD505-2E9C-101B-9397-08002B2CF9AE}" pid="23" name="Objective-Connect Creator">
    <vt:lpwstr/>
  </property>
</Properties>
</file>