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1FB8BAD9" w:rsidR="00193533" w:rsidRPr="00193533" w:rsidRDefault="00EF26EA" w:rsidP="002F4591">
      <w:pPr>
        <w:pStyle w:val="CoverTitle"/>
        <w:spacing w:before="2640"/>
        <w:jc w:val="center"/>
      </w:pPr>
      <w:r>
        <w:t>Compliance Case Categorisation and Prioritisation Model</w:t>
      </w:r>
    </w:p>
    <w:p w14:paraId="4E4C9BC9" w14:textId="57D0B8DA" w:rsidR="00193533" w:rsidRPr="00E41FED" w:rsidRDefault="00EF26EA"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December 2021</w:t>
      </w:r>
    </w:p>
    <w:p w14:paraId="6C014289" w14:textId="02CC5F62" w:rsidR="00862E63" w:rsidRPr="005C0ACC" w:rsidRDefault="00862E63" w:rsidP="008B550C">
      <w:pPr>
        <w:rPr>
          <w:lang w:eastAsia="en-AU"/>
        </w:rPr>
      </w:pPr>
      <w:r w:rsidRPr="005C0ACC">
        <w:rPr>
          <w:lang w:eastAsia="en-AU"/>
        </w:rPr>
        <w:lastRenderedPageBreak/>
        <w:t>© Australian Pesticides and Veterinary Medicines Authority</w:t>
      </w:r>
      <w:r w:rsidR="00EF26EA">
        <w:rPr>
          <w:lang w:eastAsia="en-AU"/>
        </w:rPr>
        <w:t xml:space="preserve"> 2021</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77777777" w:rsidR="00862E63" w:rsidRPr="005C0ACC" w:rsidRDefault="00862E63" w:rsidP="008B550C">
      <w:pPr>
        <w:rPr>
          <w:rFonts w:cs="Arial"/>
          <w:bCs/>
          <w:szCs w:val="16"/>
          <w:lang w:eastAsia="en-AU"/>
        </w:rPr>
      </w:pPr>
      <w:r w:rsidRPr="005C0ACC">
        <w:rPr>
          <w:rFonts w:cs="Arial"/>
          <w:bCs/>
          <w:szCs w:val="16"/>
          <w:lang w:eastAsia="en-AU"/>
        </w:rPr>
        <w:t xml:space="preserve">iStockphoto images are not covered by this Creative Commons licence. </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77777777"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1842E2FF" w14:textId="51C27E33" w:rsidR="00754872"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92283687" w:history="1">
        <w:r w:rsidR="00754872" w:rsidRPr="00485506">
          <w:rPr>
            <w:rStyle w:val="Hyperlink"/>
          </w:rPr>
          <w:t>Introduction</w:t>
        </w:r>
        <w:r w:rsidR="00754872">
          <w:rPr>
            <w:webHidden/>
          </w:rPr>
          <w:tab/>
        </w:r>
        <w:r w:rsidR="00754872">
          <w:rPr>
            <w:webHidden/>
          </w:rPr>
          <w:fldChar w:fldCharType="begin"/>
        </w:r>
        <w:r w:rsidR="00754872">
          <w:rPr>
            <w:webHidden/>
          </w:rPr>
          <w:instrText xml:space="preserve"> PAGEREF _Toc92283687 \h </w:instrText>
        </w:r>
        <w:r w:rsidR="00754872">
          <w:rPr>
            <w:webHidden/>
          </w:rPr>
        </w:r>
        <w:r w:rsidR="00754872">
          <w:rPr>
            <w:webHidden/>
          </w:rPr>
          <w:fldChar w:fldCharType="separate"/>
        </w:r>
        <w:r w:rsidR="00754872">
          <w:rPr>
            <w:webHidden/>
          </w:rPr>
          <w:t>1</w:t>
        </w:r>
        <w:r w:rsidR="00754872">
          <w:rPr>
            <w:webHidden/>
          </w:rPr>
          <w:fldChar w:fldCharType="end"/>
        </w:r>
      </w:hyperlink>
    </w:p>
    <w:p w14:paraId="590B016A" w14:textId="28D57FC6" w:rsidR="00754872" w:rsidRDefault="00754872">
      <w:pPr>
        <w:pStyle w:val="TOC1"/>
        <w:rPr>
          <w:rFonts w:asciiTheme="minorHAnsi" w:eastAsiaTheme="minorEastAsia" w:hAnsiTheme="minorHAnsi" w:cstheme="minorBidi"/>
          <w:bCs w:val="0"/>
          <w:color w:val="auto"/>
          <w:kern w:val="0"/>
          <w:sz w:val="22"/>
          <w:szCs w:val="22"/>
          <w:lang w:eastAsia="en-AU"/>
        </w:rPr>
      </w:pPr>
      <w:hyperlink w:anchor="_Toc92283688" w:history="1">
        <w:r w:rsidRPr="00485506">
          <w:rPr>
            <w:rStyle w:val="Hyperlink"/>
          </w:rPr>
          <w:t>The Case Assessment Group</w:t>
        </w:r>
        <w:r>
          <w:rPr>
            <w:webHidden/>
          </w:rPr>
          <w:tab/>
        </w:r>
        <w:r>
          <w:rPr>
            <w:webHidden/>
          </w:rPr>
          <w:fldChar w:fldCharType="begin"/>
        </w:r>
        <w:r>
          <w:rPr>
            <w:webHidden/>
          </w:rPr>
          <w:instrText xml:space="preserve"> PAGEREF _Toc92283688 \h </w:instrText>
        </w:r>
        <w:r>
          <w:rPr>
            <w:webHidden/>
          </w:rPr>
        </w:r>
        <w:r>
          <w:rPr>
            <w:webHidden/>
          </w:rPr>
          <w:fldChar w:fldCharType="separate"/>
        </w:r>
        <w:r>
          <w:rPr>
            <w:webHidden/>
          </w:rPr>
          <w:t>2</w:t>
        </w:r>
        <w:r>
          <w:rPr>
            <w:webHidden/>
          </w:rPr>
          <w:fldChar w:fldCharType="end"/>
        </w:r>
      </w:hyperlink>
    </w:p>
    <w:p w14:paraId="164222DE" w14:textId="171BE3E3" w:rsidR="00754872" w:rsidRDefault="00754872">
      <w:pPr>
        <w:pStyle w:val="TOC1"/>
        <w:rPr>
          <w:rFonts w:asciiTheme="minorHAnsi" w:eastAsiaTheme="minorEastAsia" w:hAnsiTheme="minorHAnsi" w:cstheme="minorBidi"/>
          <w:bCs w:val="0"/>
          <w:color w:val="auto"/>
          <w:kern w:val="0"/>
          <w:sz w:val="22"/>
          <w:szCs w:val="22"/>
          <w:lang w:eastAsia="en-AU"/>
        </w:rPr>
      </w:pPr>
      <w:hyperlink w:anchor="_Toc92283689" w:history="1">
        <w:r w:rsidRPr="00485506">
          <w:rPr>
            <w:rStyle w:val="Hyperlink"/>
          </w:rPr>
          <w:t>The CCPM</w:t>
        </w:r>
        <w:r>
          <w:rPr>
            <w:webHidden/>
          </w:rPr>
          <w:tab/>
        </w:r>
        <w:r>
          <w:rPr>
            <w:webHidden/>
          </w:rPr>
          <w:fldChar w:fldCharType="begin"/>
        </w:r>
        <w:r>
          <w:rPr>
            <w:webHidden/>
          </w:rPr>
          <w:instrText xml:space="preserve"> PAGEREF _Toc92283689 \h </w:instrText>
        </w:r>
        <w:r>
          <w:rPr>
            <w:webHidden/>
          </w:rPr>
        </w:r>
        <w:r>
          <w:rPr>
            <w:webHidden/>
          </w:rPr>
          <w:fldChar w:fldCharType="separate"/>
        </w:r>
        <w:r>
          <w:rPr>
            <w:webHidden/>
          </w:rPr>
          <w:t>3</w:t>
        </w:r>
        <w:r>
          <w:rPr>
            <w:webHidden/>
          </w:rPr>
          <w:fldChar w:fldCharType="end"/>
        </w:r>
      </w:hyperlink>
    </w:p>
    <w:p w14:paraId="02404C95" w14:textId="39A0F769" w:rsidR="00754872" w:rsidRDefault="00754872">
      <w:pPr>
        <w:pStyle w:val="TOC2"/>
        <w:rPr>
          <w:rFonts w:asciiTheme="minorHAnsi" w:eastAsiaTheme="minorEastAsia" w:hAnsiTheme="minorHAnsi" w:cstheme="minorBidi"/>
          <w:b w:val="0"/>
          <w:color w:val="auto"/>
          <w:sz w:val="22"/>
          <w:szCs w:val="22"/>
          <w:lang w:eastAsia="en-AU"/>
        </w:rPr>
      </w:pPr>
      <w:hyperlink w:anchor="_Toc92283690" w:history="1">
        <w:r w:rsidRPr="00485506">
          <w:rPr>
            <w:rStyle w:val="Hyperlink"/>
          </w:rPr>
          <w:t>CCPM considerations</w:t>
        </w:r>
        <w:r>
          <w:rPr>
            <w:webHidden/>
          </w:rPr>
          <w:tab/>
        </w:r>
        <w:r>
          <w:rPr>
            <w:webHidden/>
          </w:rPr>
          <w:fldChar w:fldCharType="begin"/>
        </w:r>
        <w:r>
          <w:rPr>
            <w:webHidden/>
          </w:rPr>
          <w:instrText xml:space="preserve"> PAGEREF _Toc92283690 \h </w:instrText>
        </w:r>
        <w:r>
          <w:rPr>
            <w:webHidden/>
          </w:rPr>
        </w:r>
        <w:r>
          <w:rPr>
            <w:webHidden/>
          </w:rPr>
          <w:fldChar w:fldCharType="separate"/>
        </w:r>
        <w:r>
          <w:rPr>
            <w:webHidden/>
          </w:rPr>
          <w:t>3</w:t>
        </w:r>
        <w:r>
          <w:rPr>
            <w:webHidden/>
          </w:rPr>
          <w:fldChar w:fldCharType="end"/>
        </w:r>
      </w:hyperlink>
    </w:p>
    <w:p w14:paraId="77C6B0DD" w14:textId="17C3FD02" w:rsidR="00754872" w:rsidRDefault="00754872">
      <w:pPr>
        <w:pStyle w:val="TOC2"/>
        <w:rPr>
          <w:rFonts w:asciiTheme="minorHAnsi" w:eastAsiaTheme="minorEastAsia" w:hAnsiTheme="minorHAnsi" w:cstheme="minorBidi"/>
          <w:b w:val="0"/>
          <w:color w:val="auto"/>
          <w:sz w:val="22"/>
          <w:szCs w:val="22"/>
          <w:lang w:eastAsia="en-AU"/>
        </w:rPr>
      </w:pPr>
      <w:hyperlink w:anchor="_Toc92283691" w:history="1">
        <w:r w:rsidRPr="00485506">
          <w:rPr>
            <w:rStyle w:val="Hyperlink"/>
          </w:rPr>
          <w:t>How and when the CCPM is applied</w:t>
        </w:r>
        <w:r>
          <w:rPr>
            <w:webHidden/>
          </w:rPr>
          <w:tab/>
        </w:r>
        <w:r>
          <w:rPr>
            <w:webHidden/>
          </w:rPr>
          <w:fldChar w:fldCharType="begin"/>
        </w:r>
        <w:r>
          <w:rPr>
            <w:webHidden/>
          </w:rPr>
          <w:instrText xml:space="preserve"> PAGEREF _Toc92283691 \h </w:instrText>
        </w:r>
        <w:r>
          <w:rPr>
            <w:webHidden/>
          </w:rPr>
        </w:r>
        <w:r>
          <w:rPr>
            <w:webHidden/>
          </w:rPr>
          <w:fldChar w:fldCharType="separate"/>
        </w:r>
        <w:r>
          <w:rPr>
            <w:webHidden/>
          </w:rPr>
          <w:t>3</w:t>
        </w:r>
        <w:r>
          <w:rPr>
            <w:webHidden/>
          </w:rPr>
          <w:fldChar w:fldCharType="end"/>
        </w:r>
      </w:hyperlink>
    </w:p>
    <w:p w14:paraId="1C7C0C18" w14:textId="48A5E46F" w:rsidR="00754872" w:rsidRDefault="00754872">
      <w:pPr>
        <w:pStyle w:val="TOC2"/>
        <w:rPr>
          <w:rFonts w:asciiTheme="minorHAnsi" w:eastAsiaTheme="minorEastAsia" w:hAnsiTheme="minorHAnsi" w:cstheme="minorBidi"/>
          <w:b w:val="0"/>
          <w:color w:val="auto"/>
          <w:sz w:val="22"/>
          <w:szCs w:val="22"/>
          <w:lang w:eastAsia="en-AU"/>
        </w:rPr>
      </w:pPr>
      <w:hyperlink w:anchor="_Toc92283692" w:history="1">
        <w:r w:rsidRPr="00485506">
          <w:rPr>
            <w:rStyle w:val="Hyperlink"/>
          </w:rPr>
          <w:t>The science</w:t>
        </w:r>
        <w:r>
          <w:rPr>
            <w:webHidden/>
          </w:rPr>
          <w:tab/>
        </w:r>
        <w:r>
          <w:rPr>
            <w:webHidden/>
          </w:rPr>
          <w:fldChar w:fldCharType="begin"/>
        </w:r>
        <w:r>
          <w:rPr>
            <w:webHidden/>
          </w:rPr>
          <w:instrText xml:space="preserve"> PAGEREF _Toc92283692 \h </w:instrText>
        </w:r>
        <w:r>
          <w:rPr>
            <w:webHidden/>
          </w:rPr>
        </w:r>
        <w:r>
          <w:rPr>
            <w:webHidden/>
          </w:rPr>
          <w:fldChar w:fldCharType="separate"/>
        </w:r>
        <w:r>
          <w:rPr>
            <w:webHidden/>
          </w:rPr>
          <w:t>3</w:t>
        </w:r>
        <w:r>
          <w:rPr>
            <w:webHidden/>
          </w:rPr>
          <w:fldChar w:fldCharType="end"/>
        </w:r>
      </w:hyperlink>
    </w:p>
    <w:p w14:paraId="5DE8BE39" w14:textId="6736D7A0" w:rsidR="00754872" w:rsidRDefault="00754872">
      <w:pPr>
        <w:pStyle w:val="TOC1"/>
        <w:rPr>
          <w:rFonts w:asciiTheme="minorHAnsi" w:eastAsiaTheme="minorEastAsia" w:hAnsiTheme="minorHAnsi" w:cstheme="minorBidi"/>
          <w:bCs w:val="0"/>
          <w:color w:val="auto"/>
          <w:kern w:val="0"/>
          <w:sz w:val="22"/>
          <w:szCs w:val="22"/>
          <w:lang w:eastAsia="en-AU"/>
        </w:rPr>
      </w:pPr>
      <w:hyperlink w:anchor="_Toc92283693" w:history="1">
        <w:r w:rsidRPr="00485506">
          <w:rPr>
            <w:rStyle w:val="Hyperlink"/>
          </w:rPr>
          <w:t>Enduring priorities</w:t>
        </w:r>
        <w:r>
          <w:rPr>
            <w:webHidden/>
          </w:rPr>
          <w:tab/>
        </w:r>
        <w:r>
          <w:rPr>
            <w:webHidden/>
          </w:rPr>
          <w:fldChar w:fldCharType="begin"/>
        </w:r>
        <w:r>
          <w:rPr>
            <w:webHidden/>
          </w:rPr>
          <w:instrText xml:space="preserve"> PAGEREF _Toc92283693 \h </w:instrText>
        </w:r>
        <w:r>
          <w:rPr>
            <w:webHidden/>
          </w:rPr>
        </w:r>
        <w:r>
          <w:rPr>
            <w:webHidden/>
          </w:rPr>
          <w:fldChar w:fldCharType="separate"/>
        </w:r>
        <w:r>
          <w:rPr>
            <w:webHidden/>
          </w:rPr>
          <w:t>5</w:t>
        </w:r>
        <w:r>
          <w:rPr>
            <w:webHidden/>
          </w:rPr>
          <w:fldChar w:fldCharType="end"/>
        </w:r>
      </w:hyperlink>
    </w:p>
    <w:p w14:paraId="44D671D0" w14:textId="6D2FEC7C" w:rsidR="00754872" w:rsidRDefault="00754872">
      <w:pPr>
        <w:pStyle w:val="TOC2"/>
        <w:rPr>
          <w:rFonts w:asciiTheme="minorHAnsi" w:eastAsiaTheme="minorEastAsia" w:hAnsiTheme="minorHAnsi" w:cstheme="minorBidi"/>
          <w:b w:val="0"/>
          <w:color w:val="auto"/>
          <w:sz w:val="22"/>
          <w:szCs w:val="22"/>
          <w:lang w:eastAsia="en-AU"/>
        </w:rPr>
      </w:pPr>
      <w:hyperlink w:anchor="_Toc92283694" w:history="1">
        <w:r w:rsidRPr="00485506">
          <w:rPr>
            <w:rStyle w:val="Hyperlink"/>
          </w:rPr>
          <w:t>Dishonest conduct</w:t>
        </w:r>
        <w:r>
          <w:rPr>
            <w:webHidden/>
          </w:rPr>
          <w:tab/>
        </w:r>
        <w:r>
          <w:rPr>
            <w:webHidden/>
          </w:rPr>
          <w:fldChar w:fldCharType="begin"/>
        </w:r>
        <w:r>
          <w:rPr>
            <w:webHidden/>
          </w:rPr>
          <w:instrText xml:space="preserve"> PAGEREF _Toc92283694 \h </w:instrText>
        </w:r>
        <w:r>
          <w:rPr>
            <w:webHidden/>
          </w:rPr>
        </w:r>
        <w:r>
          <w:rPr>
            <w:webHidden/>
          </w:rPr>
          <w:fldChar w:fldCharType="separate"/>
        </w:r>
        <w:r>
          <w:rPr>
            <w:webHidden/>
          </w:rPr>
          <w:t>5</w:t>
        </w:r>
        <w:r>
          <w:rPr>
            <w:webHidden/>
          </w:rPr>
          <w:fldChar w:fldCharType="end"/>
        </w:r>
      </w:hyperlink>
    </w:p>
    <w:p w14:paraId="71D921FC" w14:textId="21F4D750" w:rsidR="00754872" w:rsidRDefault="00754872">
      <w:pPr>
        <w:pStyle w:val="TOC2"/>
        <w:rPr>
          <w:rFonts w:asciiTheme="minorHAnsi" w:eastAsiaTheme="minorEastAsia" w:hAnsiTheme="minorHAnsi" w:cstheme="minorBidi"/>
          <w:b w:val="0"/>
          <w:color w:val="auto"/>
          <w:sz w:val="22"/>
          <w:szCs w:val="22"/>
          <w:lang w:eastAsia="en-AU"/>
        </w:rPr>
      </w:pPr>
      <w:hyperlink w:anchor="_Toc92283695" w:history="1">
        <w:r w:rsidRPr="00485506">
          <w:rPr>
            <w:rStyle w:val="Hyperlink"/>
          </w:rPr>
          <w:t>Unregistered products</w:t>
        </w:r>
        <w:r>
          <w:rPr>
            <w:webHidden/>
          </w:rPr>
          <w:tab/>
        </w:r>
        <w:r>
          <w:rPr>
            <w:webHidden/>
          </w:rPr>
          <w:fldChar w:fldCharType="begin"/>
        </w:r>
        <w:r>
          <w:rPr>
            <w:webHidden/>
          </w:rPr>
          <w:instrText xml:space="preserve"> PAGEREF _Toc92283695 \h </w:instrText>
        </w:r>
        <w:r>
          <w:rPr>
            <w:webHidden/>
          </w:rPr>
        </w:r>
        <w:r>
          <w:rPr>
            <w:webHidden/>
          </w:rPr>
          <w:fldChar w:fldCharType="separate"/>
        </w:r>
        <w:r>
          <w:rPr>
            <w:webHidden/>
          </w:rPr>
          <w:t>5</w:t>
        </w:r>
        <w:r>
          <w:rPr>
            <w:webHidden/>
          </w:rPr>
          <w:fldChar w:fldCharType="end"/>
        </w:r>
      </w:hyperlink>
    </w:p>
    <w:p w14:paraId="31F9B031" w14:textId="57DC3B72" w:rsidR="00754872" w:rsidRDefault="00754872">
      <w:pPr>
        <w:pStyle w:val="TOC2"/>
        <w:rPr>
          <w:rFonts w:asciiTheme="minorHAnsi" w:eastAsiaTheme="minorEastAsia" w:hAnsiTheme="minorHAnsi" w:cstheme="minorBidi"/>
          <w:b w:val="0"/>
          <w:color w:val="auto"/>
          <w:sz w:val="22"/>
          <w:szCs w:val="22"/>
          <w:lang w:eastAsia="en-AU"/>
        </w:rPr>
      </w:pPr>
      <w:hyperlink w:anchor="_Toc92283696" w:history="1">
        <w:r w:rsidRPr="00485506">
          <w:rPr>
            <w:rStyle w:val="Hyperlink"/>
          </w:rPr>
          <w:t>Importation of unregistered products</w:t>
        </w:r>
        <w:r>
          <w:rPr>
            <w:webHidden/>
          </w:rPr>
          <w:tab/>
        </w:r>
        <w:r>
          <w:rPr>
            <w:webHidden/>
          </w:rPr>
          <w:fldChar w:fldCharType="begin"/>
        </w:r>
        <w:r>
          <w:rPr>
            <w:webHidden/>
          </w:rPr>
          <w:instrText xml:space="preserve"> PAGEREF _Toc92283696 \h </w:instrText>
        </w:r>
        <w:r>
          <w:rPr>
            <w:webHidden/>
          </w:rPr>
        </w:r>
        <w:r>
          <w:rPr>
            <w:webHidden/>
          </w:rPr>
          <w:fldChar w:fldCharType="separate"/>
        </w:r>
        <w:r>
          <w:rPr>
            <w:webHidden/>
          </w:rPr>
          <w:t>5</w:t>
        </w:r>
        <w:r>
          <w:rPr>
            <w:webHidden/>
          </w:rPr>
          <w:fldChar w:fldCharType="end"/>
        </w:r>
      </w:hyperlink>
    </w:p>
    <w:p w14:paraId="52E91427" w14:textId="40650F45" w:rsidR="00754872" w:rsidRDefault="00754872">
      <w:pPr>
        <w:pStyle w:val="TOC2"/>
        <w:rPr>
          <w:rFonts w:asciiTheme="minorHAnsi" w:eastAsiaTheme="minorEastAsia" w:hAnsiTheme="minorHAnsi" w:cstheme="minorBidi"/>
          <w:b w:val="0"/>
          <w:color w:val="auto"/>
          <w:sz w:val="22"/>
          <w:szCs w:val="22"/>
          <w:lang w:eastAsia="en-AU"/>
        </w:rPr>
      </w:pPr>
      <w:hyperlink w:anchor="_Toc92283697" w:history="1">
        <w:r w:rsidRPr="00485506">
          <w:rPr>
            <w:rStyle w:val="Hyperlink"/>
          </w:rPr>
          <w:t>Emerging or critical events</w:t>
        </w:r>
        <w:r>
          <w:rPr>
            <w:webHidden/>
          </w:rPr>
          <w:tab/>
        </w:r>
        <w:r>
          <w:rPr>
            <w:webHidden/>
          </w:rPr>
          <w:fldChar w:fldCharType="begin"/>
        </w:r>
        <w:r>
          <w:rPr>
            <w:webHidden/>
          </w:rPr>
          <w:instrText xml:space="preserve"> PAGEREF _Toc92283697 \h </w:instrText>
        </w:r>
        <w:r>
          <w:rPr>
            <w:webHidden/>
          </w:rPr>
        </w:r>
        <w:r>
          <w:rPr>
            <w:webHidden/>
          </w:rPr>
          <w:fldChar w:fldCharType="separate"/>
        </w:r>
        <w:r>
          <w:rPr>
            <w:webHidden/>
          </w:rPr>
          <w:t>5</w:t>
        </w:r>
        <w:r>
          <w:rPr>
            <w:webHidden/>
          </w:rPr>
          <w:fldChar w:fldCharType="end"/>
        </w:r>
      </w:hyperlink>
    </w:p>
    <w:p w14:paraId="52B6F987" w14:textId="3133E3A1" w:rsidR="00754872" w:rsidRDefault="00754872">
      <w:pPr>
        <w:pStyle w:val="TOC2"/>
        <w:rPr>
          <w:rFonts w:asciiTheme="minorHAnsi" w:eastAsiaTheme="minorEastAsia" w:hAnsiTheme="minorHAnsi" w:cstheme="minorBidi"/>
          <w:b w:val="0"/>
          <w:color w:val="auto"/>
          <w:sz w:val="22"/>
          <w:szCs w:val="22"/>
          <w:lang w:eastAsia="en-AU"/>
        </w:rPr>
      </w:pPr>
      <w:hyperlink w:anchor="_Toc92283698" w:history="1">
        <w:r w:rsidRPr="00485506">
          <w:rPr>
            <w:rStyle w:val="Hyperlink"/>
          </w:rPr>
          <w:t>Reception and response timelines</w:t>
        </w:r>
        <w:r>
          <w:rPr>
            <w:webHidden/>
          </w:rPr>
          <w:tab/>
        </w:r>
        <w:r>
          <w:rPr>
            <w:webHidden/>
          </w:rPr>
          <w:fldChar w:fldCharType="begin"/>
        </w:r>
        <w:r>
          <w:rPr>
            <w:webHidden/>
          </w:rPr>
          <w:instrText xml:space="preserve"> PAGEREF _Toc92283698 \h </w:instrText>
        </w:r>
        <w:r>
          <w:rPr>
            <w:webHidden/>
          </w:rPr>
        </w:r>
        <w:r>
          <w:rPr>
            <w:webHidden/>
          </w:rPr>
          <w:fldChar w:fldCharType="separate"/>
        </w:r>
        <w:r>
          <w:rPr>
            <w:webHidden/>
          </w:rPr>
          <w:t>6</w:t>
        </w:r>
        <w:r>
          <w:rPr>
            <w:webHidden/>
          </w:rPr>
          <w:fldChar w:fldCharType="end"/>
        </w:r>
      </w:hyperlink>
    </w:p>
    <w:p w14:paraId="508F9652" w14:textId="7848E4D4" w:rsidR="00754872" w:rsidRDefault="00754872">
      <w:pPr>
        <w:pStyle w:val="TOC2"/>
        <w:rPr>
          <w:rFonts w:asciiTheme="minorHAnsi" w:eastAsiaTheme="minorEastAsia" w:hAnsiTheme="minorHAnsi" w:cstheme="minorBidi"/>
          <w:b w:val="0"/>
          <w:color w:val="auto"/>
          <w:sz w:val="22"/>
          <w:szCs w:val="22"/>
          <w:lang w:eastAsia="en-AU"/>
        </w:rPr>
      </w:pPr>
      <w:hyperlink w:anchor="_Toc92283699" w:history="1">
        <w:r w:rsidRPr="00485506">
          <w:rPr>
            <w:rStyle w:val="Hyperlink"/>
          </w:rPr>
          <w:t>Accepting, deferring, or declining investigations</w:t>
        </w:r>
        <w:r>
          <w:rPr>
            <w:webHidden/>
          </w:rPr>
          <w:tab/>
        </w:r>
        <w:r>
          <w:rPr>
            <w:webHidden/>
          </w:rPr>
          <w:fldChar w:fldCharType="begin"/>
        </w:r>
        <w:r>
          <w:rPr>
            <w:webHidden/>
          </w:rPr>
          <w:instrText xml:space="preserve"> PAGEREF _Toc92283699 \h </w:instrText>
        </w:r>
        <w:r>
          <w:rPr>
            <w:webHidden/>
          </w:rPr>
        </w:r>
        <w:r>
          <w:rPr>
            <w:webHidden/>
          </w:rPr>
          <w:fldChar w:fldCharType="separate"/>
        </w:r>
        <w:r>
          <w:rPr>
            <w:webHidden/>
          </w:rPr>
          <w:t>6</w:t>
        </w:r>
        <w:r>
          <w:rPr>
            <w:webHidden/>
          </w:rPr>
          <w:fldChar w:fldCharType="end"/>
        </w:r>
      </w:hyperlink>
    </w:p>
    <w:p w14:paraId="2F869F4E" w14:textId="0A2442CE" w:rsidR="00754872" w:rsidRDefault="00754872">
      <w:pPr>
        <w:pStyle w:val="TOC1"/>
        <w:rPr>
          <w:rFonts w:asciiTheme="minorHAnsi" w:eastAsiaTheme="minorEastAsia" w:hAnsiTheme="minorHAnsi" w:cstheme="minorBidi"/>
          <w:bCs w:val="0"/>
          <w:color w:val="auto"/>
          <w:kern w:val="0"/>
          <w:sz w:val="22"/>
          <w:szCs w:val="22"/>
          <w:lang w:eastAsia="en-AU"/>
        </w:rPr>
      </w:pPr>
      <w:hyperlink w:anchor="_Toc92283700" w:history="1">
        <w:r w:rsidRPr="00485506">
          <w:rPr>
            <w:rStyle w:val="Hyperlink"/>
          </w:rPr>
          <w:t>Appendix A – Subjective and objective factors</w:t>
        </w:r>
        <w:r>
          <w:rPr>
            <w:webHidden/>
          </w:rPr>
          <w:tab/>
        </w:r>
        <w:r>
          <w:rPr>
            <w:webHidden/>
          </w:rPr>
          <w:fldChar w:fldCharType="begin"/>
        </w:r>
        <w:r>
          <w:rPr>
            <w:webHidden/>
          </w:rPr>
          <w:instrText xml:space="preserve"> PAGEREF _Toc92283700 \h </w:instrText>
        </w:r>
        <w:r>
          <w:rPr>
            <w:webHidden/>
          </w:rPr>
        </w:r>
        <w:r>
          <w:rPr>
            <w:webHidden/>
          </w:rPr>
          <w:fldChar w:fldCharType="separate"/>
        </w:r>
        <w:r>
          <w:rPr>
            <w:webHidden/>
          </w:rPr>
          <w:t>9</w:t>
        </w:r>
        <w:r>
          <w:rPr>
            <w:webHidden/>
          </w:rPr>
          <w:fldChar w:fldCharType="end"/>
        </w:r>
      </w:hyperlink>
    </w:p>
    <w:p w14:paraId="5A9A532B" w14:textId="2F24ECDF" w:rsidR="00754872" w:rsidRDefault="00754872">
      <w:pPr>
        <w:pStyle w:val="TOC1"/>
        <w:rPr>
          <w:rFonts w:asciiTheme="minorHAnsi" w:eastAsiaTheme="minorEastAsia" w:hAnsiTheme="minorHAnsi" w:cstheme="minorBidi"/>
          <w:bCs w:val="0"/>
          <w:color w:val="auto"/>
          <w:kern w:val="0"/>
          <w:sz w:val="22"/>
          <w:szCs w:val="22"/>
          <w:lang w:eastAsia="en-AU"/>
        </w:rPr>
      </w:pPr>
      <w:hyperlink w:anchor="_Toc92283701" w:history="1">
        <w:r w:rsidRPr="00485506">
          <w:rPr>
            <w:rStyle w:val="Hyperlink"/>
          </w:rPr>
          <w:t>Appendix B – Risk assessment matrix</w:t>
        </w:r>
        <w:r>
          <w:rPr>
            <w:webHidden/>
          </w:rPr>
          <w:tab/>
        </w:r>
        <w:r>
          <w:rPr>
            <w:webHidden/>
          </w:rPr>
          <w:fldChar w:fldCharType="begin"/>
        </w:r>
        <w:r>
          <w:rPr>
            <w:webHidden/>
          </w:rPr>
          <w:instrText xml:space="preserve"> PAGEREF _Toc92283701 \h </w:instrText>
        </w:r>
        <w:r>
          <w:rPr>
            <w:webHidden/>
          </w:rPr>
        </w:r>
        <w:r>
          <w:rPr>
            <w:webHidden/>
          </w:rPr>
          <w:fldChar w:fldCharType="separate"/>
        </w:r>
        <w:r>
          <w:rPr>
            <w:webHidden/>
          </w:rPr>
          <w:t>11</w:t>
        </w:r>
        <w:r>
          <w:rPr>
            <w:webHidden/>
          </w:rPr>
          <w:fldChar w:fldCharType="end"/>
        </w:r>
      </w:hyperlink>
    </w:p>
    <w:p w14:paraId="5EFAD1FC" w14:textId="6D757EAC" w:rsidR="00EF26EA" w:rsidRDefault="005064D5" w:rsidP="008B550C">
      <w:pPr>
        <w:pStyle w:val="TOCH1"/>
        <w:spacing w:before="500"/>
        <w:rPr>
          <w:noProof/>
        </w:rPr>
      </w:pPr>
      <w:r>
        <w:rPr>
          <w:rFonts w:ascii="Trebuchet MS" w:hAnsi="Trebuchet MS"/>
          <w:b/>
          <w:caps/>
          <w:noProof/>
          <w:color w:val="00747A" w:themeColor="background2"/>
          <w:szCs w:val="30"/>
        </w:rPr>
        <w:fldChar w:fldCharType="end"/>
      </w:r>
      <w:r w:rsidR="002E20AC" w:rsidRPr="00FB0015">
        <w:rPr>
          <w:noProof/>
        </w:rPr>
        <w:t>List of tables</w:t>
      </w:r>
      <w:r w:rsidR="008B550C">
        <w:rPr>
          <w:noProof/>
          <w:color w:val="00747A" w:themeColor="background2"/>
        </w:rPr>
        <w:fldChar w:fldCharType="begin"/>
      </w:r>
      <w:r w:rsidR="008B550C">
        <w:rPr>
          <w:noProof/>
          <w:color w:val="00747A" w:themeColor="background2"/>
        </w:rPr>
        <w:instrText xml:space="preserve"> TOC \c "Table" </w:instrText>
      </w:r>
      <w:r w:rsidR="008B550C">
        <w:rPr>
          <w:noProof/>
          <w:color w:val="00747A" w:themeColor="background2"/>
        </w:rPr>
        <w:fldChar w:fldCharType="separate"/>
      </w:r>
    </w:p>
    <w:p w14:paraId="325A77D9" w14:textId="069EA363" w:rsidR="00EF26EA" w:rsidRDefault="00EF26EA" w:rsidP="00551DE0">
      <w:pPr>
        <w:pStyle w:val="TableofFigures"/>
        <w:rPr>
          <w:rFonts w:asciiTheme="minorHAnsi" w:eastAsiaTheme="minorEastAsia" w:hAnsiTheme="minorHAnsi" w:cstheme="minorBidi"/>
          <w:color w:val="auto"/>
          <w:sz w:val="22"/>
          <w:szCs w:val="22"/>
          <w:lang w:eastAsia="en-AU"/>
        </w:rPr>
      </w:pPr>
      <w:r>
        <w:t>Table 1:</w:t>
      </w:r>
      <w:r>
        <w:rPr>
          <w:rFonts w:asciiTheme="minorHAnsi" w:eastAsiaTheme="minorEastAsia" w:hAnsiTheme="minorHAnsi" w:cstheme="minorBidi"/>
          <w:color w:val="auto"/>
          <w:sz w:val="22"/>
          <w:szCs w:val="22"/>
          <w:lang w:eastAsia="en-AU"/>
        </w:rPr>
        <w:tab/>
      </w:r>
      <w:r>
        <w:t>Risk and complexity-based guidelines</w:t>
      </w:r>
      <w:r>
        <w:tab/>
      </w:r>
      <w:r>
        <w:fldChar w:fldCharType="begin"/>
      </w:r>
      <w:r>
        <w:instrText xml:space="preserve"> PAGEREF _Toc92189759 \h </w:instrText>
      </w:r>
      <w:r>
        <w:fldChar w:fldCharType="separate"/>
      </w:r>
      <w:r>
        <w:t>9</w:t>
      </w:r>
      <w:r>
        <w:fldChar w:fldCharType="end"/>
      </w:r>
    </w:p>
    <w:p w14:paraId="642BE59F" w14:textId="283FC527" w:rsidR="002A3239" w:rsidRDefault="008B550C" w:rsidP="00EF26EA">
      <w:pPr>
        <w:pStyle w:val="TOCH1"/>
        <w:spacing w:before="500"/>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6A1014FE" w14:textId="2DFF043E" w:rsidR="002E20AC" w:rsidRDefault="00EF26EA" w:rsidP="008B550C">
      <w:pPr>
        <w:pStyle w:val="Heading1"/>
      </w:pPr>
      <w:bookmarkStart w:id="1" w:name="_Toc92283687"/>
      <w:r>
        <w:t>Introduction</w:t>
      </w:r>
      <w:bookmarkEnd w:id="1"/>
    </w:p>
    <w:p w14:paraId="4A1E1249" w14:textId="77777777" w:rsidR="00EF26EA" w:rsidRPr="008533E5" w:rsidRDefault="00EF26EA" w:rsidP="00EF26EA">
      <w:pPr>
        <w:pStyle w:val="NormalText"/>
      </w:pPr>
      <w:r w:rsidRPr="008533E5">
        <w:t xml:space="preserve">The </w:t>
      </w:r>
      <w:r>
        <w:t>Australian Pesticides and Veterinary Medicines Authority (APVMA)</w:t>
      </w:r>
      <w:r w:rsidRPr="008533E5">
        <w:t xml:space="preserve"> is Aus</w:t>
      </w:r>
      <w:r>
        <w:t>tralia’s national regulator of a</w:t>
      </w:r>
      <w:r w:rsidRPr="008533E5">
        <w:t xml:space="preserve">gricultural and </w:t>
      </w:r>
      <w:r>
        <w:t>v</w:t>
      </w:r>
      <w:r w:rsidRPr="008533E5">
        <w:t>eterinary</w:t>
      </w:r>
      <w:r>
        <w:t xml:space="preserve"> (agvet)</w:t>
      </w:r>
      <w:r w:rsidRPr="008533E5">
        <w:t xml:space="preserve"> chemicals</w:t>
      </w:r>
      <w:r>
        <w:t>,</w:t>
      </w:r>
      <w:r w:rsidRPr="008533E5">
        <w:t xml:space="preserve"> and the lead agency for the investigation of allegations of non-compliance with </w:t>
      </w:r>
      <w:r>
        <w:t xml:space="preserve">Australia’s </w:t>
      </w:r>
      <w:r w:rsidRPr="006C3107">
        <w:t xml:space="preserve">Agvet </w:t>
      </w:r>
      <w:r>
        <w:t>L</w:t>
      </w:r>
      <w:r w:rsidRPr="006C3107">
        <w:t>aws</w:t>
      </w:r>
      <w:r w:rsidRPr="008533E5">
        <w:t xml:space="preserve">. The </w:t>
      </w:r>
      <w:r>
        <w:t>Assessment, Investigation</w:t>
      </w:r>
      <w:r w:rsidRPr="008533E5">
        <w:t xml:space="preserve"> and Monitoring Section is responsible for achieving these outcomes under the </w:t>
      </w:r>
      <w:r w:rsidRPr="00926CB0">
        <w:t>Agvet Code</w:t>
      </w:r>
      <w:r w:rsidRPr="008533E5">
        <w:t>.</w:t>
      </w:r>
    </w:p>
    <w:p w14:paraId="7EB05DCC" w14:textId="77777777" w:rsidR="00EF26EA" w:rsidRDefault="00EF26EA" w:rsidP="00EF26EA">
      <w:pPr>
        <w:pStyle w:val="NormalText"/>
      </w:pPr>
      <w:r>
        <w:t xml:space="preserve">The APVMA applies the principles of the </w:t>
      </w:r>
      <w:hyperlink r:id="rId21" w:history="1">
        <w:r w:rsidRPr="00CC6AC5">
          <w:rPr>
            <w:rStyle w:val="Hyperlink"/>
          </w:rPr>
          <w:t>Regulator Performance Guide</w:t>
        </w:r>
      </w:hyperlink>
      <w:r>
        <w:t xml:space="preserve"> (</w:t>
      </w:r>
      <w:r w:rsidRPr="00D8104A">
        <w:rPr>
          <w:b/>
        </w:rPr>
        <w:t>RPG</w:t>
      </w:r>
      <w:r>
        <w:t>) in the course of performing compliance, enforcement, investigation and monitoring functions.</w:t>
      </w:r>
    </w:p>
    <w:p w14:paraId="4F0B4ECC" w14:textId="77777777" w:rsidR="00EF26EA" w:rsidRDefault="00EF26EA" w:rsidP="00EF26EA">
      <w:pPr>
        <w:pStyle w:val="NormalText"/>
      </w:pPr>
      <w:r w:rsidRPr="008A25DB">
        <w:t>The A</w:t>
      </w:r>
      <w:r>
        <w:t>PVMA</w:t>
      </w:r>
      <w:r w:rsidRPr="008A25DB">
        <w:t xml:space="preserve"> cannot pursue all matters that come to </w:t>
      </w:r>
      <w:r>
        <w:t>its</w:t>
      </w:r>
      <w:r w:rsidRPr="008A25DB">
        <w:t xml:space="preserve"> attention. The </w:t>
      </w:r>
      <w:r>
        <w:t>APVMA</w:t>
      </w:r>
      <w:r w:rsidRPr="008A25DB">
        <w:t xml:space="preserve"> focus</w:t>
      </w:r>
      <w:r>
        <w:t>es</w:t>
      </w:r>
      <w:r w:rsidRPr="008A25DB">
        <w:t xml:space="preserve"> on those circumstances that will, or have the potential to, impact </w:t>
      </w:r>
      <w:r>
        <w:t>its legislative and policy responsibilities</w:t>
      </w:r>
      <w:r w:rsidRPr="008A25DB">
        <w:t>. The A</w:t>
      </w:r>
      <w:r>
        <w:t>PVMA</w:t>
      </w:r>
      <w:r w:rsidRPr="008A25DB">
        <w:t xml:space="preserve"> exercises discretion to direct resources to matters that provide the greatest overall benefit</w:t>
      </w:r>
      <w:r>
        <w:t xml:space="preserve"> to the operation of the agvet scheme</w:t>
      </w:r>
      <w:r w:rsidRPr="008A25DB">
        <w:t>.</w:t>
      </w:r>
    </w:p>
    <w:p w14:paraId="7FDAD354" w14:textId="77777777" w:rsidR="00EF26EA" w:rsidRPr="008533E5" w:rsidRDefault="00EF26EA" w:rsidP="00EF26EA">
      <w:pPr>
        <w:pStyle w:val="NormalText"/>
      </w:pPr>
      <w:r w:rsidRPr="008533E5">
        <w:t>To achieve appropriate allocation of resources</w:t>
      </w:r>
      <w:r>
        <w:t>,</w:t>
      </w:r>
      <w:r w:rsidRPr="008533E5">
        <w:t xml:space="preserve"> the APVMA, through the Case Assessment Group (</w:t>
      </w:r>
      <w:r w:rsidRPr="00D8104A">
        <w:rPr>
          <w:b/>
        </w:rPr>
        <w:t>CAG</w:t>
      </w:r>
      <w:r w:rsidRPr="008533E5">
        <w:t>), assesses these matters against its Compliance Case Categorisation and Prioritisation Model (</w:t>
      </w:r>
      <w:r w:rsidRPr="00D8104A">
        <w:rPr>
          <w:b/>
        </w:rPr>
        <w:t>CCPM</w:t>
      </w:r>
      <w:r w:rsidRPr="008533E5">
        <w:t>). This methodology is adopted across Commonwealth agencies with law enforcement, investigative, regulatory and compliance responsibilities.</w:t>
      </w:r>
    </w:p>
    <w:p w14:paraId="1E27121F" w14:textId="77777777" w:rsidR="00EF26EA" w:rsidRDefault="00EF26EA" w:rsidP="00EF26EA">
      <w:pPr>
        <w:pStyle w:val="NormalText"/>
        <w:sectPr w:rsidR="00EF26EA" w:rsidSect="00EF26EA">
          <w:headerReference w:type="even" r:id="rId22"/>
          <w:headerReference w:type="default" r:id="rId23"/>
          <w:pgSz w:w="11906" w:h="16838" w:code="9"/>
          <w:pgMar w:top="2835" w:right="1134" w:bottom="1134" w:left="1134" w:header="1701" w:footer="680" w:gutter="0"/>
          <w:pgNumType w:start="1"/>
          <w:cols w:space="708"/>
          <w:docGrid w:linePitch="360"/>
        </w:sectPr>
      </w:pPr>
      <w:r w:rsidRPr="008533E5">
        <w:t>The APVMA CCPM provides for a consistent</w:t>
      </w:r>
      <w:r>
        <w:t xml:space="preserve"> and transparent</w:t>
      </w:r>
      <w:r w:rsidRPr="008533E5">
        <w:t xml:space="preserve"> risk-based approach to addressing allegations and referrals to the A</w:t>
      </w:r>
      <w:r>
        <w:t>PVMA</w:t>
      </w:r>
      <w:r w:rsidRPr="008533E5">
        <w:t>, and demonstrates the objective factors used by the APVMA in determining risk, response and resource allocation.</w:t>
      </w:r>
    </w:p>
    <w:p w14:paraId="08EA3AF3" w14:textId="5224C637" w:rsidR="00EF26EA" w:rsidRDefault="00EF26EA" w:rsidP="00EF26EA">
      <w:pPr>
        <w:pStyle w:val="Heading1"/>
      </w:pPr>
      <w:bookmarkStart w:id="2" w:name="_Toc92283688"/>
      <w:r>
        <w:t>The Case Assessment Group</w:t>
      </w:r>
      <w:bookmarkEnd w:id="2"/>
    </w:p>
    <w:p w14:paraId="60A778AC" w14:textId="77777777" w:rsidR="00EF26EA" w:rsidRPr="00EF26EA" w:rsidRDefault="00EF26EA" w:rsidP="00EF26EA">
      <w:pPr>
        <w:pStyle w:val="NormalText"/>
      </w:pPr>
      <w:r w:rsidRPr="00EF26EA">
        <w:t>This policy establishes the Case Assessment Group (CAG), consisting of:</w:t>
      </w:r>
    </w:p>
    <w:p w14:paraId="13CD4CC8" w14:textId="77777777" w:rsidR="00EF26EA" w:rsidRPr="00EF26EA" w:rsidRDefault="00EF26EA" w:rsidP="00EF26EA">
      <w:pPr>
        <w:pStyle w:val="Bullet1"/>
      </w:pPr>
      <w:r w:rsidRPr="00EF26EA">
        <w:t>the Executive Director, Compliance</w:t>
      </w:r>
    </w:p>
    <w:p w14:paraId="46075685" w14:textId="77777777" w:rsidR="00EF26EA" w:rsidRPr="00EF26EA" w:rsidRDefault="00EF26EA" w:rsidP="00EF26EA">
      <w:pPr>
        <w:pStyle w:val="Bullet1"/>
      </w:pPr>
      <w:r w:rsidRPr="00EF26EA">
        <w:t>the Director Assessment, Investigation and Monitoring</w:t>
      </w:r>
    </w:p>
    <w:p w14:paraId="228EF932" w14:textId="77777777" w:rsidR="00EF26EA" w:rsidRPr="00EF26EA" w:rsidRDefault="00EF26EA" w:rsidP="00EF26EA">
      <w:pPr>
        <w:pStyle w:val="Bullet1"/>
      </w:pPr>
      <w:r w:rsidRPr="00EF26EA">
        <w:t>Assistant Director/s Assessment, Investigation and Monitoring</w:t>
      </w:r>
    </w:p>
    <w:p w14:paraId="61FAB493" w14:textId="77777777" w:rsidR="00EF26EA" w:rsidRPr="00EF26EA" w:rsidRDefault="00EF26EA" w:rsidP="00EF26EA">
      <w:pPr>
        <w:pStyle w:val="Bullet1"/>
      </w:pPr>
      <w:r w:rsidRPr="00EF26EA">
        <w:t>other APVMA officers on invitation.</w:t>
      </w:r>
    </w:p>
    <w:p w14:paraId="69EE5B31" w14:textId="6099C355" w:rsidR="00EF26EA" w:rsidRDefault="00EF26EA" w:rsidP="00EF26EA">
      <w:pPr>
        <w:pStyle w:val="NormalText"/>
      </w:pPr>
      <w:r w:rsidRPr="008533E5">
        <w:t>The purpose and role of the CAG is to</w:t>
      </w:r>
      <w:r>
        <w:t xml:space="preserve"> evaluate, </w:t>
      </w:r>
      <w:r w:rsidRPr="008533E5">
        <w:t>categorise and prioritise each referral and allegation</w:t>
      </w:r>
      <w:r>
        <w:t xml:space="preserve"> </w:t>
      </w:r>
      <w:r w:rsidRPr="008533E5">
        <w:t xml:space="preserve">against the CCPM, in accordance with this policy and the </w:t>
      </w:r>
      <w:hyperlink r:id="rId24" w:history="1">
        <w:r w:rsidRPr="00CC6AC5">
          <w:rPr>
            <w:rStyle w:val="Hyperlink"/>
          </w:rPr>
          <w:t>Australian Government Investigation Standards</w:t>
        </w:r>
      </w:hyperlink>
      <w:r w:rsidRPr="008533E5">
        <w:t xml:space="preserve"> (</w:t>
      </w:r>
      <w:r w:rsidRPr="00D8104A">
        <w:rPr>
          <w:b/>
        </w:rPr>
        <w:t>AGIS</w:t>
      </w:r>
      <w:r w:rsidRPr="008533E5">
        <w:t>).</w:t>
      </w:r>
    </w:p>
    <w:p w14:paraId="782D674D" w14:textId="77777777" w:rsidR="00EF26EA" w:rsidRPr="008533E5" w:rsidRDefault="00EF26EA" w:rsidP="00EF26EA">
      <w:pPr>
        <w:pStyle w:val="NormalText"/>
      </w:pPr>
      <w:r w:rsidRPr="008533E5">
        <w:t>The CAG may decide to</w:t>
      </w:r>
      <w:r>
        <w:t>:</w:t>
      </w:r>
    </w:p>
    <w:p w14:paraId="00E0E286" w14:textId="77777777" w:rsidR="00EF26EA" w:rsidRPr="008533E5" w:rsidRDefault="00EF26EA" w:rsidP="00EF26EA">
      <w:pPr>
        <w:pStyle w:val="Bullet1"/>
        <w:numPr>
          <w:ilvl w:val="0"/>
          <w:numId w:val="3"/>
        </w:numPr>
      </w:pPr>
      <w:r w:rsidRPr="008533E5">
        <w:t>accept a matter for investigation</w:t>
      </w:r>
    </w:p>
    <w:p w14:paraId="4E5ED15F" w14:textId="77777777" w:rsidR="00EF26EA" w:rsidRDefault="00EF26EA" w:rsidP="00EF26EA">
      <w:pPr>
        <w:pStyle w:val="Bullet1"/>
        <w:numPr>
          <w:ilvl w:val="0"/>
          <w:numId w:val="3"/>
        </w:numPr>
      </w:pPr>
      <w:r>
        <w:t>decline to investigate</w:t>
      </w:r>
    </w:p>
    <w:p w14:paraId="2693072D" w14:textId="77777777" w:rsidR="00EF26EA" w:rsidRDefault="00EF26EA" w:rsidP="00EF26EA">
      <w:pPr>
        <w:pStyle w:val="Bullet1"/>
        <w:numPr>
          <w:ilvl w:val="0"/>
          <w:numId w:val="3"/>
        </w:numPr>
      </w:pPr>
      <w:r>
        <w:t>defer making a decision (e.g., pending receipt of further information)</w:t>
      </w:r>
    </w:p>
    <w:p w14:paraId="71870A3C" w14:textId="77777777" w:rsidR="00EF26EA" w:rsidRDefault="00EF26EA" w:rsidP="00EF26EA">
      <w:pPr>
        <w:pStyle w:val="Bullet1"/>
        <w:numPr>
          <w:ilvl w:val="0"/>
          <w:numId w:val="3"/>
        </w:numPr>
      </w:pPr>
      <w:r w:rsidRPr="008533E5">
        <w:t>refer a matter to another agency</w:t>
      </w:r>
    </w:p>
    <w:p w14:paraId="64A0852C" w14:textId="77777777" w:rsidR="00EF26EA" w:rsidRDefault="00EF26EA" w:rsidP="00EF26EA">
      <w:pPr>
        <w:pStyle w:val="Bullet1"/>
        <w:numPr>
          <w:ilvl w:val="0"/>
          <w:numId w:val="3"/>
        </w:numPr>
      </w:pPr>
      <w:r>
        <w:t>refer the matter to another</w:t>
      </w:r>
      <w:r w:rsidRPr="008533E5">
        <w:t xml:space="preserve"> part of the APVMA</w:t>
      </w:r>
    </w:p>
    <w:p w14:paraId="7D21E00B" w14:textId="77777777" w:rsidR="00EF26EA" w:rsidRPr="00EF26EA" w:rsidRDefault="00EF26EA" w:rsidP="00EF26EA">
      <w:pPr>
        <w:pStyle w:val="Bullet1"/>
        <w:numPr>
          <w:ilvl w:val="0"/>
          <w:numId w:val="3"/>
        </w:numPr>
      </w:pPr>
      <w:r>
        <w:t>proactively address the matter as a vol</w:t>
      </w:r>
      <w:r w:rsidRPr="00EF26EA">
        <w:t>untary compliance outcome or by providing education material.</w:t>
      </w:r>
    </w:p>
    <w:p w14:paraId="179CF7E4" w14:textId="05E776B7" w:rsidR="00EF26EA" w:rsidRPr="00503B1E" w:rsidRDefault="00EF26EA" w:rsidP="00EF26EA">
      <w:pPr>
        <w:pStyle w:val="NormalText"/>
      </w:pPr>
      <w:r w:rsidRPr="00503B1E">
        <w:t xml:space="preserve">In making this determination, the </w:t>
      </w:r>
      <w:r w:rsidRPr="00D8104A">
        <w:t>CAG</w:t>
      </w:r>
      <w:r w:rsidRPr="00503B1E">
        <w:t xml:space="preserve"> applies the following principl</w:t>
      </w:r>
      <w:r w:rsidRPr="00EF26EA">
        <w:t>es:</w:t>
      </w:r>
    </w:p>
    <w:p w14:paraId="7BDE9CE6" w14:textId="79D42D38" w:rsidR="00EF26EA" w:rsidRPr="008533E5" w:rsidRDefault="00EF26EA" w:rsidP="00EF26EA">
      <w:pPr>
        <w:pStyle w:val="Bullet1"/>
        <w:numPr>
          <w:ilvl w:val="0"/>
          <w:numId w:val="3"/>
        </w:numPr>
      </w:pPr>
      <w:r>
        <w:t>T</w:t>
      </w:r>
      <w:r w:rsidRPr="008533E5">
        <w:t>he administration and enforcement of legislation in a coherent, consistent and objective way</w:t>
      </w:r>
    </w:p>
    <w:p w14:paraId="263610CD" w14:textId="7DCEDE31" w:rsidR="00EF26EA" w:rsidRDefault="00EF26EA" w:rsidP="00EF26EA">
      <w:pPr>
        <w:pStyle w:val="Bullet1"/>
        <w:numPr>
          <w:ilvl w:val="0"/>
          <w:numId w:val="3"/>
        </w:numPr>
      </w:pPr>
      <w:r>
        <w:t>Those within the RPG</w:t>
      </w:r>
    </w:p>
    <w:p w14:paraId="032F5C06" w14:textId="1AE451E7" w:rsidR="00EF26EA" w:rsidRDefault="00EF26EA" w:rsidP="00EF26EA">
      <w:pPr>
        <w:pStyle w:val="Bullet1"/>
        <w:numPr>
          <w:ilvl w:val="0"/>
          <w:numId w:val="3"/>
        </w:numPr>
      </w:pPr>
      <w:r>
        <w:t>O</w:t>
      </w:r>
      <w:r w:rsidRPr="008533E5">
        <w:t xml:space="preserve">perating as transparently as possible so as to be accountable to the </w:t>
      </w:r>
      <w:r>
        <w:t>g</w:t>
      </w:r>
      <w:r w:rsidRPr="008533E5">
        <w:t>overnment and the public</w:t>
      </w:r>
    </w:p>
    <w:p w14:paraId="4AE9F399" w14:textId="1E3A90AB" w:rsidR="00EF26EA" w:rsidRPr="008533E5" w:rsidRDefault="00EF26EA" w:rsidP="00EF26EA">
      <w:pPr>
        <w:pStyle w:val="Bullet1"/>
        <w:numPr>
          <w:ilvl w:val="0"/>
          <w:numId w:val="3"/>
        </w:numPr>
      </w:pPr>
      <w:r>
        <w:t>The APVMA risk appetite and tolerance statement</w:t>
      </w:r>
    </w:p>
    <w:p w14:paraId="0C330EE0" w14:textId="10485AC9" w:rsidR="00EF26EA" w:rsidRPr="008533E5" w:rsidRDefault="00EF26EA" w:rsidP="00EF26EA">
      <w:pPr>
        <w:pStyle w:val="Bullet1"/>
        <w:numPr>
          <w:ilvl w:val="0"/>
          <w:numId w:val="3"/>
        </w:numPr>
      </w:pPr>
      <w:r>
        <w:t>T</w:t>
      </w:r>
      <w:r w:rsidRPr="008533E5">
        <w:t>aking appropriate action against offenders and contraveners</w:t>
      </w:r>
    </w:p>
    <w:p w14:paraId="524454B9" w14:textId="06F76235" w:rsidR="00EF26EA" w:rsidRDefault="00EF26EA" w:rsidP="00EF26EA">
      <w:pPr>
        <w:pStyle w:val="Bullet1"/>
        <w:numPr>
          <w:ilvl w:val="0"/>
          <w:numId w:val="3"/>
        </w:numPr>
        <w:sectPr w:rsidR="00EF26EA">
          <w:headerReference w:type="even" r:id="rId25"/>
          <w:headerReference w:type="default" r:id="rId26"/>
          <w:pgSz w:w="11906" w:h="16838" w:code="9"/>
          <w:pgMar w:top="2835" w:right="1134" w:bottom="1134" w:left="1134" w:header="1701" w:footer="680" w:gutter="0"/>
          <w:cols w:space="708"/>
          <w:docGrid w:linePitch="360"/>
        </w:sectPr>
      </w:pPr>
      <w:r>
        <w:t>O</w:t>
      </w:r>
      <w:r w:rsidRPr="008533E5">
        <w:t>perating efficiently, effectively</w:t>
      </w:r>
      <w:r>
        <w:t xml:space="preserve">, </w:t>
      </w:r>
      <w:r w:rsidRPr="008533E5">
        <w:t xml:space="preserve">ethically </w:t>
      </w:r>
      <w:r>
        <w:t xml:space="preserve">and </w:t>
      </w:r>
      <w:r w:rsidRPr="008533E5">
        <w:t>within available resources</w:t>
      </w:r>
      <w:r w:rsidR="00A74270">
        <w:t>.</w:t>
      </w:r>
    </w:p>
    <w:p w14:paraId="1DCE6D23" w14:textId="4B76E9E3" w:rsidR="00EF26EA" w:rsidRDefault="00EF26EA" w:rsidP="00EF26EA">
      <w:pPr>
        <w:pStyle w:val="Heading1"/>
      </w:pPr>
      <w:bookmarkStart w:id="3" w:name="_Toc92283689"/>
      <w:r>
        <w:t>The CCPM</w:t>
      </w:r>
      <w:bookmarkEnd w:id="3"/>
    </w:p>
    <w:p w14:paraId="0A3323C3" w14:textId="77777777" w:rsidR="00EF26EA" w:rsidRDefault="00EF26EA" w:rsidP="00EF26EA">
      <w:pPr>
        <w:pStyle w:val="NormalText"/>
      </w:pPr>
      <w:r w:rsidRPr="008533E5">
        <w:t xml:space="preserve">The APVMA CCPM guides decision makers in assessing referrals, allegations and complaints of non-compliance or contraventions of the </w:t>
      </w:r>
      <w:r>
        <w:t xml:space="preserve">Agvet Laws (section 3 of the </w:t>
      </w:r>
      <w:hyperlink r:id="rId27" w:history="1">
        <w:r w:rsidRPr="00CC6AC5">
          <w:rPr>
            <w:rStyle w:val="Hyperlink"/>
            <w:i/>
          </w:rPr>
          <w:t>Agricultural and Veterinary Chemicals Code Act 1994</w:t>
        </w:r>
      </w:hyperlink>
      <w:r>
        <w:t xml:space="preserve"> refers)</w:t>
      </w:r>
      <w:r w:rsidRPr="008533E5">
        <w:t xml:space="preserve">. The CCPM is not intended to replace the discretion of decision makers in considering the subjective and objective factors of a matter. </w:t>
      </w:r>
    </w:p>
    <w:p w14:paraId="66EFAB1B" w14:textId="77777777" w:rsidR="00EF26EA" w:rsidRPr="00651295" w:rsidRDefault="00EF26EA" w:rsidP="00EF26EA">
      <w:pPr>
        <w:pStyle w:val="NormalText"/>
      </w:pPr>
      <w:r w:rsidRPr="008533E5">
        <w:t xml:space="preserve">The ultimate decision to accept, </w:t>
      </w:r>
      <w:r>
        <w:t xml:space="preserve">defer, or </w:t>
      </w:r>
      <w:r w:rsidRPr="008533E5">
        <w:t xml:space="preserve">reject </w:t>
      </w:r>
      <w:r>
        <w:t>an allegation</w:t>
      </w:r>
      <w:r w:rsidRPr="008533E5">
        <w:t xml:space="preserve"> remains with the </w:t>
      </w:r>
      <w:r>
        <w:t>relevant decision maker.</w:t>
      </w:r>
    </w:p>
    <w:p w14:paraId="2BF77BAA" w14:textId="147909CF" w:rsidR="00EF26EA" w:rsidRDefault="00EF26EA" w:rsidP="00EF26EA">
      <w:pPr>
        <w:pStyle w:val="Heading2"/>
      </w:pPr>
      <w:bookmarkStart w:id="4" w:name="_Toc92283690"/>
      <w:r>
        <w:t>CCPM considerations</w:t>
      </w:r>
      <w:bookmarkEnd w:id="4"/>
    </w:p>
    <w:p w14:paraId="4F5EDA36" w14:textId="77777777" w:rsidR="00EF26EA" w:rsidRPr="00176F58" w:rsidRDefault="00EF26EA" w:rsidP="00EF26EA">
      <w:pPr>
        <w:pStyle w:val="NormalText"/>
      </w:pPr>
      <w:r>
        <w:t>The CCPM takes into account:</w:t>
      </w:r>
    </w:p>
    <w:p w14:paraId="04E62988" w14:textId="77777777" w:rsidR="00EF26EA" w:rsidRDefault="00EF26EA" w:rsidP="00EF26EA">
      <w:pPr>
        <w:pStyle w:val="Bullet1"/>
        <w:numPr>
          <w:ilvl w:val="0"/>
          <w:numId w:val="3"/>
        </w:numPr>
      </w:pPr>
      <w:r w:rsidRPr="005D5204">
        <w:t xml:space="preserve">the legislative objectives </w:t>
      </w:r>
      <w:r>
        <w:t xml:space="preserve">of </w:t>
      </w:r>
      <w:r w:rsidRPr="005D5204">
        <w:t xml:space="preserve">the </w:t>
      </w:r>
      <w:r>
        <w:t>a</w:t>
      </w:r>
      <w:r w:rsidRPr="005D5204">
        <w:t xml:space="preserve">gvet </w:t>
      </w:r>
      <w:r>
        <w:t>l</w:t>
      </w:r>
      <w:r w:rsidRPr="005D5204">
        <w:t>aws</w:t>
      </w:r>
    </w:p>
    <w:p w14:paraId="0CD3E6B4" w14:textId="77777777" w:rsidR="00EF26EA" w:rsidRPr="00176F58" w:rsidRDefault="00EF26EA" w:rsidP="00EF26EA">
      <w:pPr>
        <w:pStyle w:val="Bullet1"/>
        <w:numPr>
          <w:ilvl w:val="0"/>
          <w:numId w:val="3"/>
        </w:numPr>
      </w:pPr>
      <w:r w:rsidRPr="00176F58">
        <w:t xml:space="preserve">the registration, permit or approval status of the </w:t>
      </w:r>
      <w:r>
        <w:t xml:space="preserve">active constituent or </w:t>
      </w:r>
      <w:r w:rsidRPr="00176F58">
        <w:t>chemical product</w:t>
      </w:r>
    </w:p>
    <w:p w14:paraId="384645E2" w14:textId="77777777" w:rsidR="00EF26EA" w:rsidRPr="00176F58" w:rsidRDefault="00EF26EA" w:rsidP="00EF26EA">
      <w:pPr>
        <w:pStyle w:val="Bullet1"/>
        <w:numPr>
          <w:ilvl w:val="0"/>
          <w:numId w:val="3"/>
        </w:numPr>
      </w:pPr>
      <w:r w:rsidRPr="00176F58">
        <w:t>the evasion of registration, fees or levies and market penetration</w:t>
      </w:r>
    </w:p>
    <w:p w14:paraId="7AF3B54E" w14:textId="77777777" w:rsidR="00EF26EA" w:rsidRDefault="00EF26EA" w:rsidP="00EF26EA">
      <w:pPr>
        <w:pStyle w:val="Bullet1"/>
        <w:numPr>
          <w:ilvl w:val="0"/>
          <w:numId w:val="3"/>
        </w:numPr>
      </w:pPr>
      <w:r>
        <w:t>whether</w:t>
      </w:r>
      <w:r w:rsidRPr="00176F58">
        <w:t xml:space="preserve"> the conduct involves fraud or deception</w:t>
      </w:r>
    </w:p>
    <w:p w14:paraId="727F791A" w14:textId="77777777" w:rsidR="00EF26EA" w:rsidRPr="00176F58" w:rsidRDefault="00EF26EA" w:rsidP="00EF26EA">
      <w:pPr>
        <w:pStyle w:val="Bullet1"/>
        <w:numPr>
          <w:ilvl w:val="0"/>
          <w:numId w:val="3"/>
        </w:numPr>
      </w:pPr>
      <w:r>
        <w:t>any relevant history of previous non-compliance with the agvet laws</w:t>
      </w:r>
    </w:p>
    <w:p w14:paraId="1F55DFBF" w14:textId="77777777" w:rsidR="00EF26EA" w:rsidRPr="00176F58" w:rsidRDefault="00EF26EA" w:rsidP="00EF26EA">
      <w:pPr>
        <w:pStyle w:val="Bullet1"/>
        <w:numPr>
          <w:ilvl w:val="0"/>
          <w:numId w:val="3"/>
        </w:numPr>
      </w:pPr>
      <w:r w:rsidRPr="00176F58">
        <w:t>the degree of culpability in the alleged conduct</w:t>
      </w:r>
    </w:p>
    <w:p w14:paraId="3C755B42" w14:textId="013B8D40" w:rsidR="00EF26EA" w:rsidRPr="00176F58" w:rsidRDefault="00EF26EA" w:rsidP="00EF26EA">
      <w:pPr>
        <w:pStyle w:val="Bullet1"/>
        <w:numPr>
          <w:ilvl w:val="0"/>
          <w:numId w:val="3"/>
        </w:numPr>
      </w:pPr>
      <w:r w:rsidRPr="00176F58">
        <w:t>enduring and emerging priorities</w:t>
      </w:r>
    </w:p>
    <w:p w14:paraId="7D3AC7A4" w14:textId="6296EE10" w:rsidR="00EF26EA" w:rsidRPr="00CC6AC5" w:rsidRDefault="00EF26EA" w:rsidP="00EF26EA">
      <w:pPr>
        <w:pStyle w:val="Bullet1"/>
        <w:numPr>
          <w:ilvl w:val="0"/>
          <w:numId w:val="3"/>
        </w:numPr>
        <w:rPr>
          <w:rFonts w:eastAsia="Calibri"/>
        </w:rPr>
      </w:pPr>
      <w:r w:rsidRPr="00176F58">
        <w:t xml:space="preserve">subjective </w:t>
      </w:r>
      <w:r w:rsidRPr="008533E5">
        <w:rPr>
          <w:rFonts w:eastAsia="Calibri"/>
        </w:rPr>
        <w:t>and objective factors (</w:t>
      </w:r>
      <w:r w:rsidR="00CE275F">
        <w:rPr>
          <w:rFonts w:eastAsia="Calibri"/>
        </w:rPr>
        <w:t>Appendix A</w:t>
      </w:r>
      <w:r w:rsidRPr="008533E5">
        <w:rPr>
          <w:rFonts w:eastAsia="Calibri"/>
        </w:rPr>
        <w:t>).</w:t>
      </w:r>
    </w:p>
    <w:p w14:paraId="027A07CB" w14:textId="479496EA" w:rsidR="00EF26EA" w:rsidRDefault="00EF26EA" w:rsidP="00EF26EA">
      <w:pPr>
        <w:pStyle w:val="Heading2"/>
      </w:pPr>
      <w:bookmarkStart w:id="5" w:name="_Toc92283691"/>
      <w:r>
        <w:t>How and when the CCPM is applied</w:t>
      </w:r>
      <w:bookmarkEnd w:id="5"/>
    </w:p>
    <w:p w14:paraId="5AB97948" w14:textId="77777777" w:rsidR="00EF26EA" w:rsidRPr="008533E5" w:rsidRDefault="00EF26EA" w:rsidP="00EF26EA">
      <w:pPr>
        <w:pStyle w:val="NormalText"/>
      </w:pPr>
      <w:r w:rsidRPr="008533E5">
        <w:t>The APVMA CAG meets weekly to consider allegations and referrals received by the A</w:t>
      </w:r>
      <w:r>
        <w:t>PVMA</w:t>
      </w:r>
      <w:r w:rsidRPr="008533E5">
        <w:t>.</w:t>
      </w:r>
      <w:r>
        <w:t xml:space="preserve"> </w:t>
      </w:r>
      <w:r w:rsidRPr="008533E5">
        <w:t>For matters suspected as being of high priority</w:t>
      </w:r>
      <w:r>
        <w:t>,</w:t>
      </w:r>
      <w:r w:rsidRPr="008533E5">
        <w:t xml:space="preserve"> the </w:t>
      </w:r>
      <w:r>
        <w:t xml:space="preserve">Executive Director, </w:t>
      </w:r>
      <w:r w:rsidRPr="008533E5">
        <w:t>Director and</w:t>
      </w:r>
      <w:r>
        <w:t>/or</w:t>
      </w:r>
      <w:r w:rsidRPr="008533E5">
        <w:t xml:space="preserve"> Assistant Directors of </w:t>
      </w:r>
      <w:r>
        <w:t xml:space="preserve">Assessment, </w:t>
      </w:r>
      <w:r w:rsidRPr="00660E33">
        <w:t>Investigation and Monitoring, are authorised to determine an interim category and priority to provide for an immediate response. Following such, the matter will be reviewed at the next meeting of the CAG</w:t>
      </w:r>
      <w:r w:rsidRPr="00D8104A">
        <w:t>,</w:t>
      </w:r>
      <w:r w:rsidRPr="00660E33">
        <w:t xml:space="preserve"> where the interim decision will be affirmed</w:t>
      </w:r>
      <w:r w:rsidRPr="00D8104A">
        <w:t xml:space="preserve">, varied or revoked. </w:t>
      </w:r>
    </w:p>
    <w:p w14:paraId="186EB146" w14:textId="77777777" w:rsidR="00EF26EA" w:rsidRPr="008533E5" w:rsidRDefault="00EF26EA" w:rsidP="00EF26EA">
      <w:pPr>
        <w:pStyle w:val="NormalText"/>
      </w:pPr>
      <w:r w:rsidRPr="008533E5">
        <w:t xml:space="preserve">The CCPM is applied on </w:t>
      </w:r>
      <w:r>
        <w:t xml:space="preserve">the </w:t>
      </w:r>
      <w:r w:rsidRPr="008533E5">
        <w:t xml:space="preserve">facts, intelligence and information known at the time to categorise and prioritise the APVMA response to the matter. </w:t>
      </w:r>
    </w:p>
    <w:p w14:paraId="2A6E6208" w14:textId="09A7CC37" w:rsidR="00EF26EA" w:rsidRDefault="00EF26EA" w:rsidP="00EF26EA">
      <w:pPr>
        <w:pStyle w:val="Heading2"/>
      </w:pPr>
      <w:bookmarkStart w:id="6" w:name="_Toc92283692"/>
      <w:r>
        <w:t>The science</w:t>
      </w:r>
      <w:bookmarkEnd w:id="6"/>
    </w:p>
    <w:p w14:paraId="41BFC7E1" w14:textId="77777777" w:rsidR="00EF26EA" w:rsidRPr="008533E5" w:rsidRDefault="00EF26EA" w:rsidP="00EF26EA">
      <w:pPr>
        <w:pStyle w:val="NormalText"/>
      </w:pPr>
      <w:r w:rsidRPr="008533E5">
        <w:t>The CAG considers a variety of sources</w:t>
      </w:r>
      <w:r w:rsidRPr="00651295">
        <w:t xml:space="preserve"> </w:t>
      </w:r>
      <w:r>
        <w:t xml:space="preserve">of information </w:t>
      </w:r>
      <w:r w:rsidRPr="00651295">
        <w:t xml:space="preserve">to inform </w:t>
      </w:r>
      <w:r>
        <w:t>its recommendations, including:</w:t>
      </w:r>
    </w:p>
    <w:p w14:paraId="7563D801" w14:textId="77777777" w:rsidR="00EF26EA" w:rsidRPr="00651295" w:rsidRDefault="00EF26EA" w:rsidP="00EF26EA">
      <w:pPr>
        <w:pStyle w:val="Bullet1"/>
        <w:numPr>
          <w:ilvl w:val="0"/>
          <w:numId w:val="3"/>
        </w:numPr>
      </w:pPr>
      <w:r>
        <w:t>prior scientific assessment</w:t>
      </w:r>
      <w:r w:rsidRPr="00651295">
        <w:t xml:space="preserve"> </w:t>
      </w:r>
      <w:r>
        <w:t xml:space="preserve">by the APVMA, internal advice, </w:t>
      </w:r>
      <w:r w:rsidRPr="00651295">
        <w:t xml:space="preserve">or </w:t>
      </w:r>
      <w:r>
        <w:t>information from</w:t>
      </w:r>
      <w:r w:rsidRPr="00651295">
        <w:t xml:space="preserve"> other agencies</w:t>
      </w:r>
    </w:p>
    <w:p w14:paraId="12629354" w14:textId="77777777" w:rsidR="00EF26EA" w:rsidRPr="008533E5" w:rsidRDefault="00EF26EA" w:rsidP="00EF26EA">
      <w:pPr>
        <w:pStyle w:val="Bullet1"/>
        <w:numPr>
          <w:ilvl w:val="0"/>
          <w:numId w:val="3"/>
        </w:numPr>
      </w:pPr>
      <w:r>
        <w:t>c</w:t>
      </w:r>
      <w:r w:rsidRPr="008533E5">
        <w:t xml:space="preserve">hemicals </w:t>
      </w:r>
      <w:r>
        <w:t xml:space="preserve">whose registration or approval is </w:t>
      </w:r>
      <w:r w:rsidRPr="008533E5">
        <w:t xml:space="preserve">under </w:t>
      </w:r>
      <w:hyperlink r:id="rId28" w:history="1">
        <w:r w:rsidRPr="00CC6AC5">
          <w:rPr>
            <w:rStyle w:val="Hyperlink"/>
          </w:rPr>
          <w:t>reconsideration</w:t>
        </w:r>
      </w:hyperlink>
      <w:r w:rsidRPr="008533E5">
        <w:t xml:space="preserve"> by the APVMA</w:t>
      </w:r>
    </w:p>
    <w:p w14:paraId="6ABAC5D2" w14:textId="77777777" w:rsidR="00EF26EA" w:rsidRPr="008533E5" w:rsidRDefault="00EF26EA" w:rsidP="00EF26EA">
      <w:pPr>
        <w:pStyle w:val="Bullet1"/>
        <w:numPr>
          <w:ilvl w:val="0"/>
          <w:numId w:val="3"/>
        </w:numPr>
      </w:pPr>
      <w:r>
        <w:t xml:space="preserve">the </w:t>
      </w:r>
      <w:hyperlink r:id="rId29" w:history="1">
        <w:r w:rsidRPr="00CC6AC5">
          <w:rPr>
            <w:rStyle w:val="Hyperlink"/>
          </w:rPr>
          <w:t>mode of action</w:t>
        </w:r>
      </w:hyperlink>
    </w:p>
    <w:p w14:paraId="1A43EDFF" w14:textId="77777777" w:rsidR="00EF26EA" w:rsidRPr="008533E5" w:rsidRDefault="00754872" w:rsidP="00EF26EA">
      <w:pPr>
        <w:pStyle w:val="Bullet1"/>
        <w:numPr>
          <w:ilvl w:val="0"/>
          <w:numId w:val="3"/>
        </w:numPr>
      </w:pPr>
      <w:hyperlink r:id="rId30" w:history="1">
        <w:r w:rsidR="00EF26EA" w:rsidRPr="00CC6AC5">
          <w:rPr>
            <w:rStyle w:val="Hyperlink"/>
          </w:rPr>
          <w:t>World Health Organization Advisory groups</w:t>
        </w:r>
      </w:hyperlink>
    </w:p>
    <w:p w14:paraId="3B0E07E9" w14:textId="77777777" w:rsidR="00EF26EA" w:rsidRDefault="00EF26EA" w:rsidP="00EF26EA">
      <w:pPr>
        <w:pStyle w:val="Bullet1"/>
        <w:numPr>
          <w:ilvl w:val="0"/>
          <w:numId w:val="3"/>
        </w:numPr>
      </w:pPr>
      <w:r w:rsidRPr="00651295">
        <w:t xml:space="preserve">Australian Government Department of Health </w:t>
      </w:r>
      <w:hyperlink r:id="rId31" w:history="1">
        <w:r w:rsidRPr="00CC6AC5">
          <w:rPr>
            <w:rStyle w:val="Hyperlink"/>
          </w:rPr>
          <w:t>Australian Strategic and Technical Advisory Group</w:t>
        </w:r>
      </w:hyperlink>
      <w:r w:rsidRPr="00651295">
        <w:t xml:space="preserve"> ratings</w:t>
      </w:r>
      <w:r>
        <w:t>,</w:t>
      </w:r>
      <w:r w:rsidRPr="00651295">
        <w:t xml:space="preserve"> and Australian Government </w:t>
      </w:r>
      <w:hyperlink r:id="rId32" w:history="1">
        <w:r w:rsidRPr="00CC6AC5">
          <w:rPr>
            <w:rStyle w:val="Hyperlink"/>
          </w:rPr>
          <w:t>Chemicals of Security Concern</w:t>
        </w:r>
      </w:hyperlink>
      <w:r>
        <w:t>.</w:t>
      </w:r>
    </w:p>
    <w:p w14:paraId="67E4E85D" w14:textId="77777777" w:rsidR="00EF26EA" w:rsidRDefault="00EF26EA" w:rsidP="00EF26EA">
      <w:pPr>
        <w:pStyle w:val="NormalText"/>
        <w:sectPr w:rsidR="00EF26EA">
          <w:headerReference w:type="even" r:id="rId33"/>
          <w:headerReference w:type="default" r:id="rId34"/>
          <w:pgSz w:w="11906" w:h="16838" w:code="9"/>
          <w:pgMar w:top="2835" w:right="1134" w:bottom="1134" w:left="1134" w:header="1701" w:footer="680" w:gutter="0"/>
          <w:cols w:space="708"/>
          <w:docGrid w:linePitch="360"/>
        </w:sectPr>
      </w:pPr>
      <w:r w:rsidRPr="00CC3C81">
        <w:t xml:space="preserve">The CAG may take into account any relevant information in addition to the CCPM in </w:t>
      </w:r>
      <w:r>
        <w:t>considering</w:t>
      </w:r>
      <w:r w:rsidRPr="00CC3C81">
        <w:t xml:space="preserve"> the circumstances of a particular matter holistically.</w:t>
      </w:r>
    </w:p>
    <w:p w14:paraId="245238EF" w14:textId="20B7BA35" w:rsidR="00EF26EA" w:rsidRDefault="00EF26EA" w:rsidP="00EF26EA">
      <w:pPr>
        <w:pStyle w:val="Heading1"/>
      </w:pPr>
      <w:bookmarkStart w:id="7" w:name="_Toc92283693"/>
      <w:r>
        <w:t>Enduring priorities</w:t>
      </w:r>
      <w:bookmarkEnd w:id="7"/>
    </w:p>
    <w:p w14:paraId="303F4C49" w14:textId="091FBB41" w:rsidR="00EF26EA" w:rsidRDefault="00EF26EA" w:rsidP="00EF26EA">
      <w:pPr>
        <w:pStyle w:val="NormalText"/>
      </w:pPr>
      <w:r>
        <w:t>The APVMA places science and evidence at the centre of its regulatory approach. The regulatory effort is proportionate to the risks identified through a scientific assessment of the problems with active constituents, products, or labels identified through investigations.</w:t>
      </w:r>
    </w:p>
    <w:p w14:paraId="075E4DB6" w14:textId="77777777" w:rsidR="00EF26EA" w:rsidRPr="008533E5" w:rsidRDefault="00EF26EA" w:rsidP="00EF26EA">
      <w:pPr>
        <w:pStyle w:val="NormalText"/>
      </w:pPr>
      <w:r w:rsidRPr="008533E5">
        <w:t>The APVMA treats enduring priorities as matters</w:t>
      </w:r>
      <w:r>
        <w:t>,</w:t>
      </w:r>
      <w:r w:rsidRPr="008533E5">
        <w:t xml:space="preserve"> which will</w:t>
      </w:r>
      <w:r>
        <w:t xml:space="preserve"> generally:</w:t>
      </w:r>
    </w:p>
    <w:p w14:paraId="47D7F3A4" w14:textId="77777777" w:rsidR="00EF26EA" w:rsidRPr="008533E5" w:rsidRDefault="00EF26EA" w:rsidP="00EF26EA">
      <w:pPr>
        <w:pStyle w:val="Bullet1"/>
        <w:numPr>
          <w:ilvl w:val="0"/>
          <w:numId w:val="3"/>
        </w:numPr>
      </w:pPr>
      <w:r w:rsidRPr="008533E5">
        <w:t>be classified</w:t>
      </w:r>
      <w:r>
        <w:t>,</w:t>
      </w:r>
      <w:r w:rsidRPr="008533E5">
        <w:t xml:space="preserve"> at minimum</w:t>
      </w:r>
      <w:r>
        <w:t>,</w:t>
      </w:r>
      <w:r w:rsidRPr="008533E5">
        <w:t xml:space="preserve"> as a</w:t>
      </w:r>
      <w:r>
        <w:t xml:space="preserve"> moderate</w:t>
      </w:r>
      <w:r w:rsidRPr="008533E5">
        <w:t xml:space="preserve"> risk</w:t>
      </w:r>
    </w:p>
    <w:p w14:paraId="42AAC115" w14:textId="77777777" w:rsidR="00EF26EA" w:rsidRDefault="00EF26EA" w:rsidP="00EF26EA">
      <w:pPr>
        <w:pStyle w:val="Bullet1"/>
        <w:numPr>
          <w:ilvl w:val="0"/>
          <w:numId w:val="3"/>
        </w:numPr>
      </w:pPr>
      <w:r w:rsidRPr="008533E5">
        <w:t>be unlikely to be treated as an education or voluntary compliance outcome</w:t>
      </w:r>
    </w:p>
    <w:p w14:paraId="2BBE08B0" w14:textId="77777777" w:rsidR="00EF26EA" w:rsidRPr="008533E5" w:rsidRDefault="00EF26EA" w:rsidP="00EF26EA">
      <w:pPr>
        <w:pStyle w:val="Bullet1"/>
        <w:numPr>
          <w:ilvl w:val="0"/>
          <w:numId w:val="3"/>
        </w:numPr>
      </w:pPr>
      <w:r>
        <w:t>have been subject to previous education or compliance activity</w:t>
      </w:r>
    </w:p>
    <w:p w14:paraId="34601B69" w14:textId="77777777" w:rsidR="00EF26EA" w:rsidRPr="007837F3" w:rsidRDefault="00EF26EA" w:rsidP="00EF26EA">
      <w:pPr>
        <w:pStyle w:val="Bullet1"/>
        <w:numPr>
          <w:ilvl w:val="0"/>
          <w:numId w:val="3"/>
        </w:numPr>
      </w:pPr>
      <w:r>
        <w:t>be</w:t>
      </w:r>
      <w:r w:rsidRPr="008533E5">
        <w:t xml:space="preserve"> more likely to receive escalated steps towards administrative, civil, enforcement or criminal sanctions.</w:t>
      </w:r>
    </w:p>
    <w:p w14:paraId="436F3CE0" w14:textId="1DDB127D" w:rsidR="00EF26EA" w:rsidRDefault="00EF26EA" w:rsidP="00EF26EA">
      <w:pPr>
        <w:pStyle w:val="Heading2"/>
      </w:pPr>
      <w:bookmarkStart w:id="8" w:name="_Toc92283694"/>
      <w:r>
        <w:t>Dishonest conduct</w:t>
      </w:r>
      <w:bookmarkEnd w:id="8"/>
    </w:p>
    <w:p w14:paraId="5C380A84" w14:textId="77777777" w:rsidR="00EF26EA" w:rsidRPr="008533E5" w:rsidRDefault="00EF26EA" w:rsidP="00EF26EA">
      <w:pPr>
        <w:pStyle w:val="NormalText"/>
      </w:pPr>
      <w:r w:rsidRPr="008533E5">
        <w:t xml:space="preserve">Dishonesty, deceptive conduct or conduct that subverts the regulatory scheme </w:t>
      </w:r>
      <w:r>
        <w:t>is</w:t>
      </w:r>
      <w:r w:rsidRPr="008533E5">
        <w:t xml:space="preserve"> considered high risk. This type of conduct is embarked upon deliberately with an intention to deceive, avoid legal responsibilities, derive a benefit or avoid a liability.</w:t>
      </w:r>
    </w:p>
    <w:p w14:paraId="7860FC7B" w14:textId="0EAEB7F3" w:rsidR="00EF26EA" w:rsidRDefault="00EF26EA" w:rsidP="00EF26EA">
      <w:pPr>
        <w:pStyle w:val="Heading2"/>
      </w:pPr>
      <w:bookmarkStart w:id="9" w:name="_Toc92283695"/>
      <w:r>
        <w:t>Unregistered products</w:t>
      </w:r>
      <w:bookmarkEnd w:id="9"/>
    </w:p>
    <w:p w14:paraId="35C04A4B" w14:textId="753D21F2" w:rsidR="00EF26EA" w:rsidRDefault="00EF26EA" w:rsidP="00EF26EA">
      <w:pPr>
        <w:pStyle w:val="NormalText"/>
      </w:pPr>
      <w:r w:rsidRPr="008533E5">
        <w:t xml:space="preserve">Due to the lack of </w:t>
      </w:r>
      <w:r>
        <w:t xml:space="preserve">assessment with respect to the safety and </w:t>
      </w:r>
      <w:r w:rsidRPr="0077064D">
        <w:t>efficacy of the formulation, the APVMA considers unregistered agricultural or veterinary chemicals to be of high</w:t>
      </w:r>
      <w:r w:rsidRPr="00D8104A">
        <w:t xml:space="preserve"> regulatory</w:t>
      </w:r>
      <w:r w:rsidRPr="00503B1E">
        <w:t xml:space="preserve"> risk.</w:t>
      </w:r>
      <w:r w:rsidRPr="008533E5">
        <w:t xml:space="preserve"> As a result</w:t>
      </w:r>
      <w:r>
        <w:t>,</w:t>
      </w:r>
      <w:r w:rsidRPr="008533E5">
        <w:t xml:space="preserve"> unregistered chemical products are an enduring priority.</w:t>
      </w:r>
    </w:p>
    <w:p w14:paraId="5FD3A351" w14:textId="6FD19E2E" w:rsidR="00EF26EA" w:rsidRDefault="00EF26EA" w:rsidP="00EF26EA">
      <w:pPr>
        <w:pStyle w:val="Heading2"/>
      </w:pPr>
      <w:bookmarkStart w:id="10" w:name="_Toc92283696"/>
      <w:r>
        <w:t>Importation of unregistered products</w:t>
      </w:r>
      <w:bookmarkEnd w:id="10"/>
    </w:p>
    <w:p w14:paraId="75F11783" w14:textId="77777777" w:rsidR="00EF26EA" w:rsidRPr="00D8104A" w:rsidRDefault="00EF26EA" w:rsidP="00EF26EA">
      <w:pPr>
        <w:pStyle w:val="NormalText"/>
      </w:pPr>
      <w:r w:rsidRPr="00717B72">
        <w:t>The APVMA takes escalated compliance or enforcement actions in relation to the importation of unregistered chemical products, particularly when detections are made at the border</w:t>
      </w:r>
      <w:r w:rsidRPr="00D8104A">
        <w:t>, for reasons including:</w:t>
      </w:r>
    </w:p>
    <w:p w14:paraId="3D1FEF61" w14:textId="77777777" w:rsidR="00EF26EA" w:rsidRPr="00D8104A" w:rsidRDefault="00EF26EA" w:rsidP="00EF26EA">
      <w:pPr>
        <w:pStyle w:val="Bullet1"/>
        <w:numPr>
          <w:ilvl w:val="0"/>
          <w:numId w:val="3"/>
        </w:numPr>
      </w:pPr>
      <w:r w:rsidRPr="00211DBB">
        <w:t xml:space="preserve">the APVMA shares responsibility </w:t>
      </w:r>
      <w:r w:rsidRPr="00D8104A">
        <w:t xml:space="preserve">with other agencies </w:t>
      </w:r>
      <w:r w:rsidRPr="00211DBB">
        <w:t>in preventing unregistered chemical products reaching the domestic market or consumers, so it must make itself available to assist where it is reasonably practicable to do so</w:t>
      </w:r>
    </w:p>
    <w:p w14:paraId="0D2F4092" w14:textId="77777777" w:rsidR="00EF26EA" w:rsidRPr="00D8104A" w:rsidRDefault="00EF26EA" w:rsidP="00EF26EA">
      <w:pPr>
        <w:pStyle w:val="Bullet1"/>
        <w:numPr>
          <w:ilvl w:val="0"/>
          <w:numId w:val="3"/>
        </w:numPr>
      </w:pPr>
      <w:r w:rsidRPr="001D5396">
        <w:t>detection in those circumstances is resource intensive</w:t>
      </w:r>
    </w:p>
    <w:p w14:paraId="68CCDCD4" w14:textId="77777777" w:rsidR="00EF26EA" w:rsidRPr="00D8104A" w:rsidRDefault="00EF26EA" w:rsidP="00EF26EA">
      <w:pPr>
        <w:pStyle w:val="Bullet1"/>
        <w:numPr>
          <w:ilvl w:val="0"/>
          <w:numId w:val="3"/>
        </w:numPr>
      </w:pPr>
      <w:r w:rsidRPr="00211DBB">
        <w:t>sales connected with unregistered chemical products in those circumstances are often conducted online</w:t>
      </w:r>
      <w:r w:rsidRPr="001D5396">
        <w:t>,</w:t>
      </w:r>
      <w:r w:rsidRPr="00211DBB">
        <w:t xml:space="preserve"> and once in Australia are often difficult to detect.</w:t>
      </w:r>
    </w:p>
    <w:p w14:paraId="57AE2CF1" w14:textId="55E966F5" w:rsidR="00EF26EA" w:rsidRDefault="00EF26EA" w:rsidP="00EF26EA">
      <w:pPr>
        <w:pStyle w:val="Heading2"/>
      </w:pPr>
      <w:bookmarkStart w:id="11" w:name="_Toc92283697"/>
      <w:r>
        <w:t>Emerging or critical events</w:t>
      </w:r>
      <w:bookmarkEnd w:id="11"/>
    </w:p>
    <w:p w14:paraId="1D3B231A" w14:textId="77777777" w:rsidR="00EF26EA" w:rsidRDefault="00EF26EA" w:rsidP="00EF26EA">
      <w:pPr>
        <w:pStyle w:val="NormalText"/>
        <w:rPr>
          <w:highlight w:val="yellow"/>
        </w:rPr>
      </w:pPr>
      <w:r w:rsidRPr="008533E5">
        <w:t>The APVMA maintains relationships with international and domestic partners</w:t>
      </w:r>
      <w:r>
        <w:t>,</w:t>
      </w:r>
      <w:r w:rsidRPr="008533E5">
        <w:t xml:space="preserve"> enabling assessment of emerging or imminent issues. Where necessary</w:t>
      </w:r>
      <w:r>
        <w:t>,</w:t>
      </w:r>
      <w:r w:rsidRPr="008533E5">
        <w:t xml:space="preserve"> the CAG may determine an event, phenomenon or set of </w:t>
      </w:r>
      <w:r w:rsidRPr="001D5396">
        <w:t xml:space="preserve">circumstances to be an emerging or critical event and recommend dedicated resources to that response. In those circumstances, </w:t>
      </w:r>
      <w:r w:rsidRPr="00D8104A">
        <w:t>the APVMA’s resources will necessarily be directed to the high priority matter.</w:t>
      </w:r>
    </w:p>
    <w:p w14:paraId="761FB3F8" w14:textId="364093B4" w:rsidR="00EF26EA" w:rsidRDefault="00EF26EA" w:rsidP="00EF26EA">
      <w:pPr>
        <w:pStyle w:val="Heading2"/>
      </w:pPr>
      <w:bookmarkStart w:id="12" w:name="_Toc92283698"/>
      <w:r>
        <w:t>Reception and response timelines</w:t>
      </w:r>
      <w:bookmarkEnd w:id="12"/>
    </w:p>
    <w:p w14:paraId="5E584201" w14:textId="06076D7B" w:rsidR="00EF26EA" w:rsidRDefault="00EF26EA" w:rsidP="00EF26EA">
      <w:pPr>
        <w:pStyle w:val="NormalText"/>
      </w:pPr>
      <w:r w:rsidRPr="008533E5">
        <w:t xml:space="preserve">A </w:t>
      </w:r>
      <w:r>
        <w:t>R</w:t>
      </w:r>
      <w:r w:rsidRPr="008533E5">
        <w:t xml:space="preserve">eception </w:t>
      </w:r>
      <w:r>
        <w:t>O</w:t>
      </w:r>
      <w:r w:rsidRPr="008533E5">
        <w:t xml:space="preserve">fficer monitors referrals and enquiries arriving within the APVMA. The </w:t>
      </w:r>
      <w:r>
        <w:t>R</w:t>
      </w:r>
      <w:r w:rsidRPr="008533E5">
        <w:t xml:space="preserve">eception </w:t>
      </w:r>
      <w:r>
        <w:t>O</w:t>
      </w:r>
      <w:r w:rsidRPr="008533E5">
        <w:t xml:space="preserve">fficer is responsible for </w:t>
      </w:r>
      <w:r>
        <w:t xml:space="preserve">acknowledging, </w:t>
      </w:r>
      <w:r w:rsidRPr="008533E5">
        <w:t xml:space="preserve">assessing and recording all enquiries within </w:t>
      </w:r>
      <w:r>
        <w:t>one</w:t>
      </w:r>
      <w:r w:rsidRPr="008533E5">
        <w:t xml:space="preserve"> business day of receipt</w:t>
      </w:r>
      <w:r>
        <w:t>, providing an initial point of contact for internal referrals and supporting the CAG</w:t>
      </w:r>
      <w:r w:rsidRPr="008533E5">
        <w:t>.</w:t>
      </w:r>
    </w:p>
    <w:p w14:paraId="7AE8FDCC" w14:textId="5337BA4C" w:rsidR="00EF26EA" w:rsidRDefault="00EF26EA" w:rsidP="00EF26EA">
      <w:pPr>
        <w:pStyle w:val="NormalText"/>
      </w:pPr>
      <w:r>
        <w:t>The risk assessment matrix used to classify referrals and reports of suspected non-compliance is in a standardised format (</w:t>
      </w:r>
      <w:r w:rsidR="00CE275F">
        <w:t>Appendix B</w:t>
      </w:r>
      <w:r>
        <w:t>). Risk- and complexity-based guidelines for the commencement and finalisation of investigations</w:t>
      </w:r>
      <w:r>
        <w:rPr>
          <w:rStyle w:val="FootnoteReference"/>
        </w:rPr>
        <w:footnoteReference w:id="2"/>
      </w:r>
      <w:r>
        <w:t xml:space="preserve"> are outlined in Table 1.</w:t>
      </w:r>
    </w:p>
    <w:p w14:paraId="5B4D3845" w14:textId="42B0E13A" w:rsidR="00EF26EA" w:rsidRDefault="00EF26EA" w:rsidP="00EF26EA">
      <w:pPr>
        <w:pStyle w:val="Caption"/>
      </w:pPr>
      <w:bookmarkStart w:id="13" w:name="_Toc92189759"/>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w:t>
      </w:r>
      <w:r>
        <w:tab/>
        <w:t>Risk and complexity-based guidelines</w:t>
      </w:r>
      <w:bookmarkEnd w:id="13"/>
    </w:p>
    <w:tbl>
      <w:tblPr>
        <w:tblW w:w="5000" w:type="pct"/>
        <w:tblBorders>
          <w:bottom w:val="dotted" w:sz="2" w:space="0" w:color="auto"/>
          <w:insideH w:val="dotted" w:sz="2" w:space="0" w:color="auto"/>
        </w:tblBorders>
        <w:tblLook w:val="01E0" w:firstRow="1" w:lastRow="1" w:firstColumn="1" w:lastColumn="1" w:noHBand="0" w:noVBand="0"/>
      </w:tblPr>
      <w:tblGrid>
        <w:gridCol w:w="2411"/>
        <w:gridCol w:w="2976"/>
        <w:gridCol w:w="1691"/>
        <w:gridCol w:w="2560"/>
      </w:tblGrid>
      <w:tr w:rsidR="00EF26EA" w14:paraId="6CF47ABF" w14:textId="6FA9CC88" w:rsidTr="00EF26EA">
        <w:trPr>
          <w:cantSplit/>
          <w:tblHeader/>
        </w:trPr>
        <w:tc>
          <w:tcPr>
            <w:tcW w:w="1251" w:type="pct"/>
            <w:tcBorders>
              <w:bottom w:val="single" w:sz="4" w:space="0" w:color="auto"/>
            </w:tcBorders>
            <w:shd w:val="clear" w:color="auto" w:fill="5C2946"/>
            <w:vAlign w:val="bottom"/>
          </w:tcPr>
          <w:p w14:paraId="3C7483F6" w14:textId="12F88D08" w:rsidR="00EF26EA" w:rsidRPr="00EF26EA" w:rsidRDefault="00EF26EA" w:rsidP="00EF26EA">
            <w:pPr>
              <w:pStyle w:val="TableHead"/>
            </w:pPr>
            <w:r>
              <w:t>Risk assessment</w:t>
            </w:r>
          </w:p>
        </w:tc>
        <w:tc>
          <w:tcPr>
            <w:tcW w:w="1544" w:type="pct"/>
            <w:tcBorders>
              <w:bottom w:val="single" w:sz="4" w:space="0" w:color="auto"/>
            </w:tcBorders>
            <w:shd w:val="clear" w:color="auto" w:fill="5C2946"/>
            <w:vAlign w:val="bottom"/>
          </w:tcPr>
          <w:p w14:paraId="5CF7467D" w14:textId="092E9D55" w:rsidR="00EF26EA" w:rsidRPr="00EF26EA" w:rsidRDefault="00EF26EA" w:rsidP="00EF26EA">
            <w:pPr>
              <w:pStyle w:val="TableHead"/>
            </w:pPr>
            <w:r>
              <w:t>Commencement within</w:t>
            </w:r>
          </w:p>
        </w:tc>
        <w:tc>
          <w:tcPr>
            <w:tcW w:w="877" w:type="pct"/>
            <w:tcBorders>
              <w:bottom w:val="single" w:sz="4" w:space="0" w:color="auto"/>
            </w:tcBorders>
            <w:shd w:val="clear" w:color="auto" w:fill="5C2946"/>
            <w:vAlign w:val="bottom"/>
          </w:tcPr>
          <w:p w14:paraId="15580640" w14:textId="23E4A89E" w:rsidR="00EF26EA" w:rsidRPr="00EF26EA" w:rsidRDefault="00EF26EA" w:rsidP="00EF26EA">
            <w:pPr>
              <w:pStyle w:val="TableHead"/>
            </w:pPr>
            <w:r>
              <w:t>Complexity</w:t>
            </w:r>
          </w:p>
        </w:tc>
        <w:tc>
          <w:tcPr>
            <w:tcW w:w="1328" w:type="pct"/>
            <w:tcBorders>
              <w:bottom w:val="single" w:sz="4" w:space="0" w:color="auto"/>
            </w:tcBorders>
            <w:shd w:val="clear" w:color="auto" w:fill="5C2946"/>
          </w:tcPr>
          <w:p w14:paraId="60186C39" w14:textId="46A24A88" w:rsidR="00EF26EA" w:rsidRPr="00EF26EA" w:rsidRDefault="00EF26EA" w:rsidP="00EF26EA">
            <w:pPr>
              <w:pStyle w:val="TableHead"/>
            </w:pPr>
            <w:r>
              <w:t>Timeframe for finalisation</w:t>
            </w:r>
          </w:p>
        </w:tc>
      </w:tr>
      <w:tr w:rsidR="00EF26EA" w14:paraId="75FDB545" w14:textId="23FCB96D" w:rsidTr="00EF26EA">
        <w:trPr>
          <w:cantSplit/>
        </w:trPr>
        <w:tc>
          <w:tcPr>
            <w:tcW w:w="1251" w:type="pct"/>
            <w:tcBorders>
              <w:top w:val="single" w:sz="4" w:space="0" w:color="auto"/>
              <w:bottom w:val="single" w:sz="4" w:space="0" w:color="auto"/>
            </w:tcBorders>
          </w:tcPr>
          <w:p w14:paraId="7A15E5BF" w14:textId="656E255B" w:rsidR="00EF26EA" w:rsidRPr="00EF26EA" w:rsidRDefault="00EF26EA" w:rsidP="00EF26EA">
            <w:pPr>
              <w:pStyle w:val="TableText"/>
            </w:pPr>
            <w:r w:rsidRPr="00EF26EA">
              <w:t>Low</w:t>
            </w:r>
          </w:p>
        </w:tc>
        <w:tc>
          <w:tcPr>
            <w:tcW w:w="1544" w:type="pct"/>
            <w:tcBorders>
              <w:top w:val="single" w:sz="4" w:space="0" w:color="auto"/>
              <w:bottom w:val="single" w:sz="4" w:space="0" w:color="auto"/>
            </w:tcBorders>
          </w:tcPr>
          <w:p w14:paraId="351BD409" w14:textId="3FCFAD08" w:rsidR="00EF26EA" w:rsidRPr="00EF26EA" w:rsidRDefault="00EF26EA" w:rsidP="00EF26EA">
            <w:pPr>
              <w:pStyle w:val="TableText"/>
            </w:pPr>
            <w:r w:rsidRPr="00EF26EA">
              <w:t>90 days</w:t>
            </w:r>
          </w:p>
        </w:tc>
        <w:tc>
          <w:tcPr>
            <w:tcW w:w="877" w:type="pct"/>
            <w:tcBorders>
              <w:top w:val="single" w:sz="4" w:space="0" w:color="auto"/>
              <w:bottom w:val="single" w:sz="4" w:space="0" w:color="auto"/>
            </w:tcBorders>
          </w:tcPr>
          <w:p w14:paraId="07A23CA8" w14:textId="720DE1B5" w:rsidR="00EF26EA" w:rsidRPr="00EF26EA" w:rsidRDefault="00EF26EA" w:rsidP="00EF26EA">
            <w:pPr>
              <w:pStyle w:val="TableText"/>
            </w:pPr>
            <w:r w:rsidRPr="00EF26EA">
              <w:t>Low</w:t>
            </w:r>
          </w:p>
        </w:tc>
        <w:tc>
          <w:tcPr>
            <w:tcW w:w="1328" w:type="pct"/>
            <w:tcBorders>
              <w:top w:val="single" w:sz="4" w:space="0" w:color="auto"/>
              <w:bottom w:val="single" w:sz="4" w:space="0" w:color="auto"/>
            </w:tcBorders>
          </w:tcPr>
          <w:p w14:paraId="31624199" w14:textId="5C0D5725" w:rsidR="00EF26EA" w:rsidRPr="00EF26EA" w:rsidRDefault="00EF26EA" w:rsidP="00EF26EA">
            <w:pPr>
              <w:pStyle w:val="TableText"/>
            </w:pPr>
            <w:r w:rsidRPr="00EF26EA">
              <w:t>6 months</w:t>
            </w:r>
          </w:p>
        </w:tc>
      </w:tr>
      <w:tr w:rsidR="00EF26EA" w14:paraId="1900B65D" w14:textId="77777777" w:rsidTr="00EF26EA">
        <w:trPr>
          <w:cantSplit/>
        </w:trPr>
        <w:tc>
          <w:tcPr>
            <w:tcW w:w="1251" w:type="pct"/>
            <w:tcBorders>
              <w:top w:val="single" w:sz="4" w:space="0" w:color="auto"/>
              <w:bottom w:val="single" w:sz="4" w:space="0" w:color="auto"/>
            </w:tcBorders>
          </w:tcPr>
          <w:p w14:paraId="1D043B00" w14:textId="4D9BEE32" w:rsidR="00EF26EA" w:rsidRPr="00EF26EA" w:rsidRDefault="00EF26EA" w:rsidP="00EF26EA">
            <w:pPr>
              <w:pStyle w:val="TableText"/>
            </w:pPr>
            <w:r w:rsidRPr="00EF26EA">
              <w:t>Medium</w:t>
            </w:r>
          </w:p>
        </w:tc>
        <w:tc>
          <w:tcPr>
            <w:tcW w:w="1544" w:type="pct"/>
            <w:tcBorders>
              <w:top w:val="single" w:sz="4" w:space="0" w:color="auto"/>
              <w:bottom w:val="single" w:sz="4" w:space="0" w:color="auto"/>
            </w:tcBorders>
          </w:tcPr>
          <w:p w14:paraId="465821E0" w14:textId="5BFF60B2" w:rsidR="00EF26EA" w:rsidRPr="00EF26EA" w:rsidRDefault="00EF26EA" w:rsidP="00EF26EA">
            <w:pPr>
              <w:pStyle w:val="TableText"/>
            </w:pPr>
            <w:r w:rsidRPr="00EF26EA">
              <w:t>30 days</w:t>
            </w:r>
          </w:p>
        </w:tc>
        <w:tc>
          <w:tcPr>
            <w:tcW w:w="877" w:type="pct"/>
            <w:tcBorders>
              <w:top w:val="single" w:sz="4" w:space="0" w:color="auto"/>
              <w:bottom w:val="single" w:sz="4" w:space="0" w:color="auto"/>
            </w:tcBorders>
          </w:tcPr>
          <w:p w14:paraId="3E187507" w14:textId="1998CC06" w:rsidR="00EF26EA" w:rsidRPr="00EF26EA" w:rsidRDefault="00EF26EA" w:rsidP="00EF26EA">
            <w:pPr>
              <w:pStyle w:val="TableText"/>
            </w:pPr>
            <w:r w:rsidRPr="00EF26EA">
              <w:t>Medium</w:t>
            </w:r>
          </w:p>
        </w:tc>
        <w:tc>
          <w:tcPr>
            <w:tcW w:w="1328" w:type="pct"/>
            <w:tcBorders>
              <w:top w:val="single" w:sz="4" w:space="0" w:color="auto"/>
              <w:bottom w:val="single" w:sz="4" w:space="0" w:color="auto"/>
            </w:tcBorders>
          </w:tcPr>
          <w:p w14:paraId="4B4E618A" w14:textId="36476702" w:rsidR="00EF26EA" w:rsidRPr="00EF26EA" w:rsidRDefault="00EF26EA" w:rsidP="00EF26EA">
            <w:pPr>
              <w:pStyle w:val="TableText"/>
            </w:pPr>
            <w:r w:rsidRPr="00EF26EA">
              <w:t>6 to 9 months</w:t>
            </w:r>
          </w:p>
        </w:tc>
      </w:tr>
      <w:tr w:rsidR="00EF26EA" w14:paraId="0D42857A" w14:textId="77777777" w:rsidTr="00EF26EA">
        <w:trPr>
          <w:cantSplit/>
        </w:trPr>
        <w:tc>
          <w:tcPr>
            <w:tcW w:w="1251" w:type="pct"/>
            <w:tcBorders>
              <w:top w:val="single" w:sz="4" w:space="0" w:color="auto"/>
              <w:bottom w:val="single" w:sz="4" w:space="0" w:color="auto"/>
            </w:tcBorders>
          </w:tcPr>
          <w:p w14:paraId="545874D3" w14:textId="4C0742C1" w:rsidR="00EF26EA" w:rsidRPr="00EF26EA" w:rsidRDefault="00EF26EA" w:rsidP="00EF26EA">
            <w:pPr>
              <w:pStyle w:val="TableText"/>
            </w:pPr>
            <w:r w:rsidRPr="00EF26EA">
              <w:t>High</w:t>
            </w:r>
          </w:p>
        </w:tc>
        <w:tc>
          <w:tcPr>
            <w:tcW w:w="1544" w:type="pct"/>
            <w:tcBorders>
              <w:top w:val="single" w:sz="4" w:space="0" w:color="auto"/>
              <w:bottom w:val="single" w:sz="4" w:space="0" w:color="auto"/>
            </w:tcBorders>
          </w:tcPr>
          <w:p w14:paraId="6086B272" w14:textId="4D98D11C" w:rsidR="00EF26EA" w:rsidRPr="00EF26EA" w:rsidRDefault="00EF26EA" w:rsidP="00EF26EA">
            <w:pPr>
              <w:pStyle w:val="TableText"/>
            </w:pPr>
            <w:r w:rsidRPr="00EF26EA">
              <w:t>48 hours</w:t>
            </w:r>
          </w:p>
        </w:tc>
        <w:tc>
          <w:tcPr>
            <w:tcW w:w="877" w:type="pct"/>
            <w:tcBorders>
              <w:top w:val="single" w:sz="4" w:space="0" w:color="auto"/>
              <w:bottom w:val="single" w:sz="4" w:space="0" w:color="auto"/>
            </w:tcBorders>
          </w:tcPr>
          <w:p w14:paraId="2A78998E" w14:textId="6C4785CD" w:rsidR="00EF26EA" w:rsidRPr="00EF26EA" w:rsidRDefault="00EF26EA" w:rsidP="00EF26EA">
            <w:pPr>
              <w:pStyle w:val="TableText"/>
            </w:pPr>
            <w:r w:rsidRPr="00EF26EA">
              <w:t xml:space="preserve">High </w:t>
            </w:r>
          </w:p>
        </w:tc>
        <w:tc>
          <w:tcPr>
            <w:tcW w:w="1328" w:type="pct"/>
            <w:tcBorders>
              <w:top w:val="single" w:sz="4" w:space="0" w:color="auto"/>
              <w:bottom w:val="single" w:sz="4" w:space="0" w:color="auto"/>
            </w:tcBorders>
          </w:tcPr>
          <w:p w14:paraId="6FA7A3C4" w14:textId="0EE4EDA8" w:rsidR="00EF26EA" w:rsidRPr="00EF26EA" w:rsidRDefault="00EF26EA" w:rsidP="00EF26EA">
            <w:pPr>
              <w:pStyle w:val="TableText"/>
            </w:pPr>
            <w:r w:rsidRPr="00EF26EA">
              <w:t>12 months</w:t>
            </w:r>
          </w:p>
        </w:tc>
      </w:tr>
    </w:tbl>
    <w:p w14:paraId="7AECB56D" w14:textId="77777777" w:rsidR="00EF26EA" w:rsidRPr="008533E5" w:rsidRDefault="00EF26EA" w:rsidP="00EF26EA">
      <w:pPr>
        <w:pStyle w:val="NormalText"/>
      </w:pPr>
      <w:r w:rsidRPr="008533E5">
        <w:t xml:space="preserve">High risk matters </w:t>
      </w:r>
      <w:r>
        <w:t>must be</w:t>
      </w:r>
      <w:r w:rsidRPr="008533E5">
        <w:t xml:space="preserve"> briefed to an Assistant Director (or higher) upon identification for the purpose of determining the next actions. Assistant Directors within the </w:t>
      </w:r>
      <w:r>
        <w:t>Assessment, Investigation</w:t>
      </w:r>
      <w:r w:rsidRPr="008533E5">
        <w:t xml:space="preserve"> and Monitoring section are authorised to escalate the response to high-risk allegations. Primarily this would be to:</w:t>
      </w:r>
    </w:p>
    <w:p w14:paraId="65F922DD" w14:textId="77777777" w:rsidR="00EF26EA" w:rsidRPr="00503B1E" w:rsidRDefault="00EF26EA" w:rsidP="00EF26EA">
      <w:pPr>
        <w:pStyle w:val="Bullet1"/>
        <w:numPr>
          <w:ilvl w:val="0"/>
          <w:numId w:val="3"/>
        </w:numPr>
      </w:pPr>
      <w:r w:rsidRPr="008533E5">
        <w:t xml:space="preserve">achieve the objectives of the </w:t>
      </w:r>
      <w:r>
        <w:t>a</w:t>
      </w:r>
      <w:r w:rsidRPr="00503B1E">
        <w:t>gvet laws</w:t>
      </w:r>
    </w:p>
    <w:p w14:paraId="21BB5353" w14:textId="77777777" w:rsidR="00EF26EA" w:rsidRPr="008533E5" w:rsidRDefault="00EF26EA" w:rsidP="00EF26EA">
      <w:pPr>
        <w:pStyle w:val="Bullet1"/>
        <w:numPr>
          <w:ilvl w:val="0"/>
          <w:numId w:val="3"/>
        </w:numPr>
      </w:pPr>
      <w:r w:rsidRPr="008533E5">
        <w:t>achieve the objectives of the APVMA</w:t>
      </w:r>
    </w:p>
    <w:p w14:paraId="2A78653B" w14:textId="77777777" w:rsidR="00EF26EA" w:rsidRPr="008533E5" w:rsidRDefault="00EF26EA" w:rsidP="00EF26EA">
      <w:pPr>
        <w:pStyle w:val="Bullet1"/>
        <w:numPr>
          <w:ilvl w:val="0"/>
          <w:numId w:val="3"/>
        </w:numPr>
      </w:pPr>
      <w:r w:rsidRPr="008533E5">
        <w:t>prevent the loss, concealment, destruction or fabrication of evidence</w:t>
      </w:r>
      <w:r>
        <w:t>.</w:t>
      </w:r>
    </w:p>
    <w:p w14:paraId="666F24E0" w14:textId="150B792C" w:rsidR="00EF26EA" w:rsidRPr="00EF26EA" w:rsidRDefault="00EF26EA" w:rsidP="00EF26EA">
      <w:pPr>
        <w:pStyle w:val="Heading2"/>
      </w:pPr>
      <w:bookmarkStart w:id="14" w:name="_Toc92283699"/>
      <w:r>
        <w:t>Accepting, deferring, or declining investigations</w:t>
      </w:r>
      <w:bookmarkEnd w:id="14"/>
    </w:p>
    <w:p w14:paraId="16E7D7EA" w14:textId="77777777" w:rsidR="00EF26EA" w:rsidRPr="00CC6AC5" w:rsidRDefault="00EF26EA" w:rsidP="00EF26EA">
      <w:pPr>
        <w:pStyle w:val="NormalText"/>
      </w:pPr>
      <w:r w:rsidRPr="00D8104A">
        <w:t>T</w:t>
      </w:r>
      <w:r w:rsidRPr="001D5396">
        <w:t>he</w:t>
      </w:r>
      <w:r w:rsidRPr="00503B1E">
        <w:t xml:space="preserve"> APVMA may choose to </w:t>
      </w:r>
      <w:r w:rsidRPr="00CC6AC5">
        <w:t>accept, defer, or decline further investigation of a report of suspected non-compliance. At any time within the statutory timeframes, the APVMA may reconsider an initial decision.</w:t>
      </w:r>
    </w:p>
    <w:p w14:paraId="5752F177" w14:textId="77777777" w:rsidR="00EF26EA" w:rsidRPr="00CC6AC5" w:rsidRDefault="00EF26EA" w:rsidP="00EF26EA">
      <w:pPr>
        <w:pStyle w:val="NormalText"/>
      </w:pPr>
      <w:r w:rsidRPr="00CC6AC5">
        <w:t>The APVMA may decline to investigate or defer commencing an investigation for reasons articulated within this policy and additionally:</w:t>
      </w:r>
    </w:p>
    <w:p w14:paraId="24064AAF" w14:textId="77777777" w:rsidR="00EF26EA" w:rsidRPr="008533E5" w:rsidRDefault="00EF26EA" w:rsidP="00EF26EA">
      <w:pPr>
        <w:pStyle w:val="Bullet1"/>
        <w:numPr>
          <w:ilvl w:val="0"/>
          <w:numId w:val="3"/>
        </w:numPr>
      </w:pPr>
      <w:r w:rsidRPr="008533E5">
        <w:t>where capacity does not exist due to other priorities</w:t>
      </w:r>
    </w:p>
    <w:p w14:paraId="206BD6FF" w14:textId="77777777" w:rsidR="00EF26EA" w:rsidRPr="008533E5" w:rsidRDefault="00EF26EA" w:rsidP="00EF26EA">
      <w:pPr>
        <w:pStyle w:val="Bullet1"/>
        <w:numPr>
          <w:ilvl w:val="0"/>
          <w:numId w:val="3"/>
        </w:numPr>
      </w:pPr>
      <w:r w:rsidRPr="008533E5">
        <w:t xml:space="preserve">where it is not in the </w:t>
      </w:r>
      <w:hyperlink r:id="rId35" w:history="1">
        <w:r w:rsidRPr="00CC6AC5">
          <w:rPr>
            <w:rStyle w:val="Hyperlink"/>
          </w:rPr>
          <w:t>public interest</w:t>
        </w:r>
      </w:hyperlink>
      <w:r w:rsidRPr="008533E5">
        <w:t xml:space="preserve"> to investigate</w:t>
      </w:r>
    </w:p>
    <w:p w14:paraId="6423A9AF" w14:textId="77777777" w:rsidR="00EF26EA" w:rsidRDefault="00EF26EA" w:rsidP="00EF26EA">
      <w:pPr>
        <w:pStyle w:val="Bullet1"/>
        <w:numPr>
          <w:ilvl w:val="0"/>
          <w:numId w:val="3"/>
        </w:numPr>
      </w:pPr>
      <w:r>
        <w:t xml:space="preserve">due to </w:t>
      </w:r>
      <w:r w:rsidRPr="008533E5">
        <w:t>subjective and objective factors</w:t>
      </w:r>
    </w:p>
    <w:p w14:paraId="47318F7E" w14:textId="711D5726" w:rsidR="00EF26EA" w:rsidRPr="008533E5" w:rsidRDefault="00EF26EA" w:rsidP="00EF26EA">
      <w:pPr>
        <w:pStyle w:val="Bullet1"/>
        <w:numPr>
          <w:ilvl w:val="0"/>
          <w:numId w:val="3"/>
        </w:numPr>
      </w:pPr>
      <w:r>
        <w:t>in circumstances where another agency is investigating, and they are the most appropriate agency to continue an investigation</w:t>
      </w:r>
    </w:p>
    <w:p w14:paraId="245EE984" w14:textId="77777777" w:rsidR="00EF26EA" w:rsidRDefault="00EF26EA" w:rsidP="00EF26EA">
      <w:pPr>
        <w:pStyle w:val="Bullet1"/>
        <w:numPr>
          <w:ilvl w:val="0"/>
          <w:numId w:val="3"/>
        </w:numPr>
        <w:sectPr w:rsidR="00EF26EA">
          <w:headerReference w:type="even" r:id="rId36"/>
          <w:pgSz w:w="11906" w:h="16838" w:code="9"/>
          <w:pgMar w:top="2835" w:right="1134" w:bottom="1134" w:left="1134" w:header="1701" w:footer="680" w:gutter="0"/>
          <w:cols w:space="708"/>
          <w:docGrid w:linePitch="360"/>
        </w:sectPr>
      </w:pPr>
      <w:r>
        <w:t xml:space="preserve">where </w:t>
      </w:r>
      <w:r w:rsidRPr="008533E5">
        <w:t xml:space="preserve">the entities concerned </w:t>
      </w:r>
      <w:r>
        <w:t>are being investigated for</w:t>
      </w:r>
      <w:r w:rsidRPr="008533E5">
        <w:t xml:space="preserve"> other matters and </w:t>
      </w:r>
      <w:r>
        <w:t xml:space="preserve">the APVMA </w:t>
      </w:r>
      <w:r w:rsidRPr="008533E5">
        <w:t>confines the scope of an investigation to selected contraventions or offending.</w:t>
      </w:r>
    </w:p>
    <w:p w14:paraId="11FE14F7" w14:textId="77777777" w:rsidR="002F4591" w:rsidRDefault="002A3239" w:rsidP="002F4591">
      <w:pPr>
        <w:pStyle w:val="CoverTitle"/>
        <w:spacing w:before="7200"/>
        <w:jc w:val="center"/>
      </w:pPr>
      <w:bookmarkStart w:id="15" w:name="_Toc414373842"/>
      <w:bookmarkStart w:id="16" w:name="_Toc231963183"/>
      <w:bookmarkStart w:id="17" w:name="_Toc231963195"/>
      <w:r>
        <w:rPr>
          <w:noProof/>
          <w:lang w:eastAsia="en-AU"/>
        </w:rPr>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77777777" w:rsidR="009D452E" w:rsidRDefault="009D452E" w:rsidP="002F4591">
      <w:pPr>
        <w:pStyle w:val="CoverTitle"/>
        <w:spacing w:before="1920"/>
        <w:jc w:val="center"/>
        <w:sectPr w:rsidR="009D452E">
          <w:headerReference w:type="even" r:id="rId38"/>
          <w:headerReference w:type="default" r:id="rId39"/>
          <w:footerReference w:type="default" r:id="rId40"/>
          <w:pgSz w:w="11906" w:h="16838" w:code="9"/>
          <w:pgMar w:top="2835" w:right="1134" w:bottom="1134" w:left="1134" w:header="1701" w:footer="680" w:gutter="0"/>
          <w:cols w:space="708"/>
          <w:docGrid w:linePitch="360"/>
        </w:sectPr>
      </w:pPr>
      <w:r>
        <w:t>Appendix</w:t>
      </w:r>
    </w:p>
    <w:p w14:paraId="7FC38416" w14:textId="133886E8" w:rsidR="002E20AC" w:rsidRDefault="002E20AC" w:rsidP="00754872">
      <w:pPr>
        <w:pStyle w:val="AppendixH1"/>
        <w:spacing w:after="300"/>
      </w:pPr>
      <w:bookmarkStart w:id="18" w:name="_Toc92283700"/>
      <w:r>
        <w:t xml:space="preserve">Appendix A </w:t>
      </w:r>
      <w:r w:rsidR="008B550C">
        <w:t>–</w:t>
      </w:r>
      <w:r>
        <w:t xml:space="preserve"> </w:t>
      </w:r>
      <w:bookmarkEnd w:id="15"/>
      <w:r w:rsidR="00EF26EA">
        <w:t>Subjective and objective factors</w:t>
      </w:r>
      <w:bookmarkEnd w:id="18"/>
    </w:p>
    <w:tbl>
      <w:tblPr>
        <w:tblW w:w="5000" w:type="pct"/>
        <w:tblBorders>
          <w:bottom w:val="dotted" w:sz="2" w:space="0" w:color="auto"/>
          <w:insideH w:val="dotted" w:sz="2" w:space="0" w:color="auto"/>
        </w:tblBorders>
        <w:tblLook w:val="01E0" w:firstRow="1" w:lastRow="1" w:firstColumn="1" w:lastColumn="1" w:noHBand="0" w:noVBand="0"/>
      </w:tblPr>
      <w:tblGrid>
        <w:gridCol w:w="2552"/>
        <w:gridCol w:w="7086"/>
      </w:tblGrid>
      <w:tr w:rsidR="00EF26EA" w14:paraId="1949D0E6" w14:textId="77777777" w:rsidTr="00EF26EA">
        <w:trPr>
          <w:cantSplit/>
          <w:tblHeader/>
        </w:trPr>
        <w:tc>
          <w:tcPr>
            <w:tcW w:w="1324" w:type="pct"/>
            <w:tcBorders>
              <w:bottom w:val="single" w:sz="4" w:space="0" w:color="auto"/>
            </w:tcBorders>
            <w:shd w:val="clear" w:color="auto" w:fill="5C2946"/>
            <w:vAlign w:val="bottom"/>
          </w:tcPr>
          <w:p w14:paraId="38007DF7" w14:textId="7D404303" w:rsidR="00EF26EA" w:rsidRPr="00EF26EA" w:rsidRDefault="00EF26EA" w:rsidP="0027022D">
            <w:pPr>
              <w:pStyle w:val="TableHead"/>
            </w:pPr>
            <w:r>
              <w:t>Operational category</w:t>
            </w:r>
          </w:p>
        </w:tc>
        <w:tc>
          <w:tcPr>
            <w:tcW w:w="3676" w:type="pct"/>
            <w:tcBorders>
              <w:bottom w:val="single" w:sz="4" w:space="0" w:color="auto"/>
            </w:tcBorders>
            <w:shd w:val="clear" w:color="auto" w:fill="5C2946"/>
            <w:vAlign w:val="bottom"/>
          </w:tcPr>
          <w:p w14:paraId="05ED424D" w14:textId="10744DED" w:rsidR="00EF26EA" w:rsidRPr="00EF26EA" w:rsidRDefault="00EF26EA" w:rsidP="0027022D">
            <w:pPr>
              <w:pStyle w:val="TableHead"/>
            </w:pPr>
            <w:r>
              <w:t>Case-specific factors</w:t>
            </w:r>
          </w:p>
        </w:tc>
      </w:tr>
      <w:tr w:rsidR="00EF26EA" w14:paraId="25E22BC5" w14:textId="77777777" w:rsidTr="00EF26EA">
        <w:tc>
          <w:tcPr>
            <w:tcW w:w="1324" w:type="pct"/>
            <w:tcBorders>
              <w:top w:val="single" w:sz="4" w:space="0" w:color="auto"/>
              <w:bottom w:val="single" w:sz="4" w:space="0" w:color="auto"/>
            </w:tcBorders>
          </w:tcPr>
          <w:p w14:paraId="3FDFB5DC" w14:textId="3609009B" w:rsidR="00EF26EA" w:rsidRPr="00EF26EA" w:rsidRDefault="00EF26EA" w:rsidP="00EF26EA">
            <w:pPr>
              <w:pStyle w:val="TableText"/>
              <w:rPr>
                <w:b/>
                <w:bCs/>
              </w:rPr>
            </w:pPr>
            <w:r w:rsidRPr="00EF26EA">
              <w:rPr>
                <w:b/>
                <w:bCs/>
              </w:rPr>
              <w:t>All</w:t>
            </w:r>
          </w:p>
        </w:tc>
        <w:tc>
          <w:tcPr>
            <w:tcW w:w="3676" w:type="pct"/>
            <w:tcBorders>
              <w:top w:val="single" w:sz="4" w:space="0" w:color="auto"/>
              <w:bottom w:val="single" w:sz="4" w:space="0" w:color="auto"/>
            </w:tcBorders>
          </w:tcPr>
          <w:p w14:paraId="12690610" w14:textId="77777777" w:rsidR="00EF26EA" w:rsidRPr="008533E5" w:rsidRDefault="00EF26EA" w:rsidP="00EF26EA">
            <w:pPr>
              <w:pStyle w:val="TableSubHead"/>
            </w:pPr>
            <w:r w:rsidRPr="008533E5">
              <w:t>Profile of regulated entity/person suspected of breaching provision</w:t>
            </w:r>
          </w:p>
          <w:p w14:paraId="621A5FCA" w14:textId="77777777" w:rsidR="00EF26EA" w:rsidRPr="008533E5" w:rsidRDefault="00EF26EA" w:rsidP="00EF26EA">
            <w:pPr>
              <w:pStyle w:val="TableBullet"/>
            </w:pPr>
            <w:r w:rsidRPr="008533E5">
              <w:t xml:space="preserve">Company size </w:t>
            </w:r>
            <w:r>
              <w:t>and</w:t>
            </w:r>
            <w:r w:rsidRPr="008533E5">
              <w:t xml:space="preserve"> type </w:t>
            </w:r>
            <w:r>
              <w:t>(e.g., international/domestic)</w:t>
            </w:r>
          </w:p>
          <w:p w14:paraId="28D9A944" w14:textId="77777777" w:rsidR="00EF26EA" w:rsidRPr="008533E5" w:rsidRDefault="00EF26EA" w:rsidP="00EF26EA">
            <w:pPr>
              <w:pStyle w:val="TableBullet"/>
            </w:pPr>
            <w:r w:rsidRPr="008533E5">
              <w:t>Nature of approval or registration</w:t>
            </w:r>
          </w:p>
          <w:p w14:paraId="413F6A39" w14:textId="77777777" w:rsidR="00EF26EA" w:rsidRPr="008533E5" w:rsidRDefault="00EF26EA" w:rsidP="00EF26EA">
            <w:pPr>
              <w:pStyle w:val="TableBullet"/>
            </w:pPr>
            <w:r w:rsidRPr="008533E5">
              <w:t>Nature of licence or permit</w:t>
            </w:r>
          </w:p>
          <w:p w14:paraId="38DAE25A" w14:textId="77777777" w:rsidR="00EF26EA" w:rsidRPr="008533E5" w:rsidRDefault="00EF26EA" w:rsidP="00EF26EA">
            <w:pPr>
              <w:pStyle w:val="TableBullet"/>
            </w:pPr>
            <w:r w:rsidRPr="008533E5">
              <w:t>Past compliance history</w:t>
            </w:r>
          </w:p>
          <w:p w14:paraId="402A61C6" w14:textId="77777777" w:rsidR="00EF26EA" w:rsidRPr="008533E5" w:rsidRDefault="00EF26EA" w:rsidP="00EF26EA">
            <w:pPr>
              <w:pStyle w:val="TableBullet"/>
            </w:pPr>
            <w:r w:rsidRPr="008533E5">
              <w:t>Approach towards previous non-compliance</w:t>
            </w:r>
          </w:p>
          <w:p w14:paraId="34F5C2EB" w14:textId="79134E84" w:rsidR="00EF26EA" w:rsidRPr="008533E5" w:rsidRDefault="00EF26EA" w:rsidP="00EF26EA">
            <w:pPr>
              <w:pStyle w:val="TableBullet"/>
            </w:pPr>
            <w:r w:rsidRPr="008533E5">
              <w:t xml:space="preserve">History of </w:t>
            </w:r>
            <w:r>
              <w:t>prior correspondence in relation to the same or similar matters with the APVMA</w:t>
            </w:r>
          </w:p>
          <w:p w14:paraId="621DBE54" w14:textId="77777777" w:rsidR="00EF26EA" w:rsidRPr="008533E5" w:rsidRDefault="00EF26EA" w:rsidP="00EF26EA">
            <w:pPr>
              <w:pStyle w:val="TableSubHead"/>
            </w:pPr>
            <w:r w:rsidRPr="008533E5">
              <w:t>Conduct of regulated entity (culpability)</w:t>
            </w:r>
          </w:p>
          <w:p w14:paraId="2A1B91DB" w14:textId="77777777" w:rsidR="00EF26EA" w:rsidRPr="008533E5" w:rsidRDefault="00EF26EA" w:rsidP="00EF26EA">
            <w:pPr>
              <w:pStyle w:val="TableBullet"/>
            </w:pPr>
            <w:r>
              <w:t>Intention</w:t>
            </w:r>
          </w:p>
          <w:p w14:paraId="7EB74344" w14:textId="77777777" w:rsidR="00EF26EA" w:rsidRPr="008533E5" w:rsidRDefault="00EF26EA" w:rsidP="00EF26EA">
            <w:pPr>
              <w:pStyle w:val="TableBullet"/>
              <w:ind w:left="511"/>
            </w:pPr>
            <w:r w:rsidRPr="008533E5">
              <w:t>Unintentional non-compliance</w:t>
            </w:r>
          </w:p>
          <w:p w14:paraId="579C7732" w14:textId="77777777" w:rsidR="00EF26EA" w:rsidRPr="008533E5" w:rsidRDefault="00EF26EA" w:rsidP="00EF26EA">
            <w:pPr>
              <w:pStyle w:val="TableBullet"/>
              <w:ind w:left="511"/>
            </w:pPr>
            <w:r w:rsidRPr="008533E5">
              <w:t>Ignorance</w:t>
            </w:r>
          </w:p>
          <w:p w14:paraId="28959DCB" w14:textId="77777777" w:rsidR="00EF26EA" w:rsidRPr="008533E5" w:rsidRDefault="00EF26EA" w:rsidP="00EF26EA">
            <w:pPr>
              <w:pStyle w:val="TableBullet"/>
              <w:ind w:left="511"/>
            </w:pPr>
            <w:r w:rsidRPr="008533E5">
              <w:t>Reckless non-compliance</w:t>
            </w:r>
          </w:p>
          <w:p w14:paraId="0ED34C6A" w14:textId="77777777" w:rsidR="00EF26EA" w:rsidRPr="008533E5" w:rsidRDefault="00EF26EA" w:rsidP="00EF26EA">
            <w:pPr>
              <w:pStyle w:val="TableBullet"/>
              <w:ind w:left="511"/>
            </w:pPr>
            <w:r w:rsidRPr="008533E5">
              <w:t>Wilful non-compliance</w:t>
            </w:r>
          </w:p>
          <w:p w14:paraId="5B2745EA" w14:textId="77777777" w:rsidR="00EF26EA" w:rsidRPr="008533E5" w:rsidRDefault="00EF26EA" w:rsidP="00EF26EA">
            <w:pPr>
              <w:pStyle w:val="TableBullet"/>
              <w:ind w:left="511"/>
            </w:pPr>
            <w:r w:rsidRPr="008533E5">
              <w:t>Fraud</w:t>
            </w:r>
          </w:p>
          <w:p w14:paraId="0CB1FFD2" w14:textId="77777777" w:rsidR="00EF26EA" w:rsidRPr="008533E5" w:rsidRDefault="00EF26EA" w:rsidP="00EF26EA">
            <w:pPr>
              <w:pStyle w:val="TableBullet"/>
            </w:pPr>
            <w:r w:rsidRPr="008533E5">
              <w:t>Degree of co-operation (assess through case)</w:t>
            </w:r>
          </w:p>
          <w:p w14:paraId="23AFDEA7" w14:textId="77777777" w:rsidR="00EF26EA" w:rsidRPr="008533E5" w:rsidRDefault="00EF26EA" w:rsidP="00EF26EA">
            <w:pPr>
              <w:pStyle w:val="TableBullet"/>
            </w:pPr>
            <w:r w:rsidRPr="008533E5">
              <w:t>Audit</w:t>
            </w:r>
          </w:p>
          <w:p w14:paraId="2CFD6B76" w14:textId="62BD3826" w:rsidR="00EF26EA" w:rsidRPr="008533E5" w:rsidRDefault="00EF26EA" w:rsidP="00EF26EA">
            <w:pPr>
              <w:pStyle w:val="TableBullet"/>
            </w:pPr>
            <w:r w:rsidRPr="008533E5">
              <w:t>Degree of proactivity</w:t>
            </w:r>
            <w:r>
              <w:t>:</w:t>
            </w:r>
          </w:p>
          <w:p w14:paraId="11104997" w14:textId="77777777" w:rsidR="00EF26EA" w:rsidRPr="008533E5" w:rsidRDefault="00EF26EA" w:rsidP="00EF26EA">
            <w:pPr>
              <w:pStyle w:val="TableBullet"/>
              <w:ind w:left="511"/>
            </w:pPr>
            <w:r w:rsidRPr="008533E5">
              <w:t>in avoiding non-compliance</w:t>
            </w:r>
          </w:p>
          <w:p w14:paraId="38E3D06A" w14:textId="77777777" w:rsidR="00EF26EA" w:rsidRPr="008533E5" w:rsidRDefault="00EF26EA" w:rsidP="00EF26EA">
            <w:pPr>
              <w:pStyle w:val="TableBullet"/>
              <w:ind w:left="511"/>
            </w:pPr>
            <w:r w:rsidRPr="008533E5">
              <w:t>in limiting future non-compliance</w:t>
            </w:r>
          </w:p>
          <w:p w14:paraId="16BF52F2" w14:textId="1020001F" w:rsidR="00EF26EA" w:rsidRPr="008533E5" w:rsidRDefault="00EF26EA" w:rsidP="00EF26EA">
            <w:pPr>
              <w:pStyle w:val="TableBullet"/>
              <w:ind w:left="511"/>
            </w:pPr>
            <w:r w:rsidRPr="008533E5">
              <w:t>existence of contingency plans</w:t>
            </w:r>
            <w:r>
              <w:t>.</w:t>
            </w:r>
          </w:p>
          <w:p w14:paraId="44DDB8A0" w14:textId="77777777" w:rsidR="00EF26EA" w:rsidRPr="008533E5" w:rsidRDefault="00EF26EA" w:rsidP="00EF26EA">
            <w:pPr>
              <w:pStyle w:val="TableBullet"/>
            </w:pPr>
            <w:r w:rsidRPr="008533E5">
              <w:t>Way in which conduct came to</w:t>
            </w:r>
            <w:r>
              <w:t xml:space="preserve"> the attention of the regulator</w:t>
            </w:r>
          </w:p>
          <w:p w14:paraId="09009A23" w14:textId="77777777" w:rsidR="00EF26EA" w:rsidRPr="008533E5" w:rsidRDefault="00EF26EA" w:rsidP="00EF26EA">
            <w:pPr>
              <w:pStyle w:val="TableBullet"/>
              <w:ind w:left="511"/>
            </w:pPr>
            <w:r w:rsidRPr="008533E5">
              <w:t>Self-reported versus third party</w:t>
            </w:r>
          </w:p>
          <w:p w14:paraId="7725D32E" w14:textId="36B15178" w:rsidR="00EF26EA" w:rsidRPr="008533E5" w:rsidRDefault="00EF26EA" w:rsidP="00EF26EA">
            <w:pPr>
              <w:pStyle w:val="TableBullet"/>
              <w:ind w:left="511"/>
            </w:pPr>
            <w:r w:rsidRPr="008533E5">
              <w:t>Time between non-compliance and reporting to regulator</w:t>
            </w:r>
          </w:p>
          <w:p w14:paraId="492BFF3E" w14:textId="77777777" w:rsidR="00EF26EA" w:rsidRPr="008533E5" w:rsidRDefault="00EF26EA" w:rsidP="00EF26EA">
            <w:pPr>
              <w:pStyle w:val="TableSubHead"/>
            </w:pPr>
            <w:r w:rsidRPr="008533E5">
              <w:t>Type of chemical or active constituent involved</w:t>
            </w:r>
          </w:p>
          <w:p w14:paraId="37EBBA67" w14:textId="4B8F48E0" w:rsidR="00EF26EA" w:rsidRPr="00C4326F" w:rsidRDefault="00EF26EA" w:rsidP="00EF26EA">
            <w:pPr>
              <w:pStyle w:val="TableBullet"/>
            </w:pPr>
            <w:r w:rsidRPr="00C4326F">
              <w:t>Toxicity</w:t>
            </w:r>
            <w:r>
              <w:t xml:space="preserve"> or contamination</w:t>
            </w:r>
          </w:p>
          <w:p w14:paraId="695ACE4B" w14:textId="77777777" w:rsidR="00EF26EA" w:rsidRPr="00C4326F" w:rsidRDefault="00EF26EA" w:rsidP="00EF26EA">
            <w:pPr>
              <w:pStyle w:val="TableBullet"/>
            </w:pPr>
            <w:r>
              <w:t>Use instructions for product</w:t>
            </w:r>
          </w:p>
          <w:p w14:paraId="5BA8FB05" w14:textId="77777777" w:rsidR="00EF26EA" w:rsidRPr="00C4326F" w:rsidRDefault="00EF26EA" w:rsidP="00EF26EA">
            <w:pPr>
              <w:pStyle w:val="TableBullet"/>
            </w:pPr>
            <w:r w:rsidRPr="00C4326F">
              <w:t>Use patterns</w:t>
            </w:r>
          </w:p>
          <w:p w14:paraId="7CB2DE9B" w14:textId="77777777" w:rsidR="00EF26EA" w:rsidRPr="00C4326F" w:rsidRDefault="00EF26EA" w:rsidP="00EF26EA">
            <w:pPr>
              <w:pStyle w:val="TableBullet"/>
            </w:pPr>
            <w:r>
              <w:t>Compliance with registered label particulars</w:t>
            </w:r>
          </w:p>
          <w:p w14:paraId="7512E0CF" w14:textId="77777777" w:rsidR="00EF26EA" w:rsidRPr="00C4326F" w:rsidRDefault="00EF26EA" w:rsidP="00EF26EA">
            <w:pPr>
              <w:pStyle w:val="TableBullet"/>
            </w:pPr>
            <w:r>
              <w:t>Volume and v</w:t>
            </w:r>
            <w:r w:rsidRPr="00C4326F">
              <w:t>alue of chemical or active constituent</w:t>
            </w:r>
          </w:p>
          <w:p w14:paraId="704752D1" w14:textId="77777777" w:rsidR="00EF26EA" w:rsidRPr="00C4326F" w:rsidRDefault="00EF26EA" w:rsidP="00EF26EA">
            <w:pPr>
              <w:pStyle w:val="TableBullet"/>
            </w:pPr>
            <w:r w:rsidRPr="00C4326F">
              <w:t>Packaging</w:t>
            </w:r>
          </w:p>
          <w:p w14:paraId="7B41123C" w14:textId="77777777" w:rsidR="00EF26EA" w:rsidRPr="00C4326F" w:rsidRDefault="00EF26EA" w:rsidP="00EF26EA">
            <w:pPr>
              <w:pStyle w:val="TableBullet"/>
            </w:pPr>
            <w:r w:rsidRPr="00C4326F">
              <w:t>Method of manufacture</w:t>
            </w:r>
          </w:p>
          <w:p w14:paraId="0A6580CF" w14:textId="77777777" w:rsidR="00EF26EA" w:rsidRPr="00C4326F" w:rsidRDefault="00EF26EA" w:rsidP="00EF26EA">
            <w:pPr>
              <w:pStyle w:val="TableBullet"/>
            </w:pPr>
            <w:r w:rsidRPr="00C4326F">
              <w:t>Poisons Classification</w:t>
            </w:r>
          </w:p>
          <w:p w14:paraId="41F9E86B" w14:textId="3EDBDC5F" w:rsidR="00D509D4" w:rsidRPr="00ED3B09" w:rsidRDefault="00EF26EA" w:rsidP="00ED3B09">
            <w:pPr>
              <w:pStyle w:val="TableBullet"/>
            </w:pPr>
            <w:r w:rsidRPr="00C4326F">
              <w:t>VICH</w:t>
            </w:r>
            <w:r w:rsidR="00D509D4">
              <w:t xml:space="preserve"> (</w:t>
            </w:r>
            <w:r w:rsidR="00D509D4" w:rsidRPr="00ED3B09">
              <w:t>International Cooperation on Harmonisation of Technical Requirements for Registration of Veterinary Medicinal Products</w:t>
            </w:r>
            <w:r w:rsidR="00D509D4">
              <w:t>)</w:t>
            </w:r>
          </w:p>
          <w:p w14:paraId="128F7F3E" w14:textId="1DB8923E" w:rsidR="00EF26EA" w:rsidRDefault="00D509D4" w:rsidP="00EF26EA">
            <w:pPr>
              <w:pStyle w:val="TableBullet"/>
            </w:pPr>
            <w:r w:rsidRPr="00D509D4">
              <w:t>Australian Strategic and Technical Advisory Group on AMR</w:t>
            </w:r>
            <w:r>
              <w:t xml:space="preserve"> (</w:t>
            </w:r>
            <w:r w:rsidR="00EF26EA">
              <w:t>ASTAG</w:t>
            </w:r>
            <w:r>
              <w:t>)</w:t>
            </w:r>
          </w:p>
          <w:p w14:paraId="26113A2D" w14:textId="13A1F1B8" w:rsidR="00EF26EA" w:rsidRPr="00C4326F" w:rsidRDefault="00EF26EA" w:rsidP="00EF26EA">
            <w:pPr>
              <w:pStyle w:val="TableBullet"/>
            </w:pPr>
            <w:r>
              <w:t xml:space="preserve">Chemicals of </w:t>
            </w:r>
            <w:r w:rsidR="00D509D4">
              <w:t>s</w:t>
            </w:r>
            <w:r>
              <w:t>ecurity concern</w:t>
            </w:r>
          </w:p>
          <w:p w14:paraId="7DF1A337" w14:textId="1AD445D9" w:rsidR="00EF26EA" w:rsidRPr="008533E5" w:rsidRDefault="00EF26EA" w:rsidP="00EF26EA">
            <w:pPr>
              <w:pStyle w:val="TableBullet"/>
            </w:pPr>
            <w:r w:rsidRPr="00C4326F">
              <w:t>Relevant detail in approval documents</w:t>
            </w:r>
          </w:p>
          <w:p w14:paraId="7D7424CD" w14:textId="7B1B60E7" w:rsidR="00EF26EA" w:rsidRDefault="00EF26EA" w:rsidP="00EF26EA">
            <w:pPr>
              <w:pStyle w:val="TableSubHead"/>
            </w:pPr>
            <w:r w:rsidRPr="00C4326F">
              <w:t>Impact of conduct</w:t>
            </w:r>
            <w:r w:rsidRPr="008533E5">
              <w:t>:</w:t>
            </w:r>
            <w:r>
              <w:t xml:space="preserve"> n</w:t>
            </w:r>
            <w:r w:rsidRPr="008533E5">
              <w:t xml:space="preserve">ature of non-compliance (administrative, substantive, </w:t>
            </w:r>
            <w:r>
              <w:t xml:space="preserve">risk to safety, health, trade, or the environment). </w:t>
            </w:r>
          </w:p>
          <w:p w14:paraId="6BB4CB8C" w14:textId="77777777" w:rsidR="00EF26EA" w:rsidRPr="008533E5" w:rsidRDefault="00EF26EA" w:rsidP="00EF26EA">
            <w:pPr>
              <w:pStyle w:val="TableBullet"/>
            </w:pPr>
            <w:r w:rsidRPr="008533E5">
              <w:t>Nature and scale of event</w:t>
            </w:r>
            <w:r>
              <w:t>:</w:t>
            </w:r>
          </w:p>
          <w:p w14:paraId="11F1BC76" w14:textId="77777777" w:rsidR="00EF26EA" w:rsidRPr="008533E5" w:rsidRDefault="00EF26EA" w:rsidP="00EF26EA">
            <w:pPr>
              <w:pStyle w:val="TableBullet"/>
              <w:ind w:left="511"/>
            </w:pPr>
            <w:r w:rsidRPr="008533E5">
              <w:t xml:space="preserve">Large-scale </w:t>
            </w:r>
            <w:r>
              <w:t>or</w:t>
            </w:r>
            <w:r w:rsidRPr="008533E5">
              <w:t xml:space="preserve"> isolated event</w:t>
            </w:r>
            <w:r>
              <w:t>; duration of event</w:t>
            </w:r>
          </w:p>
          <w:p w14:paraId="01D7C56D" w14:textId="77777777" w:rsidR="00EF26EA" w:rsidRPr="008533E5" w:rsidRDefault="00EF26EA" w:rsidP="00EF26EA">
            <w:pPr>
              <w:pStyle w:val="TableBullet"/>
              <w:ind w:left="511"/>
            </w:pPr>
            <w:r w:rsidRPr="008533E5">
              <w:t>Animals or people affected</w:t>
            </w:r>
            <w:r>
              <w:t xml:space="preserve"> (e.g., contamination of food)</w:t>
            </w:r>
          </w:p>
          <w:p w14:paraId="4DBD8FCF" w14:textId="77777777" w:rsidR="00EF26EA" w:rsidRPr="008533E5" w:rsidRDefault="00EF26EA" w:rsidP="00EF26EA">
            <w:pPr>
              <w:pStyle w:val="TableBullet"/>
              <w:ind w:left="511"/>
            </w:pPr>
            <w:r w:rsidRPr="008533E5">
              <w:t>Environmental consequences</w:t>
            </w:r>
          </w:p>
          <w:p w14:paraId="7C42CE4A" w14:textId="77777777" w:rsidR="00EF26EA" w:rsidRPr="008533E5" w:rsidRDefault="00EF26EA" w:rsidP="00EF26EA">
            <w:pPr>
              <w:pStyle w:val="TableBullet"/>
              <w:ind w:left="511"/>
            </w:pPr>
            <w:r w:rsidRPr="008533E5">
              <w:t xml:space="preserve">Nature of </w:t>
            </w:r>
            <w:r>
              <w:t>risk/</w:t>
            </w:r>
            <w:r w:rsidRPr="008533E5">
              <w:t>harm/injury/damage</w:t>
            </w:r>
          </w:p>
          <w:p w14:paraId="29F0F8C7" w14:textId="77777777" w:rsidR="00EF26EA" w:rsidRDefault="00EF26EA" w:rsidP="00EF26EA">
            <w:pPr>
              <w:pStyle w:val="TableBullet"/>
              <w:ind w:left="511"/>
            </w:pPr>
            <w:r w:rsidRPr="008533E5">
              <w:t>Volume of chemical involved</w:t>
            </w:r>
          </w:p>
          <w:p w14:paraId="1C84A291" w14:textId="77777777" w:rsidR="00EF26EA" w:rsidRPr="008533E5" w:rsidRDefault="00EF26EA" w:rsidP="00EF26EA">
            <w:pPr>
              <w:pStyle w:val="TableBullet"/>
              <w:ind w:left="511"/>
            </w:pPr>
            <w:r>
              <w:t>Trade implications</w:t>
            </w:r>
          </w:p>
          <w:p w14:paraId="04509C81" w14:textId="275D57F7" w:rsidR="00EF26EA" w:rsidRPr="00EF26EA" w:rsidRDefault="00EF26EA" w:rsidP="00EF26EA">
            <w:pPr>
              <w:pStyle w:val="TableBullet"/>
            </w:pPr>
            <w:r w:rsidRPr="008533E5">
              <w:t xml:space="preserve">Financial </w:t>
            </w:r>
            <w:r>
              <w:t xml:space="preserve">or political </w:t>
            </w:r>
            <w:r w:rsidRPr="008533E5">
              <w:t>repercuss</w:t>
            </w:r>
            <w:r w:rsidRPr="00C4326F">
              <w:t>ions</w:t>
            </w:r>
          </w:p>
        </w:tc>
      </w:tr>
      <w:tr w:rsidR="00EF26EA" w14:paraId="22834AC8" w14:textId="77777777" w:rsidTr="00EF26EA">
        <w:tc>
          <w:tcPr>
            <w:tcW w:w="1324" w:type="pct"/>
            <w:tcBorders>
              <w:top w:val="single" w:sz="4" w:space="0" w:color="auto"/>
              <w:bottom w:val="single" w:sz="4" w:space="0" w:color="auto"/>
            </w:tcBorders>
          </w:tcPr>
          <w:p w14:paraId="70B5F2DD" w14:textId="779F06B1" w:rsidR="00EF26EA" w:rsidRPr="00EF26EA" w:rsidRDefault="00EF26EA" w:rsidP="00EF26EA">
            <w:pPr>
              <w:pStyle w:val="TableText"/>
              <w:rPr>
                <w:b/>
                <w:bCs/>
              </w:rPr>
            </w:pPr>
            <w:r w:rsidRPr="00EF26EA">
              <w:rPr>
                <w:b/>
                <w:bCs/>
              </w:rPr>
              <w:t>Import/</w:t>
            </w:r>
            <w:r>
              <w:rPr>
                <w:b/>
                <w:bCs/>
              </w:rPr>
              <w:t>e</w:t>
            </w:r>
            <w:r w:rsidRPr="00EF26EA">
              <w:rPr>
                <w:b/>
                <w:bCs/>
              </w:rPr>
              <w:t>xport</w:t>
            </w:r>
          </w:p>
        </w:tc>
        <w:tc>
          <w:tcPr>
            <w:tcW w:w="3676" w:type="pct"/>
            <w:tcBorders>
              <w:top w:val="single" w:sz="4" w:space="0" w:color="auto"/>
              <w:bottom w:val="single" w:sz="4" w:space="0" w:color="auto"/>
            </w:tcBorders>
          </w:tcPr>
          <w:p w14:paraId="1879456D" w14:textId="77777777" w:rsidR="00EF26EA" w:rsidRPr="008533E5" w:rsidRDefault="00EF26EA" w:rsidP="00EF26EA">
            <w:pPr>
              <w:pStyle w:val="TableSubHead"/>
            </w:pPr>
            <w:r>
              <w:t>Export: m</w:t>
            </w:r>
            <w:r w:rsidRPr="008533E5">
              <w:t>arket access repercussions</w:t>
            </w:r>
          </w:p>
          <w:p w14:paraId="7F693724" w14:textId="77777777" w:rsidR="00EF26EA" w:rsidRPr="008533E5" w:rsidRDefault="00EF26EA" w:rsidP="00EF26EA">
            <w:pPr>
              <w:pStyle w:val="TableBullet"/>
            </w:pPr>
            <w:r w:rsidRPr="008533E5">
              <w:t>Risk of rejection of product by importing country</w:t>
            </w:r>
          </w:p>
          <w:p w14:paraId="02756A66" w14:textId="77777777" w:rsidR="00EF26EA" w:rsidRPr="008533E5" w:rsidRDefault="00EF26EA" w:rsidP="00EF26EA">
            <w:pPr>
              <w:pStyle w:val="TableBullet"/>
            </w:pPr>
            <w:r w:rsidRPr="008533E5">
              <w:t>Impact on international reputation</w:t>
            </w:r>
            <w:r>
              <w:t xml:space="preserve"> (e.g., quantity)</w:t>
            </w:r>
          </w:p>
          <w:p w14:paraId="50F1E463" w14:textId="77777777" w:rsidR="00EF26EA" w:rsidRPr="008533E5" w:rsidRDefault="00EF26EA" w:rsidP="00EF26EA">
            <w:pPr>
              <w:pStyle w:val="TableSubHead"/>
            </w:pPr>
            <w:r w:rsidRPr="008533E5">
              <w:t>Import</w:t>
            </w:r>
          </w:p>
          <w:p w14:paraId="6AD3933D" w14:textId="20CC8B84" w:rsidR="00EF26EA" w:rsidRPr="008533E5" w:rsidRDefault="00EF26EA" w:rsidP="00EF26EA">
            <w:pPr>
              <w:pStyle w:val="TableBullet"/>
            </w:pPr>
            <w:r w:rsidRPr="008533E5">
              <w:t>Quantity</w:t>
            </w:r>
          </w:p>
          <w:p w14:paraId="0F33015F" w14:textId="4294A66A" w:rsidR="00EF26EA" w:rsidRPr="00EF26EA" w:rsidRDefault="00EF26EA" w:rsidP="00EF26EA">
            <w:pPr>
              <w:pStyle w:val="TableBullet"/>
            </w:pPr>
            <w:r w:rsidRPr="008533E5">
              <w:t>Potential for profit</w:t>
            </w:r>
          </w:p>
        </w:tc>
      </w:tr>
      <w:tr w:rsidR="00EF26EA" w14:paraId="18484C52" w14:textId="77777777" w:rsidTr="00EF26EA">
        <w:tc>
          <w:tcPr>
            <w:tcW w:w="1324" w:type="pct"/>
            <w:tcBorders>
              <w:top w:val="single" w:sz="4" w:space="0" w:color="auto"/>
              <w:bottom w:val="single" w:sz="4" w:space="0" w:color="auto"/>
            </w:tcBorders>
          </w:tcPr>
          <w:p w14:paraId="21D89BB2" w14:textId="77915517" w:rsidR="00EF26EA" w:rsidRPr="00EF26EA" w:rsidRDefault="00EF26EA" w:rsidP="00EF26EA">
            <w:pPr>
              <w:pStyle w:val="TableText"/>
              <w:rPr>
                <w:b/>
                <w:bCs/>
              </w:rPr>
            </w:pPr>
            <w:r w:rsidRPr="00EF26EA">
              <w:rPr>
                <w:b/>
                <w:bCs/>
              </w:rPr>
              <w:t>Labelling</w:t>
            </w:r>
          </w:p>
        </w:tc>
        <w:tc>
          <w:tcPr>
            <w:tcW w:w="3676" w:type="pct"/>
            <w:tcBorders>
              <w:top w:val="single" w:sz="4" w:space="0" w:color="auto"/>
              <w:bottom w:val="single" w:sz="4" w:space="0" w:color="auto"/>
            </w:tcBorders>
          </w:tcPr>
          <w:p w14:paraId="1D7A4865" w14:textId="77777777" w:rsidR="00EF26EA" w:rsidRPr="008533E5" w:rsidRDefault="00EF26EA" w:rsidP="00EF26EA">
            <w:pPr>
              <w:pStyle w:val="TableSubHead"/>
            </w:pPr>
            <w:r>
              <w:t>Impact: d</w:t>
            </w:r>
            <w:r w:rsidRPr="008533E5">
              <w:t>egree of non-compliance</w:t>
            </w:r>
          </w:p>
          <w:p w14:paraId="77381A0A" w14:textId="17F3274A" w:rsidR="00EF26EA" w:rsidRPr="00C4326F" w:rsidRDefault="00EF26EA" w:rsidP="00EF26EA">
            <w:pPr>
              <w:pStyle w:val="TableBullet"/>
            </w:pPr>
            <w:r>
              <w:t>N</w:t>
            </w:r>
            <w:r w:rsidRPr="008533E5">
              <w:t xml:space="preserve">o </w:t>
            </w:r>
            <w:r>
              <w:t>label or</w:t>
            </w:r>
            <w:r w:rsidRPr="00C4326F">
              <w:t xml:space="preserve"> wrong label </w:t>
            </w:r>
            <w:r>
              <w:t xml:space="preserve">(e.g., absent </w:t>
            </w:r>
            <w:r w:rsidRPr="00C4326F">
              <w:t>or inaccurate safety warnings</w:t>
            </w:r>
            <w:r>
              <w:t>)</w:t>
            </w:r>
          </w:p>
          <w:p w14:paraId="3E4BD92F" w14:textId="5F061E2E" w:rsidR="00EF26EA" w:rsidRPr="00C4326F" w:rsidRDefault="00EF26EA" w:rsidP="00EF26EA">
            <w:pPr>
              <w:pStyle w:val="TableBullet"/>
            </w:pPr>
            <w:r>
              <w:t>Degree of error of</w:t>
            </w:r>
            <w:r w:rsidRPr="00C4326F">
              <w:t xml:space="preserve"> information </w:t>
            </w:r>
            <w:r>
              <w:t>or instructions</w:t>
            </w:r>
          </w:p>
          <w:p w14:paraId="0DD9C89E" w14:textId="08C0AD18" w:rsidR="00EF26EA" w:rsidRPr="00EF26EA" w:rsidRDefault="00EF26EA" w:rsidP="00EF26EA">
            <w:pPr>
              <w:pStyle w:val="TableBullet"/>
            </w:pPr>
            <w:r>
              <w:t>History of incorrect product or label</w:t>
            </w:r>
          </w:p>
        </w:tc>
      </w:tr>
    </w:tbl>
    <w:p w14:paraId="34D43BA0" w14:textId="77777777" w:rsidR="00EF26EA" w:rsidRDefault="00EF26EA" w:rsidP="00EF26EA">
      <w:pPr>
        <w:pStyle w:val="NormalText"/>
        <w:sectPr w:rsidR="00EF26EA">
          <w:headerReference w:type="even" r:id="rId41"/>
          <w:pgSz w:w="11906" w:h="16838" w:code="9"/>
          <w:pgMar w:top="2835" w:right="1134" w:bottom="1134" w:left="1134" w:header="1701" w:footer="680" w:gutter="0"/>
          <w:cols w:space="708"/>
          <w:docGrid w:linePitch="360"/>
        </w:sectPr>
      </w:pPr>
    </w:p>
    <w:p w14:paraId="37487415" w14:textId="02C43A71" w:rsidR="00EF26EA" w:rsidRDefault="002E20AC" w:rsidP="00754872">
      <w:pPr>
        <w:pStyle w:val="AppendixH1"/>
        <w:spacing w:after="300"/>
      </w:pPr>
      <w:bookmarkStart w:id="19" w:name="_Toc414373845"/>
      <w:bookmarkStart w:id="20" w:name="_Toc92283701"/>
      <w:r>
        <w:t xml:space="preserve">Appendix B </w:t>
      </w:r>
      <w:r w:rsidR="00FD344F">
        <w:t>–</w:t>
      </w:r>
      <w:r>
        <w:t xml:space="preserve"> </w:t>
      </w:r>
      <w:bookmarkEnd w:id="19"/>
      <w:r w:rsidR="00EF26EA">
        <w:t>Risk assessment matrix</w:t>
      </w:r>
      <w:bookmarkEnd w:id="20"/>
    </w:p>
    <w:tbl>
      <w:tblPr>
        <w:tblW w:w="5000" w:type="pct"/>
        <w:tblBorders>
          <w:bottom w:val="dotted" w:sz="2" w:space="0" w:color="auto"/>
          <w:insideH w:val="dotted" w:sz="2" w:space="0" w:color="auto"/>
        </w:tblBorders>
        <w:tblLook w:val="01E0" w:firstRow="1" w:lastRow="1" w:firstColumn="1" w:lastColumn="1" w:noHBand="0" w:noVBand="0"/>
      </w:tblPr>
      <w:tblGrid>
        <w:gridCol w:w="8595"/>
        <w:gridCol w:w="1043"/>
      </w:tblGrid>
      <w:tr w:rsidR="00EF26EA" w14:paraId="77642495" w14:textId="77777777" w:rsidTr="00EF26EA">
        <w:trPr>
          <w:cantSplit/>
        </w:trPr>
        <w:tc>
          <w:tcPr>
            <w:tcW w:w="5000" w:type="pct"/>
            <w:gridSpan w:val="2"/>
            <w:tcBorders>
              <w:bottom w:val="single" w:sz="4" w:space="0" w:color="auto"/>
            </w:tcBorders>
            <w:shd w:val="clear" w:color="auto" w:fill="5C2946"/>
            <w:vAlign w:val="bottom"/>
          </w:tcPr>
          <w:p w14:paraId="40722E39" w14:textId="27689D7C" w:rsidR="00EF26EA" w:rsidRPr="00EF26EA" w:rsidRDefault="00EF26EA" w:rsidP="0027022D">
            <w:pPr>
              <w:pStyle w:val="TableHead"/>
            </w:pPr>
            <w:r>
              <w:t>1.1 Potential harms</w:t>
            </w:r>
          </w:p>
        </w:tc>
      </w:tr>
      <w:tr w:rsidR="00EF26EA" w14:paraId="52C44561" w14:textId="77777777" w:rsidTr="00EF26EA">
        <w:tc>
          <w:tcPr>
            <w:tcW w:w="4459" w:type="pct"/>
            <w:vMerge w:val="restart"/>
            <w:tcBorders>
              <w:top w:val="single" w:sz="4" w:space="0" w:color="auto"/>
            </w:tcBorders>
            <w:vAlign w:val="center"/>
          </w:tcPr>
          <w:p w14:paraId="7AB4068E" w14:textId="77777777" w:rsidR="00EF26EA" w:rsidRPr="00EF26EA" w:rsidRDefault="00EF26EA" w:rsidP="00EF26EA">
            <w:pPr>
              <w:pStyle w:val="TableText"/>
            </w:pPr>
            <w:r w:rsidRPr="00CC3C81">
              <w:rPr>
                <w:b/>
                <w:bCs/>
                <w:color w:val="000000"/>
                <w:lang w:eastAsia="en-AU"/>
              </w:rPr>
              <w:t xml:space="preserve">A </w:t>
            </w:r>
            <w:r>
              <w:rPr>
                <w:b/>
                <w:bCs/>
                <w:color w:val="000000"/>
                <w:lang w:eastAsia="en-AU"/>
              </w:rPr>
              <w:t>–</w:t>
            </w:r>
            <w:r w:rsidRPr="00CC3C81">
              <w:rPr>
                <w:b/>
                <w:bCs/>
                <w:color w:val="000000"/>
                <w:lang w:eastAsia="en-AU"/>
              </w:rPr>
              <w:t xml:space="preserve"> Human death or injury</w:t>
            </w:r>
          </w:p>
          <w:p w14:paraId="57DC6D33" w14:textId="676C6917" w:rsidR="00EF26EA" w:rsidRPr="00EF26EA" w:rsidRDefault="00EF26EA" w:rsidP="00EF26EA">
            <w:pPr>
              <w:pStyle w:val="TableText"/>
            </w:pPr>
            <w:r w:rsidRPr="00CC3C81">
              <w:rPr>
                <w:iCs/>
                <w:color w:val="000000"/>
                <w:lang w:eastAsia="en-AU"/>
              </w:rPr>
              <w:t>Unregistered product; mode of action; lack of appropriate warnings or signal headings; handling or use hazard; chemical of security concern, ASTAG/AGISAR rating; incorrect registered or label particulars.</w:t>
            </w:r>
          </w:p>
        </w:tc>
        <w:tc>
          <w:tcPr>
            <w:tcW w:w="541" w:type="pct"/>
            <w:tcBorders>
              <w:top w:val="single" w:sz="4" w:space="0" w:color="auto"/>
              <w:bottom w:val="single" w:sz="4" w:space="0" w:color="auto"/>
            </w:tcBorders>
            <w:vAlign w:val="center"/>
          </w:tcPr>
          <w:p w14:paraId="4F03759F" w14:textId="6A40E7EC" w:rsidR="00EF26EA" w:rsidRPr="00EF26EA" w:rsidRDefault="00EF26EA" w:rsidP="00EF26EA">
            <w:pPr>
              <w:pStyle w:val="TableText"/>
              <w:jc w:val="right"/>
            </w:pPr>
            <w:r>
              <w:rPr>
                <w:b/>
                <w:bCs/>
                <w:color w:val="000000"/>
                <w:lang w:eastAsia="en-AU"/>
              </w:rPr>
              <w:t>Score</w:t>
            </w:r>
            <w:r>
              <w:rPr>
                <w:rStyle w:val="FootnoteReference"/>
                <w:b/>
                <w:bCs/>
                <w:color w:val="000000"/>
                <w:lang w:eastAsia="en-AU"/>
              </w:rPr>
              <w:footnoteReference w:id="3"/>
            </w:r>
            <w:r>
              <w:rPr>
                <w:b/>
                <w:bCs/>
                <w:color w:val="000000"/>
                <w:lang w:eastAsia="en-AU"/>
              </w:rPr>
              <w:t xml:space="preserve"> </w:t>
            </w:r>
          </w:p>
        </w:tc>
      </w:tr>
      <w:tr w:rsidR="00EF26EA" w14:paraId="2E33F4E4" w14:textId="77777777" w:rsidTr="00EF26EA">
        <w:tc>
          <w:tcPr>
            <w:tcW w:w="4459" w:type="pct"/>
            <w:vMerge/>
            <w:tcBorders>
              <w:bottom w:val="single" w:sz="4" w:space="0" w:color="auto"/>
            </w:tcBorders>
            <w:vAlign w:val="center"/>
          </w:tcPr>
          <w:p w14:paraId="331D4EAD" w14:textId="02E7339F" w:rsidR="00EF26EA" w:rsidRPr="00EF26EA" w:rsidRDefault="00EF26EA" w:rsidP="00EF26EA">
            <w:pPr>
              <w:pStyle w:val="TableText"/>
            </w:pPr>
          </w:p>
        </w:tc>
        <w:tc>
          <w:tcPr>
            <w:tcW w:w="541" w:type="pct"/>
            <w:tcBorders>
              <w:top w:val="single" w:sz="4" w:space="0" w:color="auto"/>
              <w:bottom w:val="single" w:sz="4" w:space="0" w:color="auto"/>
            </w:tcBorders>
            <w:shd w:val="clear" w:color="auto" w:fill="CBD6DF"/>
            <w:vAlign w:val="center"/>
          </w:tcPr>
          <w:p w14:paraId="06600F34" w14:textId="558D7050" w:rsidR="00EF26EA" w:rsidRPr="00EF26EA" w:rsidRDefault="00EF26EA" w:rsidP="00EF26EA">
            <w:pPr>
              <w:pStyle w:val="TableText"/>
              <w:jc w:val="right"/>
              <w:rPr>
                <w:b/>
                <w:bCs/>
              </w:rPr>
            </w:pPr>
            <w:r w:rsidRPr="00EF26EA">
              <w:rPr>
                <w:b/>
                <w:bCs/>
                <w:color w:val="000000"/>
                <w:shd w:val="clear" w:color="auto" w:fill="CBD6DF"/>
                <w:lang w:eastAsia="en-AU"/>
              </w:rPr>
              <w:t>7</w:t>
            </w:r>
            <w:r w:rsidRPr="00EF26EA">
              <w:rPr>
                <w:b/>
                <w:bCs/>
                <w:color w:val="000000"/>
                <w:lang w:eastAsia="en-AU"/>
              </w:rPr>
              <w:t> </w:t>
            </w:r>
          </w:p>
        </w:tc>
      </w:tr>
      <w:tr w:rsidR="00EF26EA" w14:paraId="326042CD" w14:textId="77777777" w:rsidTr="00EF26EA">
        <w:tc>
          <w:tcPr>
            <w:tcW w:w="4459" w:type="pct"/>
            <w:vMerge w:val="restart"/>
            <w:tcBorders>
              <w:top w:val="single" w:sz="4" w:space="0" w:color="auto"/>
            </w:tcBorders>
            <w:vAlign w:val="center"/>
          </w:tcPr>
          <w:p w14:paraId="7F5FDBE0" w14:textId="77777777" w:rsidR="00EF26EA" w:rsidRPr="00CC3C81" w:rsidRDefault="00EF26EA" w:rsidP="00EF26EA">
            <w:pPr>
              <w:pStyle w:val="TableText"/>
              <w:rPr>
                <w:iCs/>
                <w:color w:val="000000"/>
                <w:lang w:eastAsia="en-AU"/>
              </w:rPr>
            </w:pPr>
            <w:r w:rsidRPr="00CC3C81">
              <w:rPr>
                <w:b/>
                <w:bCs/>
                <w:color w:val="000000"/>
                <w:lang w:eastAsia="en-AU"/>
              </w:rPr>
              <w:t xml:space="preserve">B </w:t>
            </w:r>
            <w:r>
              <w:rPr>
                <w:b/>
                <w:bCs/>
                <w:color w:val="000000"/>
                <w:lang w:eastAsia="en-AU"/>
              </w:rPr>
              <w:t>–</w:t>
            </w:r>
            <w:r w:rsidRPr="00CC3C81">
              <w:rPr>
                <w:b/>
                <w:bCs/>
                <w:color w:val="000000"/>
                <w:lang w:eastAsia="en-AU"/>
              </w:rPr>
              <w:t xml:space="preserve"> </w:t>
            </w:r>
            <w:r>
              <w:rPr>
                <w:b/>
                <w:bCs/>
                <w:color w:val="000000"/>
                <w:lang w:eastAsia="en-AU"/>
              </w:rPr>
              <w:t>Significant a</w:t>
            </w:r>
            <w:r w:rsidRPr="00CC3C81">
              <w:rPr>
                <w:b/>
                <w:bCs/>
                <w:color w:val="000000"/>
                <w:lang w:eastAsia="en-AU"/>
              </w:rPr>
              <w:t>nimal death or serious injury</w:t>
            </w:r>
          </w:p>
          <w:p w14:paraId="3DD1D8D3" w14:textId="1B831557" w:rsidR="00EF26EA" w:rsidRPr="00CC3C81" w:rsidRDefault="00EF26EA" w:rsidP="00EF26EA">
            <w:pPr>
              <w:pStyle w:val="TableText"/>
              <w:rPr>
                <w:iCs/>
                <w:color w:val="000000"/>
                <w:lang w:eastAsia="en-AU"/>
              </w:rPr>
            </w:pPr>
            <w:r w:rsidRPr="00CC3C81">
              <w:rPr>
                <w:iCs/>
                <w:color w:val="000000"/>
                <w:lang w:eastAsia="en-AU"/>
              </w:rPr>
              <w:t>Unregistered product; mode of action; lack of appropriate warnings or signal headings; chemical of security concern, ASTAG/AGISAR rating; incorrect registered or label particulars.</w:t>
            </w:r>
          </w:p>
        </w:tc>
        <w:tc>
          <w:tcPr>
            <w:tcW w:w="541" w:type="pct"/>
            <w:tcBorders>
              <w:top w:val="single" w:sz="4" w:space="0" w:color="auto"/>
              <w:bottom w:val="single" w:sz="4" w:space="0" w:color="auto"/>
            </w:tcBorders>
            <w:vAlign w:val="center"/>
          </w:tcPr>
          <w:p w14:paraId="3677F0DE" w14:textId="2E1A857B" w:rsidR="00EF26EA" w:rsidRPr="00EF26EA" w:rsidRDefault="00EF26EA" w:rsidP="00EF26EA">
            <w:pPr>
              <w:pStyle w:val="TableText"/>
              <w:jc w:val="right"/>
              <w:rPr>
                <w:b/>
                <w:bCs/>
              </w:rPr>
            </w:pPr>
            <w:r w:rsidRPr="00EF26EA">
              <w:rPr>
                <w:b/>
                <w:bCs/>
                <w:color w:val="000000"/>
                <w:lang w:eastAsia="en-AU"/>
              </w:rPr>
              <w:t> </w:t>
            </w:r>
          </w:p>
        </w:tc>
      </w:tr>
      <w:tr w:rsidR="00EF26EA" w14:paraId="394C2A5C" w14:textId="77777777" w:rsidTr="00EF26EA">
        <w:tc>
          <w:tcPr>
            <w:tcW w:w="4459" w:type="pct"/>
            <w:vMerge/>
            <w:tcBorders>
              <w:bottom w:val="single" w:sz="4" w:space="0" w:color="auto"/>
            </w:tcBorders>
            <w:vAlign w:val="center"/>
          </w:tcPr>
          <w:p w14:paraId="3CA57030" w14:textId="701C0E5C" w:rsidR="00EF26EA" w:rsidRPr="00CC3C81" w:rsidRDefault="00EF26EA" w:rsidP="00EF26EA">
            <w:pPr>
              <w:pStyle w:val="TableText"/>
              <w:rPr>
                <w:b/>
                <w:bCs/>
                <w:color w:val="000000"/>
                <w:lang w:eastAsia="en-AU"/>
              </w:rPr>
            </w:pPr>
          </w:p>
        </w:tc>
        <w:tc>
          <w:tcPr>
            <w:tcW w:w="541" w:type="pct"/>
            <w:tcBorders>
              <w:top w:val="single" w:sz="4" w:space="0" w:color="auto"/>
              <w:bottom w:val="single" w:sz="4" w:space="0" w:color="auto"/>
            </w:tcBorders>
            <w:shd w:val="clear" w:color="auto" w:fill="CBD6DF"/>
            <w:vAlign w:val="center"/>
          </w:tcPr>
          <w:p w14:paraId="31CDA553" w14:textId="4A7F800C" w:rsidR="00EF26EA" w:rsidRPr="00EF26EA" w:rsidRDefault="00EF26EA" w:rsidP="00EF26EA">
            <w:pPr>
              <w:pStyle w:val="TableText"/>
              <w:jc w:val="right"/>
              <w:rPr>
                <w:b/>
                <w:bCs/>
              </w:rPr>
            </w:pPr>
            <w:r w:rsidRPr="00EF26EA">
              <w:rPr>
                <w:b/>
                <w:bCs/>
                <w:color w:val="000000"/>
                <w:lang w:eastAsia="en-AU"/>
              </w:rPr>
              <w:t>4</w:t>
            </w:r>
          </w:p>
        </w:tc>
      </w:tr>
      <w:tr w:rsidR="00EF26EA" w14:paraId="62B75C8B" w14:textId="77777777" w:rsidTr="00EF26EA">
        <w:tc>
          <w:tcPr>
            <w:tcW w:w="4459" w:type="pct"/>
            <w:vMerge w:val="restart"/>
            <w:tcBorders>
              <w:top w:val="single" w:sz="4" w:space="0" w:color="auto"/>
            </w:tcBorders>
            <w:vAlign w:val="center"/>
          </w:tcPr>
          <w:p w14:paraId="231428D4" w14:textId="77777777" w:rsidR="00EF26EA" w:rsidRPr="00CC3C81" w:rsidRDefault="00EF26EA" w:rsidP="00EF26EA">
            <w:pPr>
              <w:pStyle w:val="TableText"/>
              <w:rPr>
                <w:iCs/>
                <w:color w:val="000000"/>
                <w:lang w:eastAsia="en-AU"/>
              </w:rPr>
            </w:pPr>
            <w:r w:rsidRPr="00CC3C81">
              <w:rPr>
                <w:b/>
                <w:bCs/>
                <w:color w:val="000000"/>
                <w:lang w:eastAsia="en-AU"/>
              </w:rPr>
              <w:t xml:space="preserve">C </w:t>
            </w:r>
            <w:r>
              <w:rPr>
                <w:b/>
                <w:bCs/>
                <w:color w:val="000000"/>
                <w:lang w:eastAsia="en-AU"/>
              </w:rPr>
              <w:t>–</w:t>
            </w:r>
            <w:r w:rsidRPr="00CC3C81">
              <w:rPr>
                <w:b/>
                <w:bCs/>
                <w:color w:val="000000"/>
                <w:lang w:eastAsia="en-AU"/>
              </w:rPr>
              <w:t xml:space="preserve"> </w:t>
            </w:r>
            <w:r>
              <w:rPr>
                <w:b/>
                <w:bCs/>
                <w:color w:val="000000"/>
                <w:lang w:eastAsia="en-AU"/>
              </w:rPr>
              <w:t>H</w:t>
            </w:r>
            <w:r w:rsidRPr="00CC3C81">
              <w:rPr>
                <w:b/>
                <w:bCs/>
                <w:color w:val="000000"/>
                <w:lang w:eastAsia="en-AU"/>
              </w:rPr>
              <w:t>arm to crops</w:t>
            </w:r>
          </w:p>
          <w:p w14:paraId="0291E64D" w14:textId="576F134C" w:rsidR="00EF26EA" w:rsidRPr="00CC3C81" w:rsidRDefault="00EF26EA" w:rsidP="00EF26EA">
            <w:pPr>
              <w:pStyle w:val="TableText"/>
              <w:rPr>
                <w:iCs/>
                <w:color w:val="000000"/>
                <w:lang w:eastAsia="en-AU"/>
              </w:rPr>
            </w:pPr>
            <w:r w:rsidRPr="00CC3C81">
              <w:rPr>
                <w:iCs/>
                <w:color w:val="000000"/>
                <w:lang w:eastAsia="en-AU"/>
              </w:rPr>
              <w:t>Mode of action; timing of use; method of application; nature of product; ineffective product.</w:t>
            </w:r>
          </w:p>
        </w:tc>
        <w:tc>
          <w:tcPr>
            <w:tcW w:w="541" w:type="pct"/>
            <w:tcBorders>
              <w:top w:val="single" w:sz="4" w:space="0" w:color="auto"/>
              <w:bottom w:val="single" w:sz="4" w:space="0" w:color="auto"/>
            </w:tcBorders>
            <w:vAlign w:val="center"/>
          </w:tcPr>
          <w:p w14:paraId="323CD4AA" w14:textId="3BD16243" w:rsidR="00EF26EA" w:rsidRPr="00EF26EA" w:rsidRDefault="00EF26EA" w:rsidP="00EF26EA">
            <w:pPr>
              <w:pStyle w:val="TableText"/>
              <w:jc w:val="right"/>
              <w:rPr>
                <w:b/>
                <w:bCs/>
              </w:rPr>
            </w:pPr>
            <w:r w:rsidRPr="00EF26EA">
              <w:rPr>
                <w:b/>
                <w:bCs/>
                <w:color w:val="000000"/>
                <w:lang w:eastAsia="en-AU"/>
              </w:rPr>
              <w:t> </w:t>
            </w:r>
          </w:p>
        </w:tc>
      </w:tr>
      <w:tr w:rsidR="00EF26EA" w14:paraId="3A025265" w14:textId="77777777" w:rsidTr="00EF26EA">
        <w:tc>
          <w:tcPr>
            <w:tcW w:w="4459" w:type="pct"/>
            <w:vMerge/>
            <w:tcBorders>
              <w:bottom w:val="single" w:sz="4" w:space="0" w:color="auto"/>
            </w:tcBorders>
            <w:vAlign w:val="center"/>
          </w:tcPr>
          <w:p w14:paraId="65ACCFB3" w14:textId="10A4F33D" w:rsidR="00EF26EA" w:rsidRPr="00CC3C81" w:rsidRDefault="00EF26EA" w:rsidP="00EF26EA">
            <w:pPr>
              <w:pStyle w:val="TableText"/>
              <w:rPr>
                <w:b/>
                <w:bCs/>
                <w:color w:val="000000"/>
                <w:lang w:eastAsia="en-AU"/>
              </w:rPr>
            </w:pPr>
          </w:p>
        </w:tc>
        <w:tc>
          <w:tcPr>
            <w:tcW w:w="541" w:type="pct"/>
            <w:tcBorders>
              <w:top w:val="single" w:sz="4" w:space="0" w:color="auto"/>
              <w:bottom w:val="single" w:sz="4" w:space="0" w:color="auto"/>
            </w:tcBorders>
            <w:shd w:val="clear" w:color="auto" w:fill="CBD6DF"/>
            <w:vAlign w:val="center"/>
          </w:tcPr>
          <w:p w14:paraId="31A8F66C" w14:textId="6AB36646" w:rsidR="00EF26EA" w:rsidRPr="00EF26EA" w:rsidRDefault="00EF26EA" w:rsidP="00EF26EA">
            <w:pPr>
              <w:pStyle w:val="TableText"/>
              <w:jc w:val="right"/>
              <w:rPr>
                <w:b/>
                <w:bCs/>
                <w:color w:val="000000"/>
                <w:lang w:eastAsia="en-AU"/>
              </w:rPr>
            </w:pPr>
            <w:r w:rsidRPr="00EF26EA">
              <w:rPr>
                <w:b/>
                <w:bCs/>
                <w:color w:val="000000"/>
                <w:lang w:eastAsia="en-AU"/>
              </w:rPr>
              <w:t>3 </w:t>
            </w:r>
          </w:p>
        </w:tc>
      </w:tr>
      <w:tr w:rsidR="00EF26EA" w14:paraId="484E5E79" w14:textId="77777777" w:rsidTr="00EF26EA">
        <w:tc>
          <w:tcPr>
            <w:tcW w:w="4459" w:type="pct"/>
            <w:vMerge w:val="restart"/>
            <w:tcBorders>
              <w:top w:val="single" w:sz="4" w:space="0" w:color="auto"/>
            </w:tcBorders>
            <w:vAlign w:val="center"/>
          </w:tcPr>
          <w:p w14:paraId="6427B2EB" w14:textId="7569130A" w:rsidR="00EF26EA" w:rsidRPr="00CC3C81" w:rsidRDefault="00EF26EA" w:rsidP="00EF26EA">
            <w:pPr>
              <w:pStyle w:val="TableText"/>
              <w:rPr>
                <w:iCs/>
                <w:color w:val="000000"/>
                <w:lang w:eastAsia="en-AU"/>
              </w:rPr>
            </w:pPr>
            <w:r w:rsidRPr="00CC3C81">
              <w:rPr>
                <w:b/>
                <w:bCs/>
                <w:color w:val="000000"/>
                <w:lang w:eastAsia="en-AU"/>
              </w:rPr>
              <w:t xml:space="preserve">D </w:t>
            </w:r>
            <w:r>
              <w:rPr>
                <w:b/>
                <w:bCs/>
                <w:color w:val="000000"/>
                <w:lang w:eastAsia="en-AU"/>
              </w:rPr>
              <w:t>–</w:t>
            </w:r>
            <w:r w:rsidRPr="00CC3C81">
              <w:rPr>
                <w:b/>
                <w:bCs/>
                <w:color w:val="000000"/>
                <w:lang w:eastAsia="en-AU"/>
              </w:rPr>
              <w:t xml:space="preserve"> </w:t>
            </w:r>
            <w:r>
              <w:rPr>
                <w:b/>
                <w:bCs/>
                <w:color w:val="000000"/>
                <w:lang w:eastAsia="en-AU"/>
              </w:rPr>
              <w:t>H</w:t>
            </w:r>
            <w:r w:rsidRPr="00CC3C81">
              <w:rPr>
                <w:b/>
                <w:bCs/>
                <w:color w:val="000000"/>
                <w:lang w:eastAsia="en-AU"/>
              </w:rPr>
              <w:t>arm to trade</w:t>
            </w:r>
          </w:p>
          <w:p w14:paraId="023AE85F" w14:textId="6207DD87" w:rsidR="00EF26EA" w:rsidRPr="00CC3C81" w:rsidRDefault="00EF26EA" w:rsidP="00EF26EA">
            <w:pPr>
              <w:pStyle w:val="TableText"/>
              <w:rPr>
                <w:iCs/>
                <w:color w:val="000000"/>
                <w:lang w:eastAsia="en-AU"/>
              </w:rPr>
            </w:pPr>
            <w:r w:rsidRPr="00CC3C81">
              <w:rPr>
                <w:iCs/>
                <w:color w:val="000000"/>
                <w:lang w:eastAsia="en-AU"/>
              </w:rPr>
              <w:t>Issues relating to residue levels; domestic manufacture and formulation; product quality and price; chemical of security concern, ASTAG/AGISAR rating.</w:t>
            </w:r>
          </w:p>
        </w:tc>
        <w:tc>
          <w:tcPr>
            <w:tcW w:w="541" w:type="pct"/>
            <w:tcBorders>
              <w:top w:val="single" w:sz="4" w:space="0" w:color="auto"/>
              <w:bottom w:val="single" w:sz="4" w:space="0" w:color="auto"/>
            </w:tcBorders>
            <w:vAlign w:val="center"/>
          </w:tcPr>
          <w:p w14:paraId="28F1336B" w14:textId="417EA1DF" w:rsidR="00EF26EA" w:rsidRPr="00EF26EA" w:rsidRDefault="00EF26EA" w:rsidP="00EF26EA">
            <w:pPr>
              <w:pStyle w:val="TableText"/>
              <w:jc w:val="right"/>
              <w:rPr>
                <w:b/>
                <w:bCs/>
                <w:color w:val="000000"/>
                <w:lang w:eastAsia="en-AU"/>
              </w:rPr>
            </w:pPr>
            <w:r w:rsidRPr="00EF26EA">
              <w:rPr>
                <w:b/>
                <w:bCs/>
                <w:color w:val="000000"/>
                <w:lang w:eastAsia="en-AU"/>
              </w:rPr>
              <w:t> </w:t>
            </w:r>
          </w:p>
        </w:tc>
      </w:tr>
      <w:tr w:rsidR="00EF26EA" w14:paraId="01937935" w14:textId="77777777" w:rsidTr="00EF26EA">
        <w:tc>
          <w:tcPr>
            <w:tcW w:w="4459" w:type="pct"/>
            <w:vMerge/>
            <w:tcBorders>
              <w:bottom w:val="single" w:sz="4" w:space="0" w:color="auto"/>
            </w:tcBorders>
            <w:vAlign w:val="center"/>
          </w:tcPr>
          <w:p w14:paraId="7BF85919" w14:textId="4C90A571" w:rsidR="00EF26EA" w:rsidRPr="00CC3C81" w:rsidRDefault="00EF26EA" w:rsidP="00EF26EA">
            <w:pPr>
              <w:pStyle w:val="TableText"/>
              <w:rPr>
                <w:b/>
                <w:bCs/>
                <w:color w:val="000000"/>
                <w:lang w:eastAsia="en-AU"/>
              </w:rPr>
            </w:pPr>
          </w:p>
        </w:tc>
        <w:tc>
          <w:tcPr>
            <w:tcW w:w="541" w:type="pct"/>
            <w:tcBorders>
              <w:top w:val="single" w:sz="4" w:space="0" w:color="auto"/>
              <w:bottom w:val="single" w:sz="4" w:space="0" w:color="auto"/>
            </w:tcBorders>
            <w:shd w:val="clear" w:color="auto" w:fill="CBD6DF"/>
            <w:vAlign w:val="center"/>
          </w:tcPr>
          <w:p w14:paraId="017F0946" w14:textId="3214B1F8" w:rsidR="00EF26EA" w:rsidRPr="00EF26EA" w:rsidRDefault="00EF26EA" w:rsidP="00EF26EA">
            <w:pPr>
              <w:pStyle w:val="TableText"/>
              <w:jc w:val="right"/>
              <w:rPr>
                <w:b/>
                <w:bCs/>
                <w:color w:val="000000"/>
                <w:lang w:eastAsia="en-AU"/>
              </w:rPr>
            </w:pPr>
            <w:r w:rsidRPr="00EF26EA">
              <w:rPr>
                <w:b/>
                <w:bCs/>
                <w:color w:val="000000"/>
                <w:lang w:eastAsia="en-AU"/>
              </w:rPr>
              <w:t>3 </w:t>
            </w:r>
          </w:p>
        </w:tc>
      </w:tr>
      <w:tr w:rsidR="00EF26EA" w14:paraId="282F3C9D" w14:textId="77777777" w:rsidTr="00EF26EA">
        <w:tc>
          <w:tcPr>
            <w:tcW w:w="4459" w:type="pct"/>
            <w:vMerge w:val="restart"/>
            <w:tcBorders>
              <w:top w:val="single" w:sz="4" w:space="0" w:color="auto"/>
            </w:tcBorders>
            <w:vAlign w:val="center"/>
          </w:tcPr>
          <w:p w14:paraId="50D630CA" w14:textId="5B0C4A36" w:rsidR="00EF26EA" w:rsidRPr="00CC3C81" w:rsidRDefault="00EF26EA" w:rsidP="00EF26EA">
            <w:pPr>
              <w:pStyle w:val="TableText"/>
              <w:rPr>
                <w:iCs/>
                <w:color w:val="000000"/>
                <w:lang w:eastAsia="en-AU"/>
              </w:rPr>
            </w:pPr>
            <w:r w:rsidRPr="00CC3C81">
              <w:rPr>
                <w:b/>
                <w:bCs/>
                <w:color w:val="000000"/>
                <w:lang w:eastAsia="en-AU"/>
              </w:rPr>
              <w:t xml:space="preserve">E </w:t>
            </w:r>
            <w:r>
              <w:rPr>
                <w:b/>
                <w:bCs/>
                <w:color w:val="000000"/>
                <w:lang w:eastAsia="en-AU"/>
              </w:rPr>
              <w:t>–</w:t>
            </w:r>
            <w:r w:rsidRPr="00CC3C81">
              <w:rPr>
                <w:b/>
                <w:bCs/>
                <w:color w:val="000000"/>
                <w:lang w:eastAsia="en-AU"/>
              </w:rPr>
              <w:t xml:space="preserve"> </w:t>
            </w:r>
            <w:r>
              <w:rPr>
                <w:b/>
                <w:bCs/>
                <w:color w:val="000000"/>
                <w:lang w:eastAsia="en-AU"/>
              </w:rPr>
              <w:t>E</w:t>
            </w:r>
            <w:r w:rsidRPr="00CC3C81">
              <w:rPr>
                <w:b/>
                <w:bCs/>
                <w:color w:val="000000"/>
                <w:lang w:eastAsia="en-AU"/>
              </w:rPr>
              <w:t>nvironmental harm</w:t>
            </w:r>
          </w:p>
          <w:p w14:paraId="6E92F34B" w14:textId="441A9FC8" w:rsidR="00EF26EA" w:rsidRPr="00CC3C81" w:rsidRDefault="00EF26EA" w:rsidP="00EF26EA">
            <w:pPr>
              <w:pStyle w:val="TableText"/>
              <w:rPr>
                <w:iCs/>
                <w:color w:val="000000"/>
                <w:lang w:eastAsia="en-AU"/>
              </w:rPr>
            </w:pPr>
            <w:r w:rsidRPr="00CC3C81">
              <w:rPr>
                <w:iCs/>
                <w:color w:val="000000"/>
                <w:lang w:eastAsia="en-AU"/>
              </w:rPr>
              <w:t>Unregistered product; high toxicity; no warnings or contacts; handling or use hazard.</w:t>
            </w:r>
          </w:p>
        </w:tc>
        <w:tc>
          <w:tcPr>
            <w:tcW w:w="541" w:type="pct"/>
            <w:tcBorders>
              <w:top w:val="single" w:sz="4" w:space="0" w:color="auto"/>
              <w:bottom w:val="single" w:sz="4" w:space="0" w:color="auto"/>
            </w:tcBorders>
            <w:vAlign w:val="center"/>
          </w:tcPr>
          <w:p w14:paraId="168C874C" w14:textId="0C950239" w:rsidR="00EF26EA" w:rsidRPr="00EF26EA" w:rsidRDefault="00EF26EA" w:rsidP="00EF26EA">
            <w:pPr>
              <w:pStyle w:val="TableText"/>
              <w:jc w:val="right"/>
              <w:rPr>
                <w:b/>
                <w:bCs/>
                <w:color w:val="000000"/>
                <w:lang w:eastAsia="en-AU"/>
              </w:rPr>
            </w:pPr>
            <w:r w:rsidRPr="00EF26EA">
              <w:rPr>
                <w:b/>
                <w:bCs/>
                <w:color w:val="000000"/>
                <w:lang w:eastAsia="en-AU"/>
              </w:rPr>
              <w:t> </w:t>
            </w:r>
          </w:p>
        </w:tc>
      </w:tr>
      <w:tr w:rsidR="00EF26EA" w14:paraId="0DFFE1FE" w14:textId="77777777" w:rsidTr="00EF26EA">
        <w:tc>
          <w:tcPr>
            <w:tcW w:w="4459" w:type="pct"/>
            <w:vMerge/>
            <w:tcBorders>
              <w:bottom w:val="single" w:sz="4" w:space="0" w:color="auto"/>
            </w:tcBorders>
            <w:vAlign w:val="center"/>
          </w:tcPr>
          <w:p w14:paraId="0C633041" w14:textId="5263919E" w:rsidR="00EF26EA" w:rsidRPr="00CC3C81" w:rsidRDefault="00EF26EA" w:rsidP="00EF26EA">
            <w:pPr>
              <w:pStyle w:val="TableText"/>
              <w:rPr>
                <w:b/>
                <w:bCs/>
                <w:color w:val="000000"/>
                <w:lang w:eastAsia="en-AU"/>
              </w:rPr>
            </w:pPr>
          </w:p>
        </w:tc>
        <w:tc>
          <w:tcPr>
            <w:tcW w:w="541" w:type="pct"/>
            <w:tcBorders>
              <w:top w:val="single" w:sz="4" w:space="0" w:color="auto"/>
              <w:bottom w:val="single" w:sz="4" w:space="0" w:color="auto"/>
            </w:tcBorders>
            <w:shd w:val="clear" w:color="auto" w:fill="CBD6DF"/>
            <w:vAlign w:val="center"/>
          </w:tcPr>
          <w:p w14:paraId="543EF312" w14:textId="4B82E9DF" w:rsidR="00EF26EA" w:rsidRPr="00EF26EA" w:rsidRDefault="00EF26EA" w:rsidP="00EF26EA">
            <w:pPr>
              <w:pStyle w:val="TableText"/>
              <w:jc w:val="right"/>
              <w:rPr>
                <w:b/>
                <w:bCs/>
                <w:color w:val="000000"/>
                <w:lang w:eastAsia="en-AU"/>
              </w:rPr>
            </w:pPr>
            <w:r w:rsidRPr="00EF26EA">
              <w:rPr>
                <w:b/>
                <w:bCs/>
                <w:color w:val="000000"/>
                <w:lang w:eastAsia="en-AU"/>
              </w:rPr>
              <w:t>3 </w:t>
            </w:r>
          </w:p>
        </w:tc>
      </w:tr>
      <w:tr w:rsidR="00EF26EA" w14:paraId="43C0DAD6" w14:textId="77777777" w:rsidTr="00EF26EA">
        <w:tc>
          <w:tcPr>
            <w:tcW w:w="4459" w:type="pct"/>
            <w:vMerge w:val="restart"/>
            <w:tcBorders>
              <w:top w:val="single" w:sz="4" w:space="0" w:color="auto"/>
            </w:tcBorders>
            <w:vAlign w:val="center"/>
          </w:tcPr>
          <w:p w14:paraId="53E0BAA2" w14:textId="0187E2E5" w:rsidR="00EF26EA" w:rsidRPr="00CC3C81" w:rsidRDefault="00EF26EA" w:rsidP="00EF26EA">
            <w:pPr>
              <w:pStyle w:val="TableText"/>
              <w:rPr>
                <w:iCs/>
                <w:color w:val="000000"/>
                <w:lang w:eastAsia="en-AU"/>
              </w:rPr>
            </w:pPr>
            <w:r w:rsidRPr="00CC3C81">
              <w:rPr>
                <w:b/>
                <w:bCs/>
                <w:color w:val="000000"/>
                <w:lang w:eastAsia="en-AU"/>
              </w:rPr>
              <w:t xml:space="preserve">F </w:t>
            </w:r>
            <w:r>
              <w:rPr>
                <w:b/>
                <w:bCs/>
                <w:color w:val="000000"/>
                <w:lang w:eastAsia="en-AU"/>
              </w:rPr>
              <w:t>–</w:t>
            </w:r>
            <w:r w:rsidRPr="00CC3C81">
              <w:rPr>
                <w:b/>
                <w:bCs/>
                <w:color w:val="000000"/>
                <w:lang w:eastAsia="en-AU"/>
              </w:rPr>
              <w:t xml:space="preserve"> Regulatory</w:t>
            </w:r>
          </w:p>
          <w:p w14:paraId="3D5FF4D8" w14:textId="6F64B084" w:rsidR="00EF26EA" w:rsidRPr="00CC3C81" w:rsidRDefault="00EF26EA" w:rsidP="00EF26EA">
            <w:pPr>
              <w:pStyle w:val="TableText"/>
              <w:rPr>
                <w:iCs/>
                <w:color w:val="000000"/>
                <w:lang w:eastAsia="en-AU"/>
              </w:rPr>
            </w:pPr>
            <w:r w:rsidRPr="00CC3C81">
              <w:rPr>
                <w:iCs/>
                <w:color w:val="000000"/>
                <w:lang w:eastAsia="en-AU"/>
              </w:rPr>
              <w:t xml:space="preserve">Activity undermines regulatory system; fraud, false and misleading; high public interest; </w:t>
            </w:r>
            <w:r>
              <w:rPr>
                <w:iCs/>
                <w:color w:val="000000"/>
                <w:lang w:eastAsia="en-AU"/>
              </w:rPr>
              <w:t>=</w:t>
            </w:r>
            <w:r w:rsidRPr="00CC3C81">
              <w:rPr>
                <w:iCs/>
                <w:color w:val="000000"/>
                <w:lang w:eastAsia="en-AU"/>
              </w:rPr>
              <w:t>; chemical of security concern, ASTAG/AGISAR rating</w:t>
            </w:r>
            <w:r>
              <w:rPr>
                <w:iCs/>
                <w:color w:val="000000"/>
                <w:lang w:eastAsia="en-AU"/>
              </w:rPr>
              <w:t>; other issue with safety, efficacy, trade, or labelling criteria</w:t>
            </w:r>
            <w:r w:rsidRPr="00CC3C81">
              <w:rPr>
                <w:iCs/>
                <w:color w:val="000000"/>
                <w:lang w:eastAsia="en-AU"/>
              </w:rPr>
              <w:t>.</w:t>
            </w:r>
          </w:p>
        </w:tc>
        <w:tc>
          <w:tcPr>
            <w:tcW w:w="541" w:type="pct"/>
            <w:tcBorders>
              <w:top w:val="single" w:sz="4" w:space="0" w:color="auto"/>
              <w:bottom w:val="single" w:sz="4" w:space="0" w:color="auto"/>
            </w:tcBorders>
            <w:vAlign w:val="center"/>
          </w:tcPr>
          <w:p w14:paraId="2540D890" w14:textId="206C1BA9" w:rsidR="00EF26EA" w:rsidRPr="00EF26EA" w:rsidRDefault="00EF26EA" w:rsidP="00EF26EA">
            <w:pPr>
              <w:pStyle w:val="TableText"/>
              <w:jc w:val="right"/>
              <w:rPr>
                <w:b/>
                <w:bCs/>
                <w:color w:val="000000"/>
                <w:lang w:eastAsia="en-AU"/>
              </w:rPr>
            </w:pPr>
            <w:r w:rsidRPr="00EF26EA">
              <w:rPr>
                <w:b/>
                <w:bCs/>
                <w:color w:val="000000"/>
                <w:lang w:eastAsia="en-AU"/>
              </w:rPr>
              <w:t> </w:t>
            </w:r>
          </w:p>
        </w:tc>
      </w:tr>
      <w:tr w:rsidR="00EF26EA" w14:paraId="7C0A1837" w14:textId="77777777" w:rsidTr="00EF26EA">
        <w:tc>
          <w:tcPr>
            <w:tcW w:w="4459" w:type="pct"/>
            <w:vMerge/>
            <w:tcBorders>
              <w:bottom w:val="single" w:sz="4" w:space="0" w:color="auto"/>
            </w:tcBorders>
            <w:vAlign w:val="center"/>
          </w:tcPr>
          <w:p w14:paraId="6126343C" w14:textId="2C5BABF6" w:rsidR="00EF26EA" w:rsidRPr="00CC3C81" w:rsidRDefault="00EF26EA" w:rsidP="00EF26EA">
            <w:pPr>
              <w:pStyle w:val="TableText"/>
              <w:rPr>
                <w:b/>
                <w:bCs/>
                <w:color w:val="000000"/>
                <w:lang w:eastAsia="en-AU"/>
              </w:rPr>
            </w:pPr>
          </w:p>
        </w:tc>
        <w:tc>
          <w:tcPr>
            <w:tcW w:w="541" w:type="pct"/>
            <w:tcBorders>
              <w:top w:val="single" w:sz="4" w:space="0" w:color="auto"/>
              <w:bottom w:val="single" w:sz="4" w:space="0" w:color="auto"/>
            </w:tcBorders>
            <w:shd w:val="clear" w:color="auto" w:fill="CBD6DF"/>
            <w:vAlign w:val="center"/>
          </w:tcPr>
          <w:p w14:paraId="11AEDABC" w14:textId="6E6DF5F0" w:rsidR="00EF26EA" w:rsidRPr="00EF26EA" w:rsidRDefault="00EF26EA" w:rsidP="00EF26EA">
            <w:pPr>
              <w:pStyle w:val="TableText"/>
              <w:jc w:val="right"/>
              <w:rPr>
                <w:b/>
                <w:bCs/>
                <w:color w:val="000000"/>
                <w:lang w:eastAsia="en-AU"/>
              </w:rPr>
            </w:pPr>
            <w:r w:rsidRPr="00EF26EA">
              <w:rPr>
                <w:b/>
                <w:bCs/>
                <w:color w:val="000000"/>
                <w:lang w:eastAsia="en-AU"/>
              </w:rPr>
              <w:t>2 </w:t>
            </w:r>
          </w:p>
        </w:tc>
      </w:tr>
      <w:tr w:rsidR="00EF26EA" w14:paraId="541631DD" w14:textId="77777777" w:rsidTr="00EF26EA">
        <w:tc>
          <w:tcPr>
            <w:tcW w:w="4459" w:type="pct"/>
            <w:vMerge w:val="restart"/>
            <w:tcBorders>
              <w:top w:val="single" w:sz="4" w:space="0" w:color="auto"/>
            </w:tcBorders>
            <w:vAlign w:val="center"/>
          </w:tcPr>
          <w:p w14:paraId="3A3C35C2" w14:textId="55182689" w:rsidR="00EF26EA" w:rsidRPr="00CC3C81" w:rsidRDefault="00EF26EA" w:rsidP="00EF26EA">
            <w:pPr>
              <w:pStyle w:val="TableText"/>
              <w:rPr>
                <w:iCs/>
                <w:color w:val="000000"/>
                <w:lang w:eastAsia="en-AU"/>
              </w:rPr>
            </w:pPr>
            <w:r w:rsidRPr="00CC3C81">
              <w:rPr>
                <w:b/>
                <w:bCs/>
                <w:color w:val="000000"/>
                <w:lang w:eastAsia="en-AU"/>
              </w:rPr>
              <w:t xml:space="preserve">G </w:t>
            </w:r>
            <w:r>
              <w:rPr>
                <w:b/>
                <w:bCs/>
                <w:color w:val="000000"/>
                <w:lang w:eastAsia="en-AU"/>
              </w:rPr>
              <w:t>–</w:t>
            </w:r>
            <w:r w:rsidRPr="00CC3C81">
              <w:rPr>
                <w:b/>
                <w:bCs/>
                <w:color w:val="000000"/>
                <w:lang w:eastAsia="en-AU"/>
              </w:rPr>
              <w:t xml:space="preserve"> Marketplace advantage</w:t>
            </w:r>
          </w:p>
          <w:p w14:paraId="577BD514" w14:textId="32E7303D" w:rsidR="00EF26EA" w:rsidRPr="00CC3C81" w:rsidRDefault="00EF26EA" w:rsidP="00EF26EA">
            <w:pPr>
              <w:pStyle w:val="TableText"/>
              <w:rPr>
                <w:iCs/>
                <w:color w:val="000000"/>
                <w:lang w:eastAsia="en-AU"/>
              </w:rPr>
            </w:pPr>
            <w:r w:rsidRPr="00CC3C81">
              <w:rPr>
                <w:iCs/>
                <w:color w:val="000000"/>
                <w:lang w:eastAsia="en-AU"/>
              </w:rPr>
              <w:t>Incomplete participation or avoidance of regulatory scheme.</w:t>
            </w:r>
          </w:p>
        </w:tc>
        <w:tc>
          <w:tcPr>
            <w:tcW w:w="541" w:type="pct"/>
            <w:tcBorders>
              <w:top w:val="single" w:sz="4" w:space="0" w:color="auto"/>
              <w:bottom w:val="single" w:sz="4" w:space="0" w:color="auto"/>
            </w:tcBorders>
            <w:vAlign w:val="center"/>
          </w:tcPr>
          <w:p w14:paraId="44AA4B43" w14:textId="6B112551" w:rsidR="00EF26EA" w:rsidRPr="00EF26EA" w:rsidRDefault="00EF26EA" w:rsidP="00EF26EA">
            <w:pPr>
              <w:pStyle w:val="TableText"/>
              <w:jc w:val="right"/>
              <w:rPr>
                <w:b/>
                <w:bCs/>
                <w:color w:val="000000"/>
                <w:lang w:eastAsia="en-AU"/>
              </w:rPr>
            </w:pPr>
            <w:r w:rsidRPr="00EF26EA">
              <w:rPr>
                <w:b/>
                <w:bCs/>
                <w:color w:val="000000"/>
                <w:lang w:eastAsia="en-AU"/>
              </w:rPr>
              <w:t> </w:t>
            </w:r>
          </w:p>
        </w:tc>
      </w:tr>
      <w:tr w:rsidR="00EF26EA" w14:paraId="083D7EA1" w14:textId="77777777" w:rsidTr="00EF26EA">
        <w:tc>
          <w:tcPr>
            <w:tcW w:w="4459" w:type="pct"/>
            <w:vMerge/>
            <w:tcBorders>
              <w:bottom w:val="single" w:sz="4" w:space="0" w:color="auto"/>
            </w:tcBorders>
            <w:vAlign w:val="center"/>
          </w:tcPr>
          <w:p w14:paraId="6B85F224" w14:textId="09772111" w:rsidR="00EF26EA" w:rsidRPr="00CC3C81" w:rsidRDefault="00EF26EA" w:rsidP="00EF26EA">
            <w:pPr>
              <w:pStyle w:val="TableText"/>
              <w:rPr>
                <w:b/>
                <w:bCs/>
                <w:color w:val="000000"/>
                <w:lang w:eastAsia="en-AU"/>
              </w:rPr>
            </w:pPr>
          </w:p>
        </w:tc>
        <w:tc>
          <w:tcPr>
            <w:tcW w:w="541" w:type="pct"/>
            <w:tcBorders>
              <w:top w:val="single" w:sz="4" w:space="0" w:color="auto"/>
              <w:bottom w:val="single" w:sz="4" w:space="0" w:color="auto"/>
            </w:tcBorders>
            <w:shd w:val="clear" w:color="auto" w:fill="CBD6DF"/>
            <w:vAlign w:val="center"/>
          </w:tcPr>
          <w:p w14:paraId="0CA74638" w14:textId="0BD1777C" w:rsidR="00EF26EA" w:rsidRPr="00EF26EA" w:rsidRDefault="00EF26EA" w:rsidP="00EF26EA">
            <w:pPr>
              <w:pStyle w:val="TableText"/>
              <w:jc w:val="right"/>
              <w:rPr>
                <w:b/>
                <w:bCs/>
                <w:color w:val="000000"/>
                <w:lang w:eastAsia="en-AU"/>
              </w:rPr>
            </w:pPr>
            <w:r w:rsidRPr="00EF26EA">
              <w:rPr>
                <w:b/>
                <w:bCs/>
                <w:color w:val="000000"/>
                <w:lang w:eastAsia="en-AU"/>
              </w:rPr>
              <w:t> 1</w:t>
            </w:r>
          </w:p>
        </w:tc>
      </w:tr>
      <w:tr w:rsidR="00EF26EA" w14:paraId="48FD4D96" w14:textId="77777777" w:rsidTr="00EF26EA">
        <w:tc>
          <w:tcPr>
            <w:tcW w:w="5000" w:type="pct"/>
            <w:gridSpan w:val="2"/>
            <w:tcBorders>
              <w:top w:val="single" w:sz="4" w:space="0" w:color="auto"/>
              <w:bottom w:val="single" w:sz="4" w:space="0" w:color="auto"/>
            </w:tcBorders>
            <w:shd w:val="clear" w:color="auto" w:fill="5C2946"/>
            <w:vAlign w:val="center"/>
          </w:tcPr>
          <w:p w14:paraId="2049C452" w14:textId="7F4FAC41" w:rsidR="00EF26EA" w:rsidRPr="00EF26EA" w:rsidRDefault="00EF26EA" w:rsidP="00EF26EA">
            <w:pPr>
              <w:pStyle w:val="TableHead"/>
              <w:rPr>
                <w:lang w:eastAsia="en-AU"/>
              </w:rPr>
            </w:pPr>
            <w:r w:rsidRPr="00EF26EA">
              <w:rPr>
                <w:lang w:eastAsia="en-AU"/>
              </w:rPr>
              <w:t xml:space="preserve">H – Subtotal 1.1 </w:t>
            </w:r>
          </w:p>
        </w:tc>
      </w:tr>
      <w:tr w:rsidR="00EF26EA" w:rsidRPr="00EF26EA" w14:paraId="1236A9F5" w14:textId="77777777" w:rsidTr="00EF26EA">
        <w:tc>
          <w:tcPr>
            <w:tcW w:w="5000" w:type="pct"/>
            <w:gridSpan w:val="2"/>
            <w:tcBorders>
              <w:top w:val="single" w:sz="4" w:space="0" w:color="auto"/>
              <w:bottom w:val="single" w:sz="4" w:space="0" w:color="auto"/>
            </w:tcBorders>
            <w:shd w:val="clear" w:color="auto" w:fill="79143F"/>
            <w:vAlign w:val="center"/>
          </w:tcPr>
          <w:p w14:paraId="569AF85B" w14:textId="3E854282" w:rsidR="00EF26EA" w:rsidRPr="00EF26EA" w:rsidRDefault="00EF26EA" w:rsidP="00EF26EA">
            <w:pPr>
              <w:pStyle w:val="TableHead"/>
              <w:rPr>
                <w:lang w:eastAsia="en-AU"/>
              </w:rPr>
            </w:pPr>
            <w:r w:rsidRPr="00EF26EA">
              <w:rPr>
                <w:lang w:eastAsia="en-AU"/>
              </w:rPr>
              <w:t>1.2 Likelihood of harm occurring</w:t>
            </w:r>
          </w:p>
        </w:tc>
      </w:tr>
      <w:tr w:rsidR="00EF26EA" w14:paraId="61D026A4" w14:textId="77777777" w:rsidTr="00EF26EA">
        <w:tc>
          <w:tcPr>
            <w:tcW w:w="4459" w:type="pct"/>
            <w:vMerge w:val="restart"/>
            <w:tcBorders>
              <w:top w:val="single" w:sz="4" w:space="0" w:color="auto"/>
            </w:tcBorders>
            <w:vAlign w:val="bottom"/>
          </w:tcPr>
          <w:p w14:paraId="188ACCCA" w14:textId="0251F33C" w:rsidR="00EF26EA" w:rsidRPr="00CC3C81" w:rsidRDefault="00EF26EA" w:rsidP="00EF26EA">
            <w:pPr>
              <w:pStyle w:val="TableText"/>
              <w:rPr>
                <w:b/>
                <w:bCs/>
                <w:color w:val="000000"/>
                <w:lang w:eastAsia="en-AU"/>
              </w:rPr>
            </w:pPr>
            <w:r w:rsidRPr="00CC3C81">
              <w:rPr>
                <w:b/>
                <w:bCs/>
                <w:color w:val="000000"/>
                <w:lang w:eastAsia="en-AU"/>
              </w:rPr>
              <w:t xml:space="preserve">I </w:t>
            </w:r>
            <w:r>
              <w:rPr>
                <w:b/>
                <w:bCs/>
                <w:color w:val="000000"/>
                <w:lang w:eastAsia="en-AU"/>
              </w:rPr>
              <w:t>–</w:t>
            </w:r>
            <w:r w:rsidRPr="00CC3C81">
              <w:rPr>
                <w:b/>
                <w:bCs/>
                <w:color w:val="000000"/>
                <w:lang w:eastAsia="en-AU"/>
              </w:rPr>
              <w:t xml:space="preserve"> High likelihood</w:t>
            </w:r>
          </w:p>
          <w:p w14:paraId="75E7DD11" w14:textId="1FDF0E44" w:rsidR="00EF26EA" w:rsidRPr="00CC3C81" w:rsidRDefault="00EF26EA" w:rsidP="00EF26EA">
            <w:pPr>
              <w:pStyle w:val="TableText"/>
              <w:rPr>
                <w:b/>
                <w:bCs/>
                <w:color w:val="000000"/>
                <w:lang w:eastAsia="en-AU"/>
              </w:rPr>
            </w:pPr>
            <w:r w:rsidRPr="00CC3C81">
              <w:rPr>
                <w:iCs/>
                <w:color w:val="000000"/>
                <w:lang w:eastAsia="en-AU"/>
              </w:rPr>
              <w:t>High volume; company, wide market exposure; major suppliers; high toxicity; vulnerable or inexperienced users; claims made; insecure/unlabelled packaging; price incentives; possible organised nature.</w:t>
            </w:r>
          </w:p>
        </w:tc>
        <w:tc>
          <w:tcPr>
            <w:tcW w:w="541" w:type="pct"/>
            <w:tcBorders>
              <w:top w:val="single" w:sz="4" w:space="0" w:color="auto"/>
              <w:bottom w:val="single" w:sz="4" w:space="0" w:color="auto"/>
            </w:tcBorders>
            <w:vAlign w:val="center"/>
          </w:tcPr>
          <w:p w14:paraId="5B18CF28" w14:textId="2DDDC3FA" w:rsidR="00EF26EA" w:rsidRPr="00EF26EA" w:rsidRDefault="00EF26EA" w:rsidP="00EF26EA">
            <w:pPr>
              <w:pStyle w:val="TableText"/>
              <w:jc w:val="right"/>
              <w:rPr>
                <w:i/>
                <w:iCs/>
                <w:color w:val="000000"/>
                <w:lang w:eastAsia="en-AU"/>
              </w:rPr>
            </w:pPr>
            <w:r w:rsidRPr="00EF26EA">
              <w:rPr>
                <w:i/>
                <w:iCs/>
                <w:color w:val="000000"/>
                <w:lang w:eastAsia="en-AU"/>
              </w:rPr>
              <w:t>if not, got to J</w:t>
            </w:r>
          </w:p>
        </w:tc>
      </w:tr>
      <w:tr w:rsidR="00EF26EA" w14:paraId="7E4961E5" w14:textId="77777777" w:rsidTr="00EF26EA">
        <w:tc>
          <w:tcPr>
            <w:tcW w:w="4459" w:type="pct"/>
            <w:vMerge/>
            <w:tcBorders>
              <w:bottom w:val="single" w:sz="4" w:space="0" w:color="auto"/>
            </w:tcBorders>
            <w:vAlign w:val="bottom"/>
          </w:tcPr>
          <w:p w14:paraId="4BEEB643" w14:textId="6D134D56" w:rsidR="00EF26EA" w:rsidRPr="00CC3C81" w:rsidRDefault="00EF26EA" w:rsidP="00EF26EA">
            <w:pPr>
              <w:pStyle w:val="TableText"/>
              <w:rPr>
                <w:b/>
                <w:bCs/>
                <w:color w:val="000000"/>
                <w:lang w:eastAsia="en-AU"/>
              </w:rPr>
            </w:pPr>
          </w:p>
        </w:tc>
        <w:tc>
          <w:tcPr>
            <w:tcW w:w="541" w:type="pct"/>
            <w:tcBorders>
              <w:top w:val="single" w:sz="4" w:space="0" w:color="auto"/>
              <w:bottom w:val="single" w:sz="4" w:space="0" w:color="auto"/>
            </w:tcBorders>
            <w:shd w:val="clear" w:color="auto" w:fill="CBD6DF"/>
            <w:vAlign w:val="center"/>
          </w:tcPr>
          <w:p w14:paraId="1FD30A93" w14:textId="2DFD8916" w:rsidR="00EF26EA" w:rsidRPr="00EF26EA" w:rsidRDefault="00EF26EA" w:rsidP="00EF26EA">
            <w:pPr>
              <w:pStyle w:val="TableText"/>
              <w:jc w:val="right"/>
              <w:rPr>
                <w:b/>
                <w:bCs/>
                <w:color w:val="000000"/>
                <w:lang w:eastAsia="en-AU"/>
              </w:rPr>
            </w:pPr>
            <w:r>
              <w:rPr>
                <w:b/>
                <w:bCs/>
                <w:color w:val="000000"/>
                <w:lang w:eastAsia="en-AU"/>
              </w:rPr>
              <w:t>35</w:t>
            </w:r>
          </w:p>
        </w:tc>
      </w:tr>
      <w:tr w:rsidR="00EF26EA" w14:paraId="5D5C5550" w14:textId="77777777" w:rsidTr="00EF26EA">
        <w:tc>
          <w:tcPr>
            <w:tcW w:w="4459" w:type="pct"/>
            <w:vMerge w:val="restart"/>
            <w:tcBorders>
              <w:top w:val="single" w:sz="4" w:space="0" w:color="auto"/>
            </w:tcBorders>
            <w:vAlign w:val="bottom"/>
          </w:tcPr>
          <w:p w14:paraId="47B2DEA4" w14:textId="6CAD0837" w:rsidR="00EF26EA" w:rsidRPr="00CC3C81" w:rsidRDefault="00EF26EA" w:rsidP="00EF26EA">
            <w:pPr>
              <w:pStyle w:val="TableText"/>
              <w:rPr>
                <w:iCs/>
                <w:color w:val="000000"/>
                <w:lang w:eastAsia="en-AU"/>
              </w:rPr>
            </w:pPr>
            <w:r w:rsidRPr="00CC3C81">
              <w:rPr>
                <w:b/>
                <w:bCs/>
                <w:color w:val="000000"/>
                <w:lang w:eastAsia="en-AU"/>
              </w:rPr>
              <w:t xml:space="preserve">J </w:t>
            </w:r>
            <w:r>
              <w:rPr>
                <w:b/>
                <w:bCs/>
                <w:color w:val="000000"/>
                <w:lang w:eastAsia="en-AU"/>
              </w:rPr>
              <w:t>–</w:t>
            </w:r>
            <w:r w:rsidRPr="00CC3C81">
              <w:rPr>
                <w:b/>
                <w:bCs/>
                <w:color w:val="000000"/>
                <w:lang w:eastAsia="en-AU"/>
              </w:rPr>
              <w:t xml:space="preserve"> Medium likelihood</w:t>
            </w:r>
          </w:p>
          <w:p w14:paraId="46DDC1BA" w14:textId="34140F09" w:rsidR="00EF26EA" w:rsidRPr="00CC3C81" w:rsidRDefault="00EF26EA" w:rsidP="00EF26EA">
            <w:pPr>
              <w:pStyle w:val="TableText"/>
              <w:rPr>
                <w:iCs/>
                <w:color w:val="000000"/>
                <w:lang w:eastAsia="en-AU"/>
              </w:rPr>
            </w:pPr>
            <w:r w:rsidRPr="00CC3C81">
              <w:rPr>
                <w:color w:val="000000"/>
                <w:lang w:eastAsia="en-AU"/>
              </w:rPr>
              <w:t>High volume; moderate distribution; moderate market exposure; minor suppliers; low toxicity; claims made; insecure/unlabel</w:t>
            </w:r>
            <w:r>
              <w:rPr>
                <w:color w:val="000000"/>
                <w:lang w:eastAsia="en-AU"/>
              </w:rPr>
              <w:t>led packaging; price incentive.</w:t>
            </w:r>
          </w:p>
        </w:tc>
        <w:tc>
          <w:tcPr>
            <w:tcW w:w="541" w:type="pct"/>
            <w:tcBorders>
              <w:top w:val="single" w:sz="4" w:space="0" w:color="auto"/>
              <w:bottom w:val="single" w:sz="4" w:space="0" w:color="auto"/>
            </w:tcBorders>
            <w:vAlign w:val="center"/>
          </w:tcPr>
          <w:p w14:paraId="445DCBB2" w14:textId="4677C946" w:rsidR="00EF26EA" w:rsidRPr="00EF26EA" w:rsidRDefault="00EF26EA" w:rsidP="00EF26EA">
            <w:pPr>
              <w:pStyle w:val="TableText"/>
              <w:jc w:val="right"/>
              <w:rPr>
                <w:b/>
                <w:bCs/>
                <w:color w:val="000000"/>
                <w:lang w:eastAsia="en-AU"/>
              </w:rPr>
            </w:pPr>
            <w:r w:rsidRPr="00EF26EA">
              <w:rPr>
                <w:i/>
                <w:iCs/>
                <w:color w:val="000000"/>
                <w:lang w:eastAsia="en-AU"/>
              </w:rPr>
              <w:t xml:space="preserve">if not, got to </w:t>
            </w:r>
            <w:r>
              <w:rPr>
                <w:i/>
                <w:iCs/>
                <w:color w:val="000000"/>
                <w:lang w:eastAsia="en-AU"/>
              </w:rPr>
              <w:t>K</w:t>
            </w:r>
          </w:p>
        </w:tc>
      </w:tr>
      <w:tr w:rsidR="00EF26EA" w14:paraId="39CA2EB1" w14:textId="77777777" w:rsidTr="00EF26EA">
        <w:tc>
          <w:tcPr>
            <w:tcW w:w="4459" w:type="pct"/>
            <w:vMerge/>
            <w:tcBorders>
              <w:bottom w:val="single" w:sz="4" w:space="0" w:color="auto"/>
            </w:tcBorders>
            <w:vAlign w:val="bottom"/>
          </w:tcPr>
          <w:p w14:paraId="4C8079E7" w14:textId="1654A10B" w:rsidR="00EF26EA" w:rsidRPr="00CC3C81" w:rsidRDefault="00EF26EA" w:rsidP="00EF26EA">
            <w:pPr>
              <w:pStyle w:val="TableText"/>
              <w:rPr>
                <w:iCs/>
                <w:color w:val="000000"/>
                <w:lang w:eastAsia="en-AU"/>
              </w:rPr>
            </w:pPr>
          </w:p>
        </w:tc>
        <w:tc>
          <w:tcPr>
            <w:tcW w:w="541" w:type="pct"/>
            <w:tcBorders>
              <w:top w:val="single" w:sz="4" w:space="0" w:color="auto"/>
              <w:bottom w:val="single" w:sz="4" w:space="0" w:color="auto"/>
            </w:tcBorders>
            <w:shd w:val="clear" w:color="auto" w:fill="CBD6DF"/>
            <w:vAlign w:val="center"/>
          </w:tcPr>
          <w:p w14:paraId="77D176DF" w14:textId="254F24D5" w:rsidR="00EF26EA" w:rsidRPr="00EF26EA" w:rsidRDefault="00EF26EA" w:rsidP="00EF26EA">
            <w:pPr>
              <w:pStyle w:val="TableText"/>
              <w:jc w:val="right"/>
              <w:rPr>
                <w:b/>
                <w:bCs/>
                <w:color w:val="000000"/>
                <w:lang w:eastAsia="en-AU"/>
              </w:rPr>
            </w:pPr>
            <w:r>
              <w:rPr>
                <w:b/>
                <w:bCs/>
                <w:color w:val="000000"/>
                <w:lang w:eastAsia="en-AU"/>
              </w:rPr>
              <w:t>21</w:t>
            </w:r>
          </w:p>
        </w:tc>
      </w:tr>
    </w:tbl>
    <w:p w14:paraId="53C68B0C" w14:textId="77777777" w:rsidR="00EF26EA" w:rsidRDefault="00EF26EA"/>
    <w:tbl>
      <w:tblPr>
        <w:tblW w:w="5000" w:type="pct"/>
        <w:tblBorders>
          <w:bottom w:val="dotted" w:sz="2" w:space="0" w:color="auto"/>
          <w:insideH w:val="dotted" w:sz="2" w:space="0" w:color="auto"/>
        </w:tblBorders>
        <w:tblLook w:val="01E0" w:firstRow="1" w:lastRow="1" w:firstColumn="1" w:lastColumn="1" w:noHBand="0" w:noVBand="0"/>
      </w:tblPr>
      <w:tblGrid>
        <w:gridCol w:w="8595"/>
        <w:gridCol w:w="1043"/>
      </w:tblGrid>
      <w:tr w:rsidR="00EF26EA" w14:paraId="0F00736A" w14:textId="77777777" w:rsidTr="00EF26EA">
        <w:trPr>
          <w:cantSplit/>
        </w:trPr>
        <w:tc>
          <w:tcPr>
            <w:tcW w:w="4459" w:type="pct"/>
            <w:vMerge w:val="restart"/>
            <w:tcBorders>
              <w:top w:val="single" w:sz="4" w:space="0" w:color="auto"/>
              <w:bottom w:val="single" w:sz="4" w:space="0" w:color="auto"/>
            </w:tcBorders>
            <w:vAlign w:val="bottom"/>
          </w:tcPr>
          <w:p w14:paraId="74D53EC1" w14:textId="5C33279D" w:rsidR="00EF26EA" w:rsidRPr="00CC3C81" w:rsidRDefault="00EF26EA" w:rsidP="00EF26EA">
            <w:pPr>
              <w:pStyle w:val="TableText"/>
              <w:rPr>
                <w:iCs/>
                <w:color w:val="000000"/>
                <w:lang w:eastAsia="en-AU"/>
              </w:rPr>
            </w:pPr>
            <w:r w:rsidRPr="00CC3C81">
              <w:rPr>
                <w:b/>
                <w:bCs/>
                <w:color w:val="000000"/>
                <w:lang w:eastAsia="en-AU"/>
              </w:rPr>
              <w:t xml:space="preserve">K </w:t>
            </w:r>
            <w:r>
              <w:rPr>
                <w:b/>
                <w:bCs/>
                <w:color w:val="000000"/>
                <w:lang w:eastAsia="en-AU"/>
              </w:rPr>
              <w:t>–</w:t>
            </w:r>
            <w:r w:rsidRPr="00CC3C81">
              <w:rPr>
                <w:b/>
                <w:bCs/>
                <w:color w:val="000000"/>
                <w:lang w:eastAsia="en-AU"/>
              </w:rPr>
              <w:t xml:space="preserve"> Low likelihood</w:t>
            </w:r>
          </w:p>
          <w:p w14:paraId="4B6823C9" w14:textId="33D561AF" w:rsidR="00EF26EA" w:rsidRPr="00CC3C81" w:rsidRDefault="00EF26EA" w:rsidP="00EF26EA">
            <w:pPr>
              <w:pStyle w:val="TableText"/>
              <w:rPr>
                <w:iCs/>
                <w:color w:val="000000"/>
                <w:lang w:eastAsia="en-AU"/>
              </w:rPr>
            </w:pPr>
            <w:r>
              <w:rPr>
                <w:color w:val="000000"/>
                <w:lang w:eastAsia="en-AU"/>
              </w:rPr>
              <w:t xml:space="preserve">Low </w:t>
            </w:r>
            <w:r w:rsidRPr="00CC3C81">
              <w:rPr>
                <w:color w:val="000000"/>
                <w:lang w:eastAsia="en-AU"/>
              </w:rPr>
              <w:t>volume; individual, limited market exposure; low or no toxicity; low price incentive; secure packing/labels;</w:t>
            </w:r>
            <w:r>
              <w:rPr>
                <w:color w:val="000000"/>
                <w:lang w:eastAsia="en-AU"/>
              </w:rPr>
              <w:t xml:space="preserve"> </w:t>
            </w:r>
            <w:r w:rsidRPr="00CC3C81">
              <w:rPr>
                <w:color w:val="000000"/>
                <w:lang w:eastAsia="en-AU"/>
              </w:rPr>
              <w:t>informed users.</w:t>
            </w:r>
          </w:p>
        </w:tc>
        <w:tc>
          <w:tcPr>
            <w:tcW w:w="541" w:type="pct"/>
            <w:tcBorders>
              <w:top w:val="single" w:sz="4" w:space="0" w:color="auto"/>
              <w:bottom w:val="single" w:sz="4" w:space="0" w:color="auto"/>
            </w:tcBorders>
            <w:vAlign w:val="center"/>
          </w:tcPr>
          <w:p w14:paraId="7531B52D" w14:textId="77777777" w:rsidR="00EF26EA" w:rsidRPr="00EF26EA" w:rsidRDefault="00EF26EA" w:rsidP="00EF26EA">
            <w:pPr>
              <w:pStyle w:val="TableText"/>
              <w:jc w:val="right"/>
              <w:rPr>
                <w:b/>
                <w:bCs/>
                <w:color w:val="000000"/>
                <w:lang w:eastAsia="en-AU"/>
              </w:rPr>
            </w:pPr>
          </w:p>
        </w:tc>
      </w:tr>
      <w:tr w:rsidR="00EF26EA" w14:paraId="533E1711" w14:textId="77777777" w:rsidTr="00EF26EA">
        <w:trPr>
          <w:cantSplit/>
        </w:trPr>
        <w:tc>
          <w:tcPr>
            <w:tcW w:w="4459" w:type="pct"/>
            <w:vMerge/>
            <w:tcBorders>
              <w:top w:val="single" w:sz="4" w:space="0" w:color="auto"/>
              <w:bottom w:val="single" w:sz="4" w:space="0" w:color="auto"/>
            </w:tcBorders>
            <w:vAlign w:val="bottom"/>
          </w:tcPr>
          <w:p w14:paraId="1A088A66" w14:textId="49EF1A6A" w:rsidR="00EF26EA" w:rsidRPr="00CC3C81" w:rsidRDefault="00EF26EA" w:rsidP="00EF26EA">
            <w:pPr>
              <w:pStyle w:val="TableText"/>
              <w:rPr>
                <w:iCs/>
                <w:color w:val="000000"/>
                <w:lang w:eastAsia="en-AU"/>
              </w:rPr>
            </w:pPr>
          </w:p>
        </w:tc>
        <w:tc>
          <w:tcPr>
            <w:tcW w:w="541" w:type="pct"/>
            <w:tcBorders>
              <w:top w:val="single" w:sz="4" w:space="0" w:color="auto"/>
              <w:bottom w:val="single" w:sz="4" w:space="0" w:color="auto"/>
            </w:tcBorders>
            <w:shd w:val="clear" w:color="auto" w:fill="CBD6DF"/>
            <w:vAlign w:val="center"/>
          </w:tcPr>
          <w:p w14:paraId="54B2323C" w14:textId="31839C0F" w:rsidR="00EF26EA" w:rsidRPr="00EF26EA" w:rsidRDefault="00EF26EA" w:rsidP="00EF26EA">
            <w:pPr>
              <w:pStyle w:val="TableText"/>
              <w:jc w:val="right"/>
              <w:rPr>
                <w:b/>
                <w:bCs/>
                <w:color w:val="000000"/>
                <w:lang w:eastAsia="en-AU"/>
              </w:rPr>
            </w:pPr>
            <w:r>
              <w:rPr>
                <w:b/>
                <w:bCs/>
                <w:color w:val="000000"/>
                <w:lang w:eastAsia="en-AU"/>
              </w:rPr>
              <w:t>7</w:t>
            </w:r>
          </w:p>
        </w:tc>
      </w:tr>
      <w:tr w:rsidR="00EF26EA" w14:paraId="034F455B" w14:textId="77777777" w:rsidTr="00EF26EA">
        <w:tc>
          <w:tcPr>
            <w:tcW w:w="5000" w:type="pct"/>
            <w:gridSpan w:val="2"/>
            <w:tcBorders>
              <w:top w:val="single" w:sz="4" w:space="0" w:color="auto"/>
              <w:bottom w:val="single" w:sz="4" w:space="0" w:color="auto"/>
            </w:tcBorders>
            <w:shd w:val="clear" w:color="auto" w:fill="79143F"/>
            <w:vAlign w:val="center"/>
          </w:tcPr>
          <w:p w14:paraId="5A658294" w14:textId="220C37D9" w:rsidR="00EF26EA" w:rsidRPr="00EF26EA" w:rsidRDefault="00EF26EA" w:rsidP="00EF26EA">
            <w:pPr>
              <w:pStyle w:val="TableHead"/>
              <w:rPr>
                <w:lang w:eastAsia="en-AU"/>
              </w:rPr>
            </w:pPr>
            <w:r w:rsidRPr="00EF26EA">
              <w:rPr>
                <w:lang w:eastAsia="en-AU"/>
              </w:rPr>
              <w:t>L – Subtotal 1.2</w:t>
            </w:r>
          </w:p>
        </w:tc>
      </w:tr>
      <w:tr w:rsidR="00EF26EA" w14:paraId="76B07320" w14:textId="77777777" w:rsidTr="00EF26EA">
        <w:tc>
          <w:tcPr>
            <w:tcW w:w="4459" w:type="pct"/>
            <w:tcBorders>
              <w:top w:val="single" w:sz="4" w:space="0" w:color="auto"/>
              <w:bottom w:val="single" w:sz="4" w:space="0" w:color="auto"/>
            </w:tcBorders>
            <w:shd w:val="clear" w:color="auto" w:fill="B51F3E"/>
            <w:vAlign w:val="bottom"/>
          </w:tcPr>
          <w:p w14:paraId="4DA35CC5" w14:textId="13F945F3" w:rsidR="00EF26EA" w:rsidRPr="00EF26EA" w:rsidRDefault="00EF26EA" w:rsidP="00EF26EA">
            <w:pPr>
              <w:pStyle w:val="TableHead"/>
            </w:pPr>
            <w:r w:rsidRPr="00EF26EA">
              <w:t>1.3 – Character of behaviour</w:t>
            </w:r>
          </w:p>
        </w:tc>
        <w:tc>
          <w:tcPr>
            <w:tcW w:w="541" w:type="pct"/>
            <w:tcBorders>
              <w:top w:val="single" w:sz="4" w:space="0" w:color="auto"/>
              <w:bottom w:val="single" w:sz="4" w:space="0" w:color="auto"/>
            </w:tcBorders>
            <w:shd w:val="clear" w:color="auto" w:fill="B51F3E"/>
            <w:vAlign w:val="center"/>
          </w:tcPr>
          <w:p w14:paraId="0F2AC411" w14:textId="77777777" w:rsidR="00EF26EA" w:rsidRPr="00EF26EA" w:rsidRDefault="00EF26EA" w:rsidP="00EF26EA">
            <w:pPr>
              <w:pStyle w:val="TableHead"/>
              <w:rPr>
                <w:b/>
                <w:color w:val="000000"/>
                <w:lang w:eastAsia="en-AU"/>
              </w:rPr>
            </w:pPr>
          </w:p>
        </w:tc>
      </w:tr>
      <w:tr w:rsidR="00EF26EA" w14:paraId="5EA82677" w14:textId="77777777" w:rsidTr="00EF26EA">
        <w:tc>
          <w:tcPr>
            <w:tcW w:w="4459" w:type="pct"/>
            <w:vMerge w:val="restart"/>
            <w:tcBorders>
              <w:top w:val="single" w:sz="4" w:space="0" w:color="auto"/>
              <w:bottom w:val="single" w:sz="4" w:space="0" w:color="auto"/>
            </w:tcBorders>
            <w:vAlign w:val="center"/>
          </w:tcPr>
          <w:p w14:paraId="73DBA630" w14:textId="48D11CA8" w:rsidR="00EF26EA" w:rsidRPr="00CC3C81" w:rsidRDefault="00EF26EA" w:rsidP="00EF26EA">
            <w:pPr>
              <w:pStyle w:val="TableText"/>
              <w:rPr>
                <w:iCs/>
                <w:color w:val="000000"/>
                <w:lang w:eastAsia="en-AU"/>
              </w:rPr>
            </w:pPr>
            <w:r w:rsidRPr="00CC3C81">
              <w:rPr>
                <w:b/>
                <w:bCs/>
                <w:color w:val="000000"/>
                <w:lang w:eastAsia="en-AU"/>
              </w:rPr>
              <w:t xml:space="preserve">M </w:t>
            </w:r>
            <w:r>
              <w:rPr>
                <w:b/>
                <w:bCs/>
                <w:color w:val="000000"/>
                <w:lang w:eastAsia="en-AU"/>
              </w:rPr>
              <w:t>–</w:t>
            </w:r>
            <w:r w:rsidRPr="00CC3C81">
              <w:rPr>
                <w:b/>
                <w:bCs/>
                <w:color w:val="000000"/>
                <w:lang w:eastAsia="en-AU"/>
              </w:rPr>
              <w:t xml:space="preserve"> Negligent behaviour</w:t>
            </w:r>
          </w:p>
          <w:p w14:paraId="118BA451" w14:textId="4C83699C" w:rsidR="00EF26EA" w:rsidRPr="00CC3C81" w:rsidRDefault="00EF26EA" w:rsidP="00EF26EA">
            <w:pPr>
              <w:pStyle w:val="TableText"/>
              <w:rPr>
                <w:iCs/>
                <w:color w:val="000000"/>
                <w:lang w:eastAsia="en-AU"/>
              </w:rPr>
            </w:pPr>
            <w:r>
              <w:rPr>
                <w:color w:val="000000"/>
                <w:lang w:eastAsia="en-AU"/>
              </w:rPr>
              <w:t>W</w:t>
            </w:r>
            <w:r w:rsidRPr="00CC3C81">
              <w:rPr>
                <w:color w:val="000000"/>
                <w:lang w:eastAsia="en-AU"/>
              </w:rPr>
              <w:t xml:space="preserve">illing or resigned to comply; </w:t>
            </w:r>
            <w:r>
              <w:rPr>
                <w:color w:val="000000"/>
                <w:lang w:eastAsia="en-AU"/>
              </w:rPr>
              <w:t>low monetary value; n</w:t>
            </w:r>
            <w:r w:rsidRPr="00CC3C81">
              <w:rPr>
                <w:color w:val="000000"/>
                <w:lang w:eastAsia="en-AU"/>
              </w:rPr>
              <w:t xml:space="preserve">o previous </w:t>
            </w:r>
            <w:r>
              <w:rPr>
                <w:color w:val="000000"/>
                <w:lang w:eastAsia="en-AU"/>
              </w:rPr>
              <w:t>offences</w:t>
            </w:r>
            <w:r w:rsidRPr="00CC3C81">
              <w:rPr>
                <w:color w:val="000000"/>
                <w:lang w:eastAsia="en-AU"/>
              </w:rPr>
              <w:t>.</w:t>
            </w:r>
          </w:p>
        </w:tc>
        <w:tc>
          <w:tcPr>
            <w:tcW w:w="541" w:type="pct"/>
            <w:tcBorders>
              <w:top w:val="single" w:sz="4" w:space="0" w:color="auto"/>
              <w:bottom w:val="single" w:sz="4" w:space="0" w:color="auto"/>
            </w:tcBorders>
            <w:vAlign w:val="center"/>
          </w:tcPr>
          <w:p w14:paraId="352B7159" w14:textId="65739E96" w:rsidR="00EF26EA" w:rsidRPr="00EF26EA" w:rsidRDefault="00EF26EA" w:rsidP="00EF26EA">
            <w:pPr>
              <w:pStyle w:val="TableText"/>
              <w:jc w:val="right"/>
              <w:rPr>
                <w:b/>
                <w:bCs/>
                <w:color w:val="000000"/>
                <w:lang w:eastAsia="en-AU"/>
              </w:rPr>
            </w:pPr>
            <w:r>
              <w:rPr>
                <w:i/>
                <w:iCs/>
                <w:color w:val="000000"/>
                <w:lang w:eastAsia="en-AU"/>
              </w:rPr>
              <w:t>enter if applicable to go to 2</w:t>
            </w:r>
          </w:p>
        </w:tc>
      </w:tr>
      <w:tr w:rsidR="00EF26EA" w14:paraId="777489DE" w14:textId="77777777" w:rsidTr="00EF26EA">
        <w:tc>
          <w:tcPr>
            <w:tcW w:w="4459" w:type="pct"/>
            <w:vMerge/>
            <w:tcBorders>
              <w:top w:val="dotted" w:sz="2" w:space="0" w:color="auto"/>
              <w:bottom w:val="single" w:sz="4" w:space="0" w:color="auto"/>
            </w:tcBorders>
          </w:tcPr>
          <w:p w14:paraId="3331E02C" w14:textId="641E276E" w:rsidR="00EF26EA" w:rsidRPr="00CC3C81" w:rsidRDefault="00EF26EA" w:rsidP="00EF26EA">
            <w:pPr>
              <w:pStyle w:val="TableText"/>
              <w:rPr>
                <w:iCs/>
                <w:color w:val="000000"/>
                <w:lang w:eastAsia="en-AU"/>
              </w:rPr>
            </w:pPr>
          </w:p>
        </w:tc>
        <w:tc>
          <w:tcPr>
            <w:tcW w:w="541" w:type="pct"/>
            <w:tcBorders>
              <w:top w:val="single" w:sz="4" w:space="0" w:color="auto"/>
              <w:bottom w:val="single" w:sz="4" w:space="0" w:color="auto"/>
            </w:tcBorders>
            <w:shd w:val="clear" w:color="auto" w:fill="CBD6DF"/>
            <w:vAlign w:val="center"/>
          </w:tcPr>
          <w:p w14:paraId="1B71CA8F" w14:textId="1F97C127" w:rsidR="00EF26EA" w:rsidRPr="00EF26EA" w:rsidRDefault="00EF26EA" w:rsidP="00EF26EA">
            <w:pPr>
              <w:pStyle w:val="TableText"/>
              <w:jc w:val="right"/>
              <w:rPr>
                <w:b/>
                <w:bCs/>
                <w:color w:val="000000"/>
                <w:lang w:eastAsia="en-AU"/>
              </w:rPr>
            </w:pPr>
            <w:r>
              <w:rPr>
                <w:b/>
                <w:bCs/>
                <w:color w:val="000000"/>
                <w:lang w:eastAsia="en-AU"/>
              </w:rPr>
              <w:t>7</w:t>
            </w:r>
          </w:p>
        </w:tc>
      </w:tr>
      <w:tr w:rsidR="00EF26EA" w14:paraId="5F899FCA" w14:textId="77777777" w:rsidTr="00EF26EA">
        <w:tc>
          <w:tcPr>
            <w:tcW w:w="4459" w:type="pct"/>
            <w:vMerge w:val="restart"/>
            <w:tcBorders>
              <w:top w:val="single" w:sz="4" w:space="0" w:color="auto"/>
              <w:bottom w:val="single" w:sz="4" w:space="0" w:color="auto"/>
            </w:tcBorders>
            <w:vAlign w:val="center"/>
          </w:tcPr>
          <w:p w14:paraId="0CF2DD68" w14:textId="26FDE02C" w:rsidR="00EF26EA" w:rsidRDefault="00EF26EA" w:rsidP="00EF26EA">
            <w:pPr>
              <w:pStyle w:val="TableText"/>
              <w:rPr>
                <w:color w:val="000000"/>
                <w:lang w:eastAsia="en-AU"/>
              </w:rPr>
            </w:pPr>
            <w:r w:rsidRPr="00CC3C81">
              <w:rPr>
                <w:b/>
                <w:bCs/>
                <w:color w:val="000000"/>
                <w:lang w:eastAsia="en-AU"/>
              </w:rPr>
              <w:t xml:space="preserve">N </w:t>
            </w:r>
            <w:r>
              <w:rPr>
                <w:b/>
                <w:bCs/>
                <w:color w:val="000000"/>
                <w:lang w:eastAsia="en-AU"/>
              </w:rPr>
              <w:t>–</w:t>
            </w:r>
            <w:r w:rsidRPr="00CC3C81">
              <w:rPr>
                <w:b/>
                <w:bCs/>
                <w:color w:val="000000"/>
                <w:lang w:eastAsia="en-AU"/>
              </w:rPr>
              <w:t xml:space="preserve"> Combined factors from M and O</w:t>
            </w:r>
          </w:p>
          <w:p w14:paraId="579E4E4A" w14:textId="5C249AA6" w:rsidR="00EF26EA" w:rsidRDefault="00EF26EA" w:rsidP="00EF26EA">
            <w:pPr>
              <w:pStyle w:val="TableText"/>
              <w:rPr>
                <w:color w:val="000000"/>
                <w:lang w:eastAsia="en-AU"/>
              </w:rPr>
            </w:pPr>
            <w:r>
              <w:rPr>
                <w:color w:val="000000"/>
                <w:lang w:eastAsia="en-AU"/>
              </w:rPr>
              <w:t>M</w:t>
            </w:r>
            <w:r w:rsidRPr="00CC3C81">
              <w:rPr>
                <w:color w:val="000000"/>
                <w:lang w:eastAsia="en-AU"/>
              </w:rPr>
              <w:t xml:space="preserve">inor previous non-compliance; </w:t>
            </w:r>
            <w:r>
              <w:rPr>
                <w:color w:val="000000"/>
                <w:lang w:eastAsia="en-AU"/>
              </w:rPr>
              <w:t xml:space="preserve">intermediate monetary value; other </w:t>
            </w:r>
            <w:r w:rsidRPr="00CC3C81">
              <w:rPr>
                <w:color w:val="000000"/>
                <w:lang w:eastAsia="en-AU"/>
              </w:rPr>
              <w:t>unknowns.</w:t>
            </w:r>
          </w:p>
        </w:tc>
        <w:tc>
          <w:tcPr>
            <w:tcW w:w="541" w:type="pct"/>
            <w:tcBorders>
              <w:top w:val="single" w:sz="4" w:space="0" w:color="auto"/>
              <w:bottom w:val="single" w:sz="4" w:space="0" w:color="auto"/>
            </w:tcBorders>
            <w:vAlign w:val="center"/>
          </w:tcPr>
          <w:p w14:paraId="6F2E5541" w14:textId="4AF0BD9A" w:rsidR="00EF26EA" w:rsidRPr="00EF26EA" w:rsidRDefault="00EF26EA" w:rsidP="00EF26EA">
            <w:pPr>
              <w:pStyle w:val="TableText"/>
              <w:jc w:val="right"/>
              <w:rPr>
                <w:b/>
                <w:bCs/>
                <w:color w:val="000000"/>
                <w:lang w:eastAsia="en-AU"/>
              </w:rPr>
            </w:pPr>
            <w:r>
              <w:rPr>
                <w:i/>
                <w:iCs/>
                <w:color w:val="000000"/>
                <w:lang w:eastAsia="en-AU"/>
              </w:rPr>
              <w:t>enter if applicable to go to 2</w:t>
            </w:r>
          </w:p>
        </w:tc>
      </w:tr>
      <w:tr w:rsidR="00EF26EA" w14:paraId="10A4DE48" w14:textId="77777777" w:rsidTr="00EF26EA">
        <w:tc>
          <w:tcPr>
            <w:tcW w:w="4459" w:type="pct"/>
            <w:vMerge/>
            <w:tcBorders>
              <w:top w:val="dotted" w:sz="2" w:space="0" w:color="auto"/>
              <w:bottom w:val="single" w:sz="4" w:space="0" w:color="auto"/>
            </w:tcBorders>
          </w:tcPr>
          <w:p w14:paraId="1513B052" w14:textId="78A5D53F" w:rsidR="00EF26EA" w:rsidRDefault="00EF26EA" w:rsidP="00EF26EA">
            <w:pPr>
              <w:pStyle w:val="TableText"/>
              <w:rPr>
                <w:color w:val="000000"/>
                <w:lang w:eastAsia="en-AU"/>
              </w:rPr>
            </w:pPr>
          </w:p>
        </w:tc>
        <w:tc>
          <w:tcPr>
            <w:tcW w:w="541" w:type="pct"/>
            <w:tcBorders>
              <w:top w:val="single" w:sz="4" w:space="0" w:color="auto"/>
              <w:bottom w:val="single" w:sz="4" w:space="0" w:color="auto"/>
            </w:tcBorders>
            <w:shd w:val="clear" w:color="auto" w:fill="CBD6DF"/>
            <w:vAlign w:val="center"/>
          </w:tcPr>
          <w:p w14:paraId="2F5FFE20" w14:textId="61AB91EC" w:rsidR="00EF26EA" w:rsidRPr="00EF26EA" w:rsidRDefault="00EF26EA" w:rsidP="00EF26EA">
            <w:pPr>
              <w:pStyle w:val="TableText"/>
              <w:jc w:val="right"/>
              <w:rPr>
                <w:b/>
                <w:bCs/>
                <w:color w:val="000000"/>
                <w:lang w:eastAsia="en-AU"/>
              </w:rPr>
            </w:pPr>
            <w:r>
              <w:rPr>
                <w:b/>
                <w:bCs/>
                <w:color w:val="000000"/>
                <w:lang w:eastAsia="en-AU"/>
              </w:rPr>
              <w:t>14</w:t>
            </w:r>
          </w:p>
        </w:tc>
      </w:tr>
      <w:tr w:rsidR="00EF26EA" w14:paraId="5E8956A3" w14:textId="47877951" w:rsidTr="00EF26EA">
        <w:tc>
          <w:tcPr>
            <w:tcW w:w="4459" w:type="pct"/>
            <w:vMerge w:val="restart"/>
            <w:tcBorders>
              <w:top w:val="single" w:sz="4" w:space="0" w:color="auto"/>
              <w:bottom w:val="single" w:sz="4" w:space="0" w:color="auto"/>
            </w:tcBorders>
            <w:vAlign w:val="center"/>
          </w:tcPr>
          <w:p w14:paraId="1137EA01" w14:textId="748DC070" w:rsidR="00EF26EA" w:rsidRDefault="00EF26EA" w:rsidP="00EF26EA">
            <w:pPr>
              <w:pStyle w:val="TableText"/>
              <w:rPr>
                <w:color w:val="000000"/>
                <w:lang w:eastAsia="en-AU"/>
              </w:rPr>
            </w:pPr>
            <w:r w:rsidRPr="00CC3C81">
              <w:rPr>
                <w:b/>
                <w:bCs/>
                <w:color w:val="000000"/>
                <w:lang w:eastAsia="en-AU"/>
              </w:rPr>
              <w:t>O – Reckless behaviour</w:t>
            </w:r>
          </w:p>
          <w:p w14:paraId="63F8A93C" w14:textId="2918E25C" w:rsidR="00EF26EA" w:rsidRDefault="00EF26EA" w:rsidP="00EF26EA">
            <w:pPr>
              <w:pStyle w:val="TableText"/>
              <w:rPr>
                <w:color w:val="000000"/>
                <w:lang w:eastAsia="en-AU"/>
              </w:rPr>
            </w:pPr>
            <w:r>
              <w:rPr>
                <w:color w:val="000000"/>
                <w:lang w:eastAsia="en-AU"/>
              </w:rPr>
              <w:t>P</w:t>
            </w:r>
            <w:r w:rsidRPr="00CC3C81">
              <w:rPr>
                <w:color w:val="000000"/>
                <w:lang w:eastAsia="en-AU"/>
              </w:rPr>
              <w:t>otential consequenc</w:t>
            </w:r>
            <w:r>
              <w:rPr>
                <w:color w:val="000000"/>
                <w:lang w:eastAsia="en-AU"/>
              </w:rPr>
              <w:t>es should have been foreseeable; d</w:t>
            </w:r>
            <w:r w:rsidRPr="00CC3C81">
              <w:rPr>
                <w:color w:val="000000"/>
                <w:lang w:eastAsia="en-AU"/>
              </w:rPr>
              <w:t xml:space="preserve">eliberate actions; </w:t>
            </w:r>
            <w:r>
              <w:rPr>
                <w:color w:val="000000"/>
                <w:lang w:eastAsia="en-AU"/>
              </w:rPr>
              <w:t>d</w:t>
            </w:r>
            <w:r w:rsidRPr="00CC3C81">
              <w:rPr>
                <w:color w:val="000000"/>
                <w:lang w:eastAsia="en-AU"/>
              </w:rPr>
              <w:t>isengaged from regulator</w:t>
            </w:r>
            <w:r>
              <w:rPr>
                <w:color w:val="000000"/>
                <w:lang w:eastAsia="en-AU"/>
              </w:rPr>
              <w:t xml:space="preserve"> or regulatory scheme</w:t>
            </w:r>
            <w:r w:rsidRPr="00CC3C81">
              <w:rPr>
                <w:color w:val="000000"/>
                <w:lang w:eastAsia="en-AU"/>
              </w:rPr>
              <w:t xml:space="preserve">; </w:t>
            </w:r>
            <w:r>
              <w:rPr>
                <w:color w:val="000000"/>
                <w:lang w:eastAsia="en-AU"/>
              </w:rPr>
              <w:t>h</w:t>
            </w:r>
            <w:r w:rsidRPr="00CC3C81">
              <w:rPr>
                <w:color w:val="000000"/>
                <w:lang w:eastAsia="en-AU"/>
              </w:rPr>
              <w:t xml:space="preserve">igh monetary </w:t>
            </w:r>
            <w:r>
              <w:rPr>
                <w:color w:val="000000"/>
                <w:lang w:eastAsia="en-AU"/>
              </w:rPr>
              <w:t>value; o</w:t>
            </w:r>
            <w:r w:rsidRPr="00CC3C81">
              <w:rPr>
                <w:color w:val="000000"/>
                <w:lang w:eastAsia="en-AU"/>
              </w:rPr>
              <w:t xml:space="preserve">rganised nature of offence; </w:t>
            </w:r>
            <w:r>
              <w:rPr>
                <w:color w:val="000000"/>
                <w:lang w:eastAsia="en-AU"/>
              </w:rPr>
              <w:t>m</w:t>
            </w:r>
            <w:r w:rsidRPr="00CC3C81">
              <w:rPr>
                <w:color w:val="000000"/>
                <w:lang w:eastAsia="en-AU"/>
              </w:rPr>
              <w:t>ultiple offences over time</w:t>
            </w:r>
            <w:r>
              <w:rPr>
                <w:color w:val="000000"/>
                <w:lang w:eastAsia="en-AU"/>
              </w:rPr>
              <w:t>.</w:t>
            </w:r>
          </w:p>
        </w:tc>
        <w:tc>
          <w:tcPr>
            <w:tcW w:w="541" w:type="pct"/>
            <w:tcBorders>
              <w:top w:val="single" w:sz="4" w:space="0" w:color="auto"/>
              <w:bottom w:val="single" w:sz="4" w:space="0" w:color="auto"/>
            </w:tcBorders>
            <w:vAlign w:val="center"/>
          </w:tcPr>
          <w:p w14:paraId="55815AE8" w14:textId="3B49BC5B" w:rsidR="00EF26EA" w:rsidRPr="00EF26EA" w:rsidRDefault="00EF26EA" w:rsidP="00EF26EA">
            <w:pPr>
              <w:pStyle w:val="TableText"/>
              <w:jc w:val="right"/>
              <w:rPr>
                <w:b/>
                <w:bCs/>
                <w:color w:val="000000"/>
                <w:lang w:eastAsia="en-AU"/>
              </w:rPr>
            </w:pPr>
            <w:r>
              <w:rPr>
                <w:i/>
                <w:iCs/>
                <w:color w:val="000000"/>
                <w:lang w:eastAsia="en-AU"/>
              </w:rPr>
              <w:t>enter if applicable to go to 2</w:t>
            </w:r>
          </w:p>
        </w:tc>
      </w:tr>
      <w:tr w:rsidR="00EF26EA" w14:paraId="24014E04" w14:textId="77777777" w:rsidTr="00EF26EA">
        <w:tc>
          <w:tcPr>
            <w:tcW w:w="4459" w:type="pct"/>
            <w:vMerge/>
            <w:tcBorders>
              <w:top w:val="dotted" w:sz="2" w:space="0" w:color="auto"/>
              <w:bottom w:val="single" w:sz="4" w:space="0" w:color="auto"/>
            </w:tcBorders>
            <w:vAlign w:val="bottom"/>
          </w:tcPr>
          <w:p w14:paraId="2EEB3F92" w14:textId="2F4F5335" w:rsidR="00EF26EA" w:rsidRDefault="00EF26EA" w:rsidP="00EF26EA">
            <w:pPr>
              <w:pStyle w:val="TableText"/>
              <w:rPr>
                <w:color w:val="000000"/>
                <w:lang w:eastAsia="en-AU"/>
              </w:rPr>
            </w:pPr>
          </w:p>
        </w:tc>
        <w:tc>
          <w:tcPr>
            <w:tcW w:w="541" w:type="pct"/>
            <w:tcBorders>
              <w:top w:val="single" w:sz="4" w:space="0" w:color="auto"/>
              <w:bottom w:val="single" w:sz="4" w:space="0" w:color="auto"/>
            </w:tcBorders>
            <w:shd w:val="clear" w:color="auto" w:fill="CBD6DF"/>
            <w:vAlign w:val="center"/>
          </w:tcPr>
          <w:p w14:paraId="11F2A06E" w14:textId="6A57D5C6" w:rsidR="00EF26EA" w:rsidRPr="00EF26EA" w:rsidRDefault="00EF26EA" w:rsidP="00EF26EA">
            <w:pPr>
              <w:pStyle w:val="TableText"/>
              <w:jc w:val="right"/>
              <w:rPr>
                <w:b/>
                <w:bCs/>
                <w:color w:val="000000"/>
                <w:lang w:eastAsia="en-AU"/>
              </w:rPr>
            </w:pPr>
            <w:r>
              <w:rPr>
                <w:b/>
                <w:bCs/>
                <w:color w:val="000000"/>
                <w:lang w:eastAsia="en-AU"/>
              </w:rPr>
              <w:t>21</w:t>
            </w:r>
          </w:p>
        </w:tc>
      </w:tr>
      <w:tr w:rsidR="00EF26EA" w:rsidRPr="00EF26EA" w14:paraId="3771C878" w14:textId="77777777" w:rsidTr="00EF26EA">
        <w:tc>
          <w:tcPr>
            <w:tcW w:w="5000" w:type="pct"/>
            <w:gridSpan w:val="2"/>
            <w:tcBorders>
              <w:top w:val="single" w:sz="4" w:space="0" w:color="auto"/>
              <w:bottom w:val="single" w:sz="4" w:space="0" w:color="auto"/>
            </w:tcBorders>
            <w:shd w:val="clear" w:color="auto" w:fill="B51F3E"/>
            <w:vAlign w:val="center"/>
          </w:tcPr>
          <w:p w14:paraId="346C3D20" w14:textId="05E2A2B9" w:rsidR="00EF26EA" w:rsidRPr="00EF26EA" w:rsidRDefault="00EF26EA" w:rsidP="00EF26EA">
            <w:pPr>
              <w:pStyle w:val="TableHead"/>
            </w:pPr>
            <w:r w:rsidRPr="00EF26EA">
              <w:t>P – Subtotal 1.3</w:t>
            </w:r>
          </w:p>
        </w:tc>
      </w:tr>
      <w:tr w:rsidR="00EF26EA" w14:paraId="2ABA74B1" w14:textId="77777777" w:rsidTr="00EF26EA">
        <w:tc>
          <w:tcPr>
            <w:tcW w:w="4459" w:type="pct"/>
            <w:tcBorders>
              <w:top w:val="single" w:sz="4" w:space="0" w:color="auto"/>
              <w:bottom w:val="single" w:sz="4" w:space="0" w:color="auto"/>
            </w:tcBorders>
            <w:shd w:val="clear" w:color="auto" w:fill="054F5A"/>
            <w:vAlign w:val="center"/>
          </w:tcPr>
          <w:p w14:paraId="3C846576" w14:textId="4E1B621F" w:rsidR="00EF26EA" w:rsidRPr="00CC3C81" w:rsidRDefault="00EF26EA" w:rsidP="00EF26EA">
            <w:pPr>
              <w:pStyle w:val="TableHead"/>
              <w:rPr>
                <w:lang w:eastAsia="en-AU"/>
              </w:rPr>
            </w:pPr>
            <w:r w:rsidRPr="00CC3C81">
              <w:rPr>
                <w:lang w:eastAsia="en-AU"/>
              </w:rPr>
              <w:t xml:space="preserve">2 </w:t>
            </w:r>
            <w:r>
              <w:rPr>
                <w:lang w:eastAsia="en-AU"/>
              </w:rPr>
              <w:t>–</w:t>
            </w:r>
            <w:r w:rsidRPr="00CC3C81">
              <w:rPr>
                <w:lang w:eastAsia="en-AU"/>
              </w:rPr>
              <w:t xml:space="preserve"> </w:t>
            </w:r>
            <w:r>
              <w:rPr>
                <w:lang w:eastAsia="en-AU"/>
              </w:rPr>
              <w:t>T</w:t>
            </w:r>
            <w:r w:rsidRPr="00CC3C81">
              <w:rPr>
                <w:lang w:eastAsia="en-AU"/>
              </w:rPr>
              <w:t>otal risk assessment rating</w:t>
            </w:r>
            <w:r>
              <w:rPr>
                <w:lang w:eastAsia="en-AU"/>
              </w:rPr>
              <w:t xml:space="preserve"> (H+L+P)</w:t>
            </w:r>
          </w:p>
        </w:tc>
        <w:tc>
          <w:tcPr>
            <w:tcW w:w="541" w:type="pct"/>
            <w:tcBorders>
              <w:top w:val="single" w:sz="4" w:space="0" w:color="auto"/>
              <w:bottom w:val="single" w:sz="4" w:space="0" w:color="auto"/>
            </w:tcBorders>
            <w:shd w:val="clear" w:color="auto" w:fill="054F5A"/>
            <w:vAlign w:val="center"/>
          </w:tcPr>
          <w:p w14:paraId="3E35282C" w14:textId="77777777" w:rsidR="00EF26EA" w:rsidRPr="00EF26EA" w:rsidRDefault="00EF26EA" w:rsidP="00EF26EA">
            <w:pPr>
              <w:pStyle w:val="TableHead"/>
              <w:jc w:val="right"/>
              <w:rPr>
                <w:lang w:eastAsia="en-AU"/>
              </w:rPr>
            </w:pPr>
          </w:p>
        </w:tc>
      </w:tr>
      <w:bookmarkEnd w:id="16"/>
      <w:bookmarkEnd w:id="17"/>
    </w:tbl>
    <w:p w14:paraId="45935570" w14:textId="7A2069C8" w:rsidR="008B550C" w:rsidRDefault="008B550C" w:rsidP="00EF26EA">
      <w:pPr>
        <w:pStyle w:val="NormalText"/>
      </w:pPr>
    </w:p>
    <w:sectPr w:rsidR="008B550C">
      <w:headerReference w:type="even" r:id="rId42"/>
      <w:headerReference w:type="default" r:id="rId43"/>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8027" w14:textId="77777777" w:rsidR="002625A0" w:rsidRDefault="002625A0">
      <w:r>
        <w:separator/>
      </w:r>
    </w:p>
    <w:p w14:paraId="0A953203" w14:textId="77777777" w:rsidR="002625A0" w:rsidRDefault="002625A0"/>
    <w:p w14:paraId="18AC4867" w14:textId="77777777" w:rsidR="002625A0" w:rsidRDefault="002625A0"/>
  </w:endnote>
  <w:endnote w:type="continuationSeparator" w:id="0">
    <w:p w14:paraId="69CEC5A3" w14:textId="77777777" w:rsidR="002625A0" w:rsidRDefault="002625A0">
      <w:r>
        <w:continuationSeparator/>
      </w:r>
    </w:p>
    <w:p w14:paraId="3C80F055" w14:textId="77777777" w:rsidR="002625A0" w:rsidRDefault="002625A0"/>
    <w:p w14:paraId="3990B8DB" w14:textId="77777777" w:rsidR="002625A0" w:rsidRDefault="00262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1E9DB" w14:textId="77777777" w:rsidR="002625A0" w:rsidRDefault="002625A0">
      <w:r>
        <w:separator/>
      </w:r>
    </w:p>
  </w:footnote>
  <w:footnote w:type="continuationSeparator" w:id="0">
    <w:p w14:paraId="2FBAA2DB" w14:textId="77777777" w:rsidR="002625A0" w:rsidRDefault="002625A0">
      <w:pPr>
        <w:spacing w:line="180" w:lineRule="exact"/>
      </w:pPr>
      <w:r>
        <w:continuationSeparator/>
      </w:r>
    </w:p>
    <w:p w14:paraId="2606766A" w14:textId="77777777" w:rsidR="002625A0" w:rsidRDefault="002625A0"/>
    <w:p w14:paraId="60F98597" w14:textId="77777777" w:rsidR="002625A0" w:rsidRDefault="002625A0"/>
  </w:footnote>
  <w:footnote w:type="continuationNotice" w:id="1">
    <w:p w14:paraId="53F8DE0A" w14:textId="77777777" w:rsidR="002625A0" w:rsidRDefault="002625A0"/>
    <w:p w14:paraId="0D6AFF2D" w14:textId="77777777" w:rsidR="002625A0" w:rsidRDefault="002625A0"/>
    <w:p w14:paraId="5CCC1725" w14:textId="77777777" w:rsidR="002625A0" w:rsidRDefault="002625A0"/>
  </w:footnote>
  <w:footnote w:id="2">
    <w:p w14:paraId="575D685B" w14:textId="03EBE55D" w:rsidR="00EF26EA" w:rsidRPr="00CC6AC5" w:rsidRDefault="00EF26EA" w:rsidP="00EF26EA">
      <w:pPr>
        <w:pStyle w:val="FootnoteText"/>
      </w:pPr>
      <w:r w:rsidRPr="00CC6AC5">
        <w:rPr>
          <w:rStyle w:val="FootnoteReference"/>
        </w:rPr>
        <w:footnoteRef/>
      </w:r>
      <w:r w:rsidRPr="00CC6AC5">
        <w:t xml:space="preserve"> See the </w:t>
      </w:r>
      <w:hyperlink r:id="rId1" w:history="1">
        <w:r w:rsidRPr="00CC6AC5">
          <w:rPr>
            <w:rStyle w:val="Hyperlink"/>
          </w:rPr>
          <w:t>APVMA Investigations Policy, including Investigation Standards</w:t>
        </w:r>
      </w:hyperlink>
      <w:r w:rsidRPr="00CC6AC5">
        <w:t>:</w:t>
      </w:r>
    </w:p>
    <w:p w14:paraId="35793E9B" w14:textId="05FC3938" w:rsidR="00EF26EA" w:rsidRPr="00F56FC8" w:rsidRDefault="00EF26EA" w:rsidP="00EF26EA">
      <w:pPr>
        <w:pStyle w:val="FootnoteText"/>
        <w:rPr>
          <w:rFonts w:asciiTheme="majorHAnsi" w:hAnsiTheme="majorHAnsi" w:cstheme="majorHAnsi"/>
        </w:rPr>
      </w:pPr>
      <w:r w:rsidRPr="00CC6AC5">
        <w:t xml:space="preserve">An investigation is a distinct activity from steps that the APVMA may take to treat risk. For example, the APVMA may issue an enforceable direction (see </w:t>
      </w:r>
      <w:r>
        <w:t xml:space="preserve">s </w:t>
      </w:r>
      <w:r w:rsidRPr="00CC6AC5">
        <w:t>145H Agvet Code), stop supply/recall notices (see ss 101</w:t>
      </w:r>
      <w:r>
        <w:t xml:space="preserve"> to </w:t>
      </w:r>
      <w:r w:rsidRPr="00CC6AC5">
        <w:t>103 Agvet Code, substantiation notices (s 69EN Admin Act, s</w:t>
      </w:r>
      <w:r>
        <w:t xml:space="preserve"> </w:t>
      </w:r>
      <w:r w:rsidRPr="00CC6AC5">
        <w:t>145G Agvet Code)</w:t>
      </w:r>
      <w:r>
        <w:t>)</w:t>
      </w:r>
      <w:r w:rsidRPr="00CC6AC5">
        <w:t>.</w:t>
      </w:r>
    </w:p>
  </w:footnote>
  <w:footnote w:id="3">
    <w:p w14:paraId="570E2AD1" w14:textId="76F73E57" w:rsidR="00EF26EA" w:rsidRDefault="00EF26EA" w:rsidP="00CC6AC5">
      <w:pPr>
        <w:pStyle w:val="FootnoteText"/>
      </w:pPr>
      <w:r>
        <w:rPr>
          <w:rStyle w:val="FootnoteReference"/>
        </w:rPr>
        <w:footnoteRef/>
      </w:r>
      <w:r w:rsidRPr="001D5396">
        <w:t xml:space="preserve"> </w:t>
      </w:r>
      <w:r w:rsidRPr="00D8104A">
        <w:rPr>
          <w:bCs/>
          <w:color w:val="000000"/>
          <w:lang w:eastAsia="en-AU"/>
        </w:rPr>
        <w:t>Scoring is from 1</w:t>
      </w:r>
      <w:r>
        <w:rPr>
          <w:bCs/>
          <w:color w:val="000000"/>
          <w:lang w:eastAsia="en-AU"/>
        </w:rPr>
        <w:t xml:space="preserve"> to </w:t>
      </w:r>
      <w:r w:rsidRPr="00D8104A">
        <w:rPr>
          <w:bCs/>
          <w:color w:val="000000"/>
          <w:lang w:eastAsia="en-AU"/>
        </w:rPr>
        <w:t xml:space="preserve">7, where 1 is the lowest </w:t>
      </w:r>
      <w:r>
        <w:rPr>
          <w:bCs/>
          <w:color w:val="000000"/>
          <w:lang w:eastAsia="en-AU"/>
        </w:rPr>
        <w:t xml:space="preserve">risk </w:t>
      </w:r>
      <w:r w:rsidRPr="00D8104A">
        <w:rPr>
          <w:bCs/>
          <w:color w:val="000000"/>
          <w:lang w:eastAsia="en-AU"/>
        </w:rPr>
        <w:t>and 7 is the highest</w:t>
      </w:r>
      <w:r>
        <w:rPr>
          <w:bCs/>
          <w:color w:val="000000"/>
          <w:lang w:eastAsia="en-AU"/>
        </w:rPr>
        <w:t xml:space="preserve"> risk</w:t>
      </w:r>
      <w:r w:rsidRPr="00D8104A">
        <w:rPr>
          <w:bCs/>
          <w:color w:val="000000"/>
          <w:lang w:eastAsia="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A852" w14:textId="51C68A1F"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2A3239">
      <w:t>[Publication title]</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93E4" w14:textId="63126BF0" w:rsidR="00EF26EA" w:rsidRDefault="00EF26EA" w:rsidP="00EF26EA">
    <w:pPr>
      <w:pStyle w:val="OddHeader"/>
    </w:pPr>
    <w:r>
      <w:tab/>
      <w:t>Appendix</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ED3B09">
      <w:rPr>
        <w:rStyle w:val="PageNumber"/>
        <w:rFonts w:cs="Times New Roman"/>
        <w:bCs w:val="0"/>
        <w:noProof/>
        <w:szCs w:val="24"/>
      </w:rPr>
      <w:t>8</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9DD8" w14:textId="75FF2347" w:rsidR="00EF26EA" w:rsidRDefault="00EF26EA" w:rsidP="00EF26EA">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ED3B09">
      <w:rPr>
        <w:rStyle w:val="PageNumber"/>
        <w:noProof/>
        <w:szCs w:val="24"/>
      </w:rPr>
      <w:t>9</w:t>
    </w:r>
    <w:r>
      <w:rPr>
        <w:rStyle w:val="PageNumber"/>
        <w:b w:val="0"/>
        <w:caps/>
        <w:szCs w:val="24"/>
      </w:rPr>
      <w:fldChar w:fldCharType="end"/>
    </w:r>
    <w:r>
      <w:tab/>
    </w:r>
    <w:r w:rsidRPr="00EF26EA">
      <w:t>Compliance Case Categorisation and Prioritisation Model</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3B7F" w14:textId="10422722" w:rsidR="00EF26EA" w:rsidRDefault="00EF26EA" w:rsidP="00EF26EA">
    <w:pPr>
      <w:pStyle w:val="OddHeader"/>
    </w:pPr>
    <w:r>
      <w:tab/>
      <w:t>Appendix A</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ED3B09">
      <w:rPr>
        <w:rStyle w:val="PageNumber"/>
        <w:rFonts w:cs="Times New Roman"/>
        <w:bCs w:val="0"/>
        <w:noProof/>
        <w:szCs w:val="24"/>
      </w:rPr>
      <w:t>10</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924E" w14:textId="32C4E0D2" w:rsidR="00EF26EA" w:rsidRDefault="00EF26EA" w:rsidP="00EF26EA">
    <w:pPr>
      <w:pStyle w:val="OddHeader"/>
    </w:pPr>
    <w:r>
      <w:tab/>
      <w:t>Appendix B</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ED3B09">
      <w:rPr>
        <w:rStyle w:val="PageNumber"/>
        <w:rFonts w:cs="Times New Roman"/>
        <w:bCs w:val="0"/>
        <w:noProof/>
        <w:szCs w:val="24"/>
      </w:rPr>
      <w:t>12</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B56A" w14:textId="4A723E50" w:rsidR="00EF26EA" w:rsidRDefault="00EF26EA" w:rsidP="00EF26EA">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ED3B09">
      <w:rPr>
        <w:rStyle w:val="PageNumber"/>
        <w:noProof/>
        <w:szCs w:val="24"/>
      </w:rPr>
      <w:t>11</w:t>
    </w:r>
    <w:r>
      <w:rPr>
        <w:rStyle w:val="PageNumber"/>
        <w:b w:val="0"/>
        <w:caps/>
        <w:szCs w:val="24"/>
      </w:rPr>
      <w:fldChar w:fldCharType="end"/>
    </w:r>
    <w:r>
      <w:tab/>
    </w:r>
    <w:r w:rsidRPr="00EF26EA">
      <w:t>Compliance Case Categorisation and Prioritisation Model</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61EC72BE"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ED3B09">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9083" w14:textId="77777777" w:rsidR="00EF26EA" w:rsidRDefault="00EF26EA" w:rsidP="00EF26E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iii</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02C5" w14:textId="2128828A" w:rsidR="00EF26EA" w:rsidRDefault="00EF26EA" w:rsidP="00EF26EA">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ED3B09">
      <w:rPr>
        <w:rStyle w:val="PageNumber"/>
        <w:noProof/>
        <w:szCs w:val="24"/>
      </w:rPr>
      <w:t>1</w:t>
    </w:r>
    <w:r>
      <w:rPr>
        <w:rStyle w:val="PageNumber"/>
        <w:b w:val="0"/>
        <w:caps/>
        <w:szCs w:val="24"/>
      </w:rPr>
      <w:fldChar w:fldCharType="end"/>
    </w:r>
    <w:r>
      <w:tab/>
    </w:r>
    <w:r w:rsidRPr="00EF26EA">
      <w:t>Compliance Case Categorisation and Prioritisation Model</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A52D" w14:textId="5B21ADF2" w:rsidR="00EF26EA" w:rsidRDefault="00EF26EA" w:rsidP="00EF26EA">
    <w:pPr>
      <w:pStyle w:val="OddHeader"/>
    </w:pPr>
    <w:r>
      <w:tab/>
      <w:t>The Case Assessment Group</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ED3B09">
      <w:rPr>
        <w:rStyle w:val="PageNumber"/>
        <w:rFonts w:cs="Times New Roman"/>
        <w:bCs w:val="0"/>
        <w:noProof/>
        <w:szCs w:val="24"/>
      </w:rPr>
      <w:t>2</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B4D1" w14:textId="77777777" w:rsidR="00EF26EA" w:rsidRDefault="00EF26E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iii</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2590" w14:textId="0F79C865" w:rsidR="00EF26EA" w:rsidRDefault="00EF26EA" w:rsidP="00EF26EA">
    <w:pPr>
      <w:pStyle w:val="OddHeader"/>
    </w:pPr>
    <w:r>
      <w:tab/>
      <w:t>The CCPM</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ED3B09">
      <w:rPr>
        <w:rStyle w:val="PageNumber"/>
        <w:rFonts w:cs="Times New Roman"/>
        <w:bCs w:val="0"/>
        <w:noProof/>
        <w:szCs w:val="24"/>
      </w:rPr>
      <w:t>4</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CC33" w14:textId="48E34A7D" w:rsidR="00EF26EA" w:rsidRDefault="00EF26EA" w:rsidP="00EF26EA">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ED3B09">
      <w:rPr>
        <w:rStyle w:val="PageNumber"/>
        <w:noProof/>
        <w:szCs w:val="24"/>
      </w:rPr>
      <w:t>7</w:t>
    </w:r>
    <w:r>
      <w:rPr>
        <w:rStyle w:val="PageNumber"/>
        <w:b w:val="0"/>
        <w:caps/>
        <w:szCs w:val="24"/>
      </w:rPr>
      <w:fldChar w:fldCharType="end"/>
    </w:r>
    <w:r>
      <w:tab/>
    </w:r>
    <w:r w:rsidRPr="00EF26EA">
      <w:t>Compliance Case Categorisation and Prioritisation Model</w:t>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E4F3" w14:textId="21E0BF29" w:rsidR="00EF26EA" w:rsidRDefault="00EF26EA" w:rsidP="00EF26EA">
    <w:pPr>
      <w:pStyle w:val="OddHeader"/>
    </w:pPr>
    <w:r>
      <w:tab/>
      <w:t>Enduring priorities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ED3B09">
      <w:rPr>
        <w:rStyle w:val="PageNumber"/>
        <w:rFonts w:cs="Times New Roman"/>
        <w:bCs w:val="0"/>
        <w:noProof/>
        <w:szCs w:val="24"/>
      </w:rPr>
      <w:t>6</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BF4A0F"/>
    <w:multiLevelType w:val="multilevel"/>
    <w:tmpl w:val="1DFCD470"/>
    <w:lvl w:ilvl="0">
      <w:start w:val="1"/>
      <w:numFmt w:val="bullet"/>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A130F9B"/>
    <w:multiLevelType w:val="multilevel"/>
    <w:tmpl w:val="B428FBB0"/>
    <w:lvl w:ilvl="0">
      <w:start w:val="1"/>
      <w:numFmt w:val="bullet"/>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17"/>
  </w:num>
  <w:num w:numId="4">
    <w:abstractNumId w:val="18"/>
  </w:num>
  <w:num w:numId="5">
    <w:abstractNumId w:val="17"/>
  </w:num>
  <w:num w:numId="6">
    <w:abstractNumId w:val="21"/>
  </w:num>
  <w:num w:numId="7">
    <w:abstractNumId w:val="19"/>
  </w:num>
  <w:num w:numId="8">
    <w:abstractNumId w:val="12"/>
  </w:num>
  <w:num w:numId="9">
    <w:abstractNumId w:val="10"/>
  </w:num>
  <w:num w:numId="10">
    <w:abstractNumId w:val="14"/>
  </w:num>
  <w:num w:numId="11">
    <w:abstractNumId w:val="16"/>
  </w:num>
  <w:num w:numId="12">
    <w:abstractNumId w:val="21"/>
  </w:num>
  <w:num w:numId="13">
    <w:abstractNumId w:val="21"/>
  </w:num>
  <w:num w:numId="14">
    <w:abstractNumId w:val="17"/>
  </w:num>
  <w:num w:numId="15">
    <w:abstractNumId w:val="12"/>
  </w:num>
  <w:num w:numId="16">
    <w:abstractNumId w:val="18"/>
  </w:num>
  <w:num w:numId="17">
    <w:abstractNumId w:val="10"/>
  </w:num>
  <w:num w:numId="18">
    <w:abstractNumId w:val="14"/>
  </w:num>
  <w:num w:numId="19">
    <w:abstractNumId w:val="20"/>
  </w:num>
  <w:num w:numId="20">
    <w:abstractNumId w:val="23"/>
  </w:num>
  <w:num w:numId="21">
    <w:abstractNumId w:val="13"/>
  </w:num>
  <w:num w:numId="22">
    <w:abstractNumId w:val="21"/>
  </w:num>
  <w:num w:numId="23">
    <w:abstractNumId w:val="21"/>
  </w:num>
  <w:num w:numId="24">
    <w:abstractNumId w:val="21"/>
  </w:num>
  <w:num w:numId="25">
    <w:abstractNumId w:val="21"/>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lvlOverride w:ilvl="0">
      <w:startOverride w:val="1"/>
    </w:lvlOverride>
    <w:lvlOverride w:ilvl="1"/>
    <w:lvlOverride w:ilvl="2"/>
    <w:lvlOverride w:ilvl="3"/>
    <w:lvlOverride w:ilvl="4"/>
    <w:lvlOverride w:ilvl="5"/>
    <w:lvlOverride w:ilvl="6"/>
    <w:lvlOverride w:ilvl="7"/>
    <w:lvlOverride w:ilvl="8"/>
  </w:num>
  <w:num w:numId="39">
    <w:abstractNumId w:val="24"/>
  </w:num>
  <w:num w:numId="40">
    <w:abstractNumId w:val="11"/>
  </w:num>
  <w:num w:numId="41">
    <w:abstractNumId w:val="22"/>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67828"/>
    <w:rsid w:val="000765C1"/>
    <w:rsid w:val="0008350E"/>
    <w:rsid w:val="00096163"/>
    <w:rsid w:val="000A7EF6"/>
    <w:rsid w:val="000C2C1B"/>
    <w:rsid w:val="000D045A"/>
    <w:rsid w:val="000D49ED"/>
    <w:rsid w:val="000D7738"/>
    <w:rsid w:val="000E372E"/>
    <w:rsid w:val="00120E00"/>
    <w:rsid w:val="001534D8"/>
    <w:rsid w:val="00167BB3"/>
    <w:rsid w:val="00174E15"/>
    <w:rsid w:val="00184190"/>
    <w:rsid w:val="00193533"/>
    <w:rsid w:val="001B335C"/>
    <w:rsid w:val="001C6607"/>
    <w:rsid w:val="001D3257"/>
    <w:rsid w:val="0025418F"/>
    <w:rsid w:val="002625A0"/>
    <w:rsid w:val="0026493F"/>
    <w:rsid w:val="00280720"/>
    <w:rsid w:val="00282A32"/>
    <w:rsid w:val="002A3239"/>
    <w:rsid w:val="002A394F"/>
    <w:rsid w:val="002A69DD"/>
    <w:rsid w:val="002B5703"/>
    <w:rsid w:val="002D7779"/>
    <w:rsid w:val="002E20AC"/>
    <w:rsid w:val="002F4591"/>
    <w:rsid w:val="0030255E"/>
    <w:rsid w:val="0031487D"/>
    <w:rsid w:val="00347883"/>
    <w:rsid w:val="003506C5"/>
    <w:rsid w:val="00381544"/>
    <w:rsid w:val="00393E2F"/>
    <w:rsid w:val="003A558F"/>
    <w:rsid w:val="003C0891"/>
    <w:rsid w:val="004070E1"/>
    <w:rsid w:val="0041228F"/>
    <w:rsid w:val="0041559F"/>
    <w:rsid w:val="00444045"/>
    <w:rsid w:val="00444FF1"/>
    <w:rsid w:val="004616C8"/>
    <w:rsid w:val="00461D26"/>
    <w:rsid w:val="00470304"/>
    <w:rsid w:val="00473575"/>
    <w:rsid w:val="0049603E"/>
    <w:rsid w:val="004D2C4F"/>
    <w:rsid w:val="005064D5"/>
    <w:rsid w:val="00515F30"/>
    <w:rsid w:val="00520963"/>
    <w:rsid w:val="00522E27"/>
    <w:rsid w:val="00551DE0"/>
    <w:rsid w:val="005527B9"/>
    <w:rsid w:val="00556804"/>
    <w:rsid w:val="00560E83"/>
    <w:rsid w:val="00563297"/>
    <w:rsid w:val="00566590"/>
    <w:rsid w:val="00572131"/>
    <w:rsid w:val="005D1A47"/>
    <w:rsid w:val="006110AE"/>
    <w:rsid w:val="0062466B"/>
    <w:rsid w:val="00643052"/>
    <w:rsid w:val="0064579C"/>
    <w:rsid w:val="00657A28"/>
    <w:rsid w:val="006C08BC"/>
    <w:rsid w:val="006E2753"/>
    <w:rsid w:val="006E33F7"/>
    <w:rsid w:val="00700C27"/>
    <w:rsid w:val="00702B7D"/>
    <w:rsid w:val="007275CF"/>
    <w:rsid w:val="00734103"/>
    <w:rsid w:val="00754872"/>
    <w:rsid w:val="00770B96"/>
    <w:rsid w:val="00794B71"/>
    <w:rsid w:val="0079772A"/>
    <w:rsid w:val="007A27EB"/>
    <w:rsid w:val="007D2FA8"/>
    <w:rsid w:val="007E13F3"/>
    <w:rsid w:val="007E420B"/>
    <w:rsid w:val="007F0146"/>
    <w:rsid w:val="00832D38"/>
    <w:rsid w:val="008362F6"/>
    <w:rsid w:val="008366A3"/>
    <w:rsid w:val="00847050"/>
    <w:rsid w:val="008545E1"/>
    <w:rsid w:val="00860B66"/>
    <w:rsid w:val="00862E63"/>
    <w:rsid w:val="00892292"/>
    <w:rsid w:val="008B550C"/>
    <w:rsid w:val="008C5C0D"/>
    <w:rsid w:val="008C6B9D"/>
    <w:rsid w:val="008E4ED4"/>
    <w:rsid w:val="008F14C4"/>
    <w:rsid w:val="0095647E"/>
    <w:rsid w:val="00972247"/>
    <w:rsid w:val="009970F6"/>
    <w:rsid w:val="009A4448"/>
    <w:rsid w:val="009A7614"/>
    <w:rsid w:val="009B6ACE"/>
    <w:rsid w:val="009D0E59"/>
    <w:rsid w:val="009D452E"/>
    <w:rsid w:val="009E2AD6"/>
    <w:rsid w:val="009F16FF"/>
    <w:rsid w:val="00A23729"/>
    <w:rsid w:val="00A2448D"/>
    <w:rsid w:val="00A35765"/>
    <w:rsid w:val="00A6283D"/>
    <w:rsid w:val="00A66116"/>
    <w:rsid w:val="00A74270"/>
    <w:rsid w:val="00A77CE7"/>
    <w:rsid w:val="00A87101"/>
    <w:rsid w:val="00AB659C"/>
    <w:rsid w:val="00AF232A"/>
    <w:rsid w:val="00B15647"/>
    <w:rsid w:val="00B27675"/>
    <w:rsid w:val="00B50074"/>
    <w:rsid w:val="00B50C6E"/>
    <w:rsid w:val="00BC5423"/>
    <w:rsid w:val="00BD021C"/>
    <w:rsid w:val="00BD2289"/>
    <w:rsid w:val="00BD55DB"/>
    <w:rsid w:val="00BD70E8"/>
    <w:rsid w:val="00C36537"/>
    <w:rsid w:val="00C53C96"/>
    <w:rsid w:val="00C73D24"/>
    <w:rsid w:val="00C916C6"/>
    <w:rsid w:val="00C95323"/>
    <w:rsid w:val="00C9656F"/>
    <w:rsid w:val="00CA17DC"/>
    <w:rsid w:val="00CC23A4"/>
    <w:rsid w:val="00CC6A6F"/>
    <w:rsid w:val="00CD6650"/>
    <w:rsid w:val="00CE275F"/>
    <w:rsid w:val="00CE456A"/>
    <w:rsid w:val="00CE7F45"/>
    <w:rsid w:val="00D10F59"/>
    <w:rsid w:val="00D23D6A"/>
    <w:rsid w:val="00D4143D"/>
    <w:rsid w:val="00D505AD"/>
    <w:rsid w:val="00D509D4"/>
    <w:rsid w:val="00D67788"/>
    <w:rsid w:val="00D874AA"/>
    <w:rsid w:val="00D9318E"/>
    <w:rsid w:val="00D942C8"/>
    <w:rsid w:val="00DB3BF5"/>
    <w:rsid w:val="00DD08E2"/>
    <w:rsid w:val="00E30533"/>
    <w:rsid w:val="00E318E3"/>
    <w:rsid w:val="00E33D53"/>
    <w:rsid w:val="00E35DE7"/>
    <w:rsid w:val="00E41FED"/>
    <w:rsid w:val="00E70840"/>
    <w:rsid w:val="00E97570"/>
    <w:rsid w:val="00EA511C"/>
    <w:rsid w:val="00ED3B09"/>
    <w:rsid w:val="00EE297E"/>
    <w:rsid w:val="00EE5B09"/>
    <w:rsid w:val="00EF26EA"/>
    <w:rsid w:val="00F0383D"/>
    <w:rsid w:val="00F30BDA"/>
    <w:rsid w:val="00F51AA7"/>
    <w:rsid w:val="00F56C76"/>
    <w:rsid w:val="00F6733A"/>
    <w:rsid w:val="00F916A0"/>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99"/>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qFormat/>
    <w:rsid w:val="006E33F7"/>
    <w:pPr>
      <w:numPr>
        <w:numId w:val="8"/>
      </w:numPr>
      <w:spacing w:before="60"/>
    </w:pPr>
  </w:style>
  <w:style w:type="character" w:styleId="FootnoteReference">
    <w:name w:val="footnote reference"/>
    <w:uiPriority w:val="99"/>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character" w:customStyle="1" w:styleId="FootnoteTextChar">
    <w:name w:val="Footnote Text Char"/>
    <w:aliases w:val="APVMA_Footnote Char"/>
    <w:basedOn w:val="DefaultParagraphFont"/>
    <w:link w:val="FootnoteText"/>
    <w:uiPriority w:val="99"/>
    <w:semiHidden/>
    <w:rsid w:val="00EF26EA"/>
    <w:rPr>
      <w:rFonts w:ascii="Arial" w:hAnsi="Arial" w:cs="Arial"/>
      <w:color w:val="1A1B1A" w:themeColor="text1" w:themeShade="80"/>
      <w:spacing w:val="6"/>
      <w:kern w:val="20"/>
      <w:sz w:val="16"/>
      <w:u w:color="000000"/>
      <w:lang w:eastAsia="en-US"/>
    </w:rPr>
  </w:style>
  <w:style w:type="paragraph" w:customStyle="1" w:styleId="Bullet3">
    <w:name w:val="Bullet3"/>
    <w:basedOn w:val="Normal"/>
    <w:qFormat/>
    <w:rsid w:val="00EF26EA"/>
    <w:pPr>
      <w:numPr>
        <w:numId w:val="41"/>
      </w:numPr>
      <w:spacing w:before="240" w:after="0" w:line="240" w:lineRule="auto"/>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700006001">
      <w:bodyDiv w:val="1"/>
      <w:marLeft w:val="0"/>
      <w:marRight w:val="0"/>
      <w:marTop w:val="0"/>
      <w:marBottom w:val="0"/>
      <w:divBdr>
        <w:top w:val="none" w:sz="0" w:space="0" w:color="auto"/>
        <w:left w:val="none" w:sz="0" w:space="0" w:color="auto"/>
        <w:bottom w:val="none" w:sz="0" w:space="0" w:color="auto"/>
        <w:right w:val="none" w:sz="0" w:space="0" w:color="auto"/>
      </w:divBdr>
      <w:divsChild>
        <w:div w:id="621883130">
          <w:marLeft w:val="0"/>
          <w:marRight w:val="0"/>
          <w:marTop w:val="0"/>
          <w:marBottom w:val="0"/>
          <w:divBdr>
            <w:top w:val="none" w:sz="0" w:space="0" w:color="auto"/>
            <w:left w:val="none" w:sz="0" w:space="0" w:color="auto"/>
            <w:bottom w:val="none" w:sz="0" w:space="0" w:color="auto"/>
            <w:right w:val="none" w:sz="0" w:space="0" w:color="auto"/>
          </w:divBdr>
          <w:divsChild>
            <w:div w:id="1556163691">
              <w:marLeft w:val="0"/>
              <w:marRight w:val="0"/>
              <w:marTop w:val="0"/>
              <w:marBottom w:val="0"/>
              <w:divBdr>
                <w:top w:val="none" w:sz="0" w:space="0" w:color="auto"/>
                <w:left w:val="none" w:sz="0" w:space="0" w:color="auto"/>
                <w:bottom w:val="none" w:sz="0" w:space="0" w:color="auto"/>
                <w:right w:val="none" w:sz="0" w:space="0" w:color="auto"/>
              </w:divBdr>
              <w:divsChild>
                <w:div w:id="820385616">
                  <w:marLeft w:val="0"/>
                  <w:marRight w:val="0"/>
                  <w:marTop w:val="0"/>
                  <w:marBottom w:val="0"/>
                  <w:divBdr>
                    <w:top w:val="none" w:sz="0" w:space="0" w:color="auto"/>
                    <w:left w:val="none" w:sz="0" w:space="0" w:color="auto"/>
                    <w:bottom w:val="none" w:sz="0" w:space="0" w:color="auto"/>
                    <w:right w:val="none" w:sz="0" w:space="0" w:color="auto"/>
                  </w:divBdr>
                  <w:divsChild>
                    <w:div w:id="19314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6.xml"/><Relationship Id="rId39" Type="http://schemas.openxmlformats.org/officeDocument/2006/relationships/header" Target="header11.xml"/><Relationship Id="rId21" Type="http://schemas.openxmlformats.org/officeDocument/2006/relationships/hyperlink" Target="https://deregulation.pmc.gov.au/priorities/regulator-best-practice-and-performance/regulator-performance-guide" TargetMode="External"/><Relationship Id="rId34" Type="http://schemas.openxmlformats.org/officeDocument/2006/relationships/header" Target="header8.xml"/><Relationship Id="rId42" Type="http://schemas.openxmlformats.org/officeDocument/2006/relationships/header" Target="header1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9" Type="http://schemas.openxmlformats.org/officeDocument/2006/relationships/hyperlink" Target="https://www.irac-online.org/modes-of-ac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ag.gov.au/RightsAndProtections/FOI/Documents/AGIS%202011.pdf" TargetMode="External"/><Relationship Id="rId32" Type="http://schemas.openxmlformats.org/officeDocument/2006/relationships/hyperlink" Target="https://www.nationalsecurity.gov.au/Securityandyourcommunity/ChemicalSecurity/Pages/default.aspx" TargetMode="External"/><Relationship Id="rId37" Type="http://schemas.openxmlformats.org/officeDocument/2006/relationships/image" Target="media/image5.png"/><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eader" Target="header4.xml"/><Relationship Id="rId28" Type="http://schemas.openxmlformats.org/officeDocument/2006/relationships/hyperlink" Target="https://apvma.gov.au/chemicals-and-products/chemical-review/listing?field_cr_status_tid=5729" TargetMode="External"/><Relationship Id="rId36"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yperlink" Target="https://www.amr.gov.au/file/1316/download?token=igIp8VA3"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3.xml"/><Relationship Id="rId27" Type="http://schemas.openxmlformats.org/officeDocument/2006/relationships/hyperlink" Target="https://www.legislation.gov.au/Series/C2004A04723" TargetMode="External"/><Relationship Id="rId30" Type="http://schemas.openxmlformats.org/officeDocument/2006/relationships/hyperlink" Target="https://www.who.int/foodsafety/areas_work/antimicrobial-resistance/cia/en/" TargetMode="External"/><Relationship Id="rId35" Type="http://schemas.openxmlformats.org/officeDocument/2006/relationships/hyperlink" Target="https://www.cdpp.gov.au/prosecution-process/prosecution-policy" TargetMode="External"/><Relationship Id="rId43" Type="http://schemas.openxmlformats.org/officeDocument/2006/relationships/header" Target="header1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header" Target="header10.xml"/><Relationship Id="rId20" Type="http://schemas.openxmlformats.org/officeDocument/2006/relationships/footer" Target="footer1.xml"/><Relationship Id="rId41" Type="http://schemas.openxmlformats.org/officeDocument/2006/relationships/header" Target="header12.xml"/></Relationships>
</file>

<file path=word/_rels/footnotes.xml.rels><?xml version="1.0" encoding="UTF-8" standalone="yes"?>
<Relationships xmlns="http://schemas.openxmlformats.org/package/2006/relationships"><Relationship Id="rId1" Type="http://schemas.openxmlformats.org/officeDocument/2006/relationships/hyperlink" Target="https://apvma.gov.au/node/315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A2389825</value>
    </field>
    <field name="Objective-Title">
      <value order="0">Compliance Case Categorisation and Prioritisation Model</value>
    </field>
    <field name="Objective-Description">
      <value order="0"/>
    </field>
    <field name="Objective-CreationStamp">
      <value order="0">2022-01-04T00:59:14Z</value>
    </field>
    <field name="Objective-IsApproved">
      <value order="0">false</value>
    </field>
    <field name="Objective-IsPublished">
      <value order="0">true</value>
    </field>
    <field name="Objective-DatePublished">
      <value order="0">2022-01-05T02:42:44Z</value>
    </field>
    <field name="Objective-ModificationStamp">
      <value order="0">2022-01-05T02:42:44Z</value>
    </field>
    <field name="Objective-Owner">
      <value order="0">Amy Elliott</value>
    </field>
    <field name="Objective-Path">
      <value order="0">APVMA:PUBLIC AFFAIRS AND COMMUNICATION:03 - Public Affairs and Communications - Digital Communications:04 - Digital Communications - Website - Publishing Records - 2020-2025:2022:001 - Nodes 71406 and 71411</value>
    </field>
    <field name="Objective-Parent">
      <value order="0">001 - Nodes 71406 and 71411</value>
    </field>
    <field name="Objective-State">
      <value order="0">Published</value>
    </field>
    <field name="Objective-VersionId">
      <value order="0">vA3630399</value>
    </field>
    <field name="Objective-Version">
      <value order="0">2.0</value>
    </field>
    <field name="Objective-VersionNumber">
      <value order="0">5</value>
    </field>
    <field name="Objective-VersionComment">
      <value order="0">Clean version returned to Coord</value>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68EC166B-58A5-4E53-82BC-19CBEF09496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3</TotalTime>
  <Pages>16</Pages>
  <Words>2445</Words>
  <Characters>16995</Characters>
  <Application>Microsoft Office Word</Application>
  <DocSecurity>0</DocSecurity>
  <Lines>435</Lines>
  <Paragraphs>335</Paragraphs>
  <ScaleCrop>false</ScaleCrop>
  <HeadingPairs>
    <vt:vector size="2" baseType="variant">
      <vt:variant>
        <vt:lpstr>Title</vt:lpstr>
      </vt:variant>
      <vt:variant>
        <vt:i4>1</vt:i4>
      </vt:variant>
    </vt:vector>
  </HeadingPairs>
  <TitlesOfParts>
    <vt:vector size="1" baseType="lpstr">
      <vt:lpstr>Compliance Case Categorisation and Prioritisation Model</vt:lpstr>
    </vt:vector>
  </TitlesOfParts>
  <Manager/>
  <Company>Australian Pesticides and Veterinary Medicines Authority</Company>
  <LinksUpToDate>false</LinksUpToDate>
  <CharactersWithSpaces>19105</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Case Categorisation and Prioritisation Model</dc:title>
  <dc:subject/>
  <dc:creator>APVMA</dc:creator>
  <cp:keywords/>
  <dc:description/>
  <cp:lastModifiedBy>ELLIOTT, Amy</cp:lastModifiedBy>
  <cp:revision>3</cp:revision>
  <cp:lastPrinted>2020-11-12T03:52:00Z</cp:lastPrinted>
  <dcterms:created xsi:type="dcterms:W3CDTF">2022-01-05T02:58:00Z</dcterms:created>
  <dcterms:modified xsi:type="dcterms:W3CDTF">2022-01-05T03:02:00Z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A2389825</vt:lpwstr>
  </property>
  <property fmtid="{D5CDD505-2E9C-101B-9397-08002B2CF9AE}" pid="4" name="Objective-Title">
    <vt:lpwstr>Compliance Case Categorisation and Prioritisation Model</vt:lpwstr>
  </property>
  <property fmtid="{D5CDD505-2E9C-101B-9397-08002B2CF9AE}" pid="5" name="Objective-Comment">
    <vt:lpwstr/>
  </property>
  <property fmtid="{D5CDD505-2E9C-101B-9397-08002B2CF9AE}" pid="6" name="Objective-CreationStamp">
    <vt:filetime>2022-01-04T01:00:11Z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2022-01-05T02:42:44Z</vt:filetime>
  </property>
  <property fmtid="{D5CDD505-2E9C-101B-9397-08002B2CF9AE}" pid="10" name="Objective-ModificationStamp">
    <vt:filetime>2022-01-05T02:42:44Z</vt:filetime>
  </property>
  <property fmtid="{D5CDD505-2E9C-101B-9397-08002B2CF9AE}" pid="11" name="Objective-Owner">
    <vt:lpwstr>Amy Elliott</vt:lpwstr>
  </property>
  <property fmtid="{D5CDD505-2E9C-101B-9397-08002B2CF9AE}" pid="12" name="Objective-Path">
    <vt:lpwstr>APVMA:PUBLIC AFFAIRS AND COMMUNICATION:03 - Public Affairs and Communications - Digital Communications:04 - Digital Communications - Website - Publishing Records - 2020-2025:2022:001 - Nodes 71406 and 71411:</vt:lpwstr>
  </property>
  <property fmtid="{D5CDD505-2E9C-101B-9397-08002B2CF9AE}" pid="13" name="Objective-Parent">
    <vt:lpwstr>001 - Nodes 71406 and 71411</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5</vt:r8>
  </property>
  <property fmtid="{D5CDD505-2E9C-101B-9397-08002B2CF9AE}" pid="17" name="Objective-VersionComment">
    <vt:lpwstr>Clean version returned to Coord</vt:lpwstr>
  </property>
  <property fmtid="{D5CDD505-2E9C-101B-9397-08002B2CF9AE}" pid="18" name="Objective-FileNumber">
    <vt:lpwstr>2021\0143</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vA3630399</vt:lpwstr>
  </property>
  <property fmtid="{D5CDD505-2E9C-101B-9397-08002B2CF9AE}" pid="23" name="Objective-Connect Creator">
    <vt:lpwstr/>
  </property>
</Properties>
</file>