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91" w:rsidRDefault="001B3354" w:rsidP="002F4591">
      <w:pPr>
        <w:pStyle w:val="APVMACoverTitle"/>
        <w:spacing w:before="1440"/>
        <w:jc w:val="center"/>
        <w:rPr>
          <w:i/>
          <w:noProof/>
          <w:sz w:val="28"/>
          <w:szCs w:val="28"/>
          <w:lang w:eastAsia="en-AU"/>
        </w:rPr>
      </w:pPr>
      <w:bookmarkStart w:id="0" w:name="_Toc168724484"/>
      <w:r>
        <w:rPr>
          <w:i/>
          <w:noProof/>
          <w:sz w:val="28"/>
          <w:szCs w:val="28"/>
          <w:lang w:eastAsia="en-AU"/>
        </w:rPr>
        <w:t xml:space="preserve"> </w:t>
      </w:r>
      <w:r w:rsidR="002F4591" w:rsidRPr="005D1A47">
        <w:rPr>
          <w:i/>
          <w:noProof/>
          <w:lang w:eastAsia="en-AU"/>
        </w:rPr>
        <w:drawing>
          <wp:inline distT="0" distB="0" distL="0" distR="0" wp14:anchorId="26C2B8A2" wp14:editId="1731EF5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2F4591" w:rsidRDefault="00193533" w:rsidP="00C9656F">
      <w:pPr>
        <w:pStyle w:val="APVMACoverTitle"/>
        <w:spacing w:before="6000"/>
        <w:jc w:val="center"/>
      </w:pPr>
      <w:r w:rsidRPr="005D1A47">
        <w:rPr>
          <w:i/>
          <w:noProof/>
          <w:sz w:val="28"/>
          <w:szCs w:val="28"/>
          <w:lang w:eastAsia="en-AU"/>
        </w:rPr>
        <w:drawing>
          <wp:inline distT="0" distB="0" distL="0" distR="0">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rsidR="00193533" w:rsidRPr="00193533" w:rsidRDefault="001B3354" w:rsidP="002F4591">
      <w:pPr>
        <w:pStyle w:val="APVMACoverTitle"/>
        <w:spacing w:before="2640"/>
        <w:jc w:val="center"/>
      </w:pPr>
      <w:r>
        <w:t>Anti-fouling paint for use on boat hulls</w:t>
      </w:r>
    </w:p>
    <w:p w:rsidR="003C0891" w:rsidRDefault="001B3354" w:rsidP="00193533">
      <w:pPr>
        <w:pStyle w:val="APVMACoverSubtitle"/>
        <w:jc w:val="center"/>
      </w:pPr>
      <w:r>
        <w:t>Environmental assessment</w:t>
      </w:r>
    </w:p>
    <w:p w:rsidR="00E41FED" w:rsidRDefault="001B3354" w:rsidP="00193533">
      <w:pPr>
        <w:pStyle w:val="APVMACoverSubtitle"/>
        <w:jc w:val="center"/>
      </w:pPr>
      <w:r>
        <w:t>March 2020</w:t>
      </w:r>
    </w:p>
    <w:p w:rsidR="00193533" w:rsidRPr="00E41FED" w:rsidRDefault="00193533" w:rsidP="00E41FED">
      <w:pPr>
        <w:pStyle w:val="APVMACoverSubtitle"/>
        <w:jc w:val="left"/>
        <w:sectPr w:rsidR="00193533" w:rsidRPr="00E41FED" w:rsidSect="008C5C0D">
          <w:pgSz w:w="11906" w:h="16838" w:code="9"/>
          <w:pgMar w:top="2127" w:right="1134" w:bottom="1134" w:left="1134" w:header="1701" w:footer="450" w:gutter="0"/>
          <w:pgNumType w:fmt="lowerRoman"/>
          <w:cols w:space="708"/>
          <w:docGrid w:linePitch="360"/>
        </w:sectPr>
      </w:pPr>
    </w:p>
    <w:p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w:t>
      </w:r>
      <w:r w:rsidR="001B3354">
        <w:rPr>
          <w:rFonts w:cs="Arial"/>
          <w:sz w:val="16"/>
          <w:szCs w:val="16"/>
          <w:lang w:eastAsia="en-AU"/>
        </w:rPr>
        <w:t>terinary Medicines Authority 2020</w:t>
      </w:r>
    </w:p>
    <w:p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3" w:history="1">
        <w:r w:rsidRPr="008545E1">
          <w:rPr>
            <w:rStyle w:val="Hyperlink"/>
            <w:rFonts w:cs="Arial"/>
            <w:sz w:val="16"/>
            <w:szCs w:val="16"/>
            <w:lang w:eastAsia="en-AU"/>
          </w:rPr>
          <w:t>summary of</w:t>
        </w:r>
        <w:r w:rsidR="008545E1" w:rsidRPr="008545E1">
          <w:rPr>
            <w:rStyle w:val="Hyperlink"/>
            <w:rFonts w:cs="Arial"/>
            <w:sz w:val="16"/>
            <w:szCs w:val="16"/>
            <w:lang w:eastAsia="en-AU"/>
          </w:rPr>
          <w:t xml:space="preserve"> the licence terms</w:t>
        </w:r>
      </w:hyperlink>
      <w:r w:rsidR="008545E1">
        <w:rPr>
          <w:rFonts w:cs="Arial"/>
          <w:sz w:val="16"/>
          <w:szCs w:val="16"/>
          <w:lang w:eastAsia="en-AU"/>
        </w:rPr>
        <w:t xml:space="preserve"> and </w:t>
      </w:r>
      <w:hyperlink r:id="rId14" w:history="1">
        <w:r w:rsidR="008545E1" w:rsidRPr="008545E1">
          <w:rPr>
            <w:rStyle w:val="Hyperlink"/>
            <w:rFonts w:cs="Arial"/>
            <w:sz w:val="16"/>
            <w:szCs w:val="16"/>
            <w:lang w:eastAsia="en-AU"/>
          </w:rPr>
          <w:t>full</w:t>
        </w:r>
        <w:r w:rsidRPr="008545E1">
          <w:rPr>
            <w:rStyle w:val="Hyperlink"/>
            <w:rFonts w:cs="Arial"/>
            <w:sz w:val="16"/>
            <w:szCs w:val="16"/>
            <w:lang w:eastAsia="en-AU"/>
          </w:rPr>
          <w:t xml:space="preserve"> licence terms</w:t>
        </w:r>
      </w:hyperlink>
      <w:r w:rsidR="008545E1">
        <w:rPr>
          <w:rFonts w:cs="Arial"/>
          <w:sz w:val="16"/>
          <w:szCs w:val="16"/>
          <w:lang w:eastAsia="en-AU"/>
        </w:rPr>
        <w:t xml:space="preserve"> are</w:t>
      </w:r>
      <w:r w:rsidRPr="005C0ACC">
        <w:rPr>
          <w:rFonts w:cs="Arial"/>
          <w:sz w:val="16"/>
          <w:szCs w:val="16"/>
          <w:lang w:eastAsia="en-AU"/>
        </w:rPr>
        <w:t xml:space="preserve"> available from</w:t>
      </w:r>
      <w:r w:rsidR="008545E1">
        <w:rPr>
          <w:rFonts w:cs="Arial"/>
          <w:sz w:val="16"/>
          <w:szCs w:val="16"/>
          <w:lang w:eastAsia="en-AU"/>
        </w:rPr>
        <w:t xml:space="preserve"> Creative Commons.</w:t>
      </w:r>
      <w:r w:rsidRPr="005C0ACC">
        <w:rPr>
          <w:rFonts w:cs="Arial"/>
          <w:sz w:val="16"/>
          <w:szCs w:val="16"/>
          <w:lang w:eastAsia="en-AU"/>
        </w:rPr>
        <w:t xml:space="preserve"> </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iStockphoto images are not covered by this Creative Commons licence. </w:t>
      </w:r>
    </w:p>
    <w:p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8545E1">
          <w:rPr>
            <w:rStyle w:val="Hyperlink"/>
            <w:rFonts w:cs="Arial"/>
            <w:sz w:val="16"/>
            <w:szCs w:val="16"/>
            <w:lang w:eastAsia="en-AU"/>
          </w:rPr>
          <w:t xml:space="preserve">Department of the Prime Minister and </w:t>
        </w:r>
        <w:r w:rsidR="008545E1" w:rsidRPr="008545E1">
          <w:rPr>
            <w:rStyle w:val="Hyperlink"/>
            <w:rFonts w:cs="Arial"/>
            <w:sz w:val="16"/>
            <w:szCs w:val="16"/>
            <w:lang w:eastAsia="en-AU"/>
          </w:rPr>
          <w:t>Cabinet website</w:t>
        </w:r>
      </w:hyperlink>
      <w:r w:rsidRPr="005C0ACC">
        <w:rPr>
          <w:rFonts w:cs="Arial"/>
          <w:sz w:val="16"/>
          <w:szCs w:val="16"/>
          <w:lang w:eastAsia="en-AU"/>
        </w:rPr>
        <w:t>.</w:t>
      </w:r>
    </w:p>
    <w:p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862E63" w:rsidRPr="005C0ACC" w:rsidRDefault="00D23D6A"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862E63" w:rsidRPr="005C0ACC" w:rsidRDefault="00FB001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rsidR="00862E63" w:rsidRPr="005C0ACC" w:rsidRDefault="001B3354"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w:t>
      </w:r>
      <w:r w:rsidR="00FB0015">
        <w:rPr>
          <w:rFonts w:cs="Arial"/>
          <w:sz w:val="16"/>
          <w:szCs w:val="16"/>
          <w:lang w:eastAsia="en-AU"/>
        </w:rPr>
        <w:t xml:space="preserve"> NSW 2001</w:t>
      </w:r>
      <w:r w:rsidR="00862E63" w:rsidRPr="005C0ACC">
        <w:rPr>
          <w:rFonts w:cs="Arial"/>
          <w:sz w:val="16"/>
          <w:szCs w:val="16"/>
          <w:lang w:eastAsia="en-AU"/>
        </w:rPr>
        <w:t xml:space="preserve"> Australia</w:t>
      </w:r>
    </w:p>
    <w:p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8545E1">
        <w:rPr>
          <w:rFonts w:cs="Arial"/>
          <w:sz w:val="16"/>
          <w:szCs w:val="16"/>
          <w:lang w:eastAsia="en-AU"/>
        </w:rPr>
        <w:t>6770 2300</w:t>
      </w:r>
    </w:p>
    <w:p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2E20AC" w:rsidRPr="002F4591" w:rsidRDefault="00862E63" w:rsidP="002F4591">
      <w:pPr>
        <w:pStyle w:val="APVMAImprintText"/>
        <w:ind w:left="-284" w:right="-330"/>
        <w:rPr>
          <w:szCs w:val="16"/>
        </w:rPr>
      </w:pPr>
      <w:r w:rsidRPr="005C0ACC">
        <w:rPr>
          <w:spacing w:val="0"/>
          <w:szCs w:val="16"/>
          <w:lang w:eastAsia="en-AU"/>
        </w:rPr>
        <w:t xml:space="preserve">This publication is available from the </w:t>
      </w:r>
      <w:hyperlink r:id="rId17" w:history="1">
        <w:r w:rsidRPr="00D23D6A">
          <w:rPr>
            <w:rStyle w:val="Hyperlink"/>
            <w:spacing w:val="0"/>
            <w:szCs w:val="16"/>
            <w:lang w:eastAsia="en-AU"/>
          </w:rPr>
          <w:t>APVMA website</w:t>
        </w:r>
      </w:hyperlink>
      <w:r w:rsidRPr="005C0ACC">
        <w:rPr>
          <w:spacing w:val="0"/>
          <w:szCs w:val="16"/>
          <w:lang w:eastAsia="en-AU"/>
        </w:rPr>
        <w:t>.</w:t>
      </w:r>
      <w:bookmarkEnd w:id="0"/>
    </w:p>
    <w:p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rsidR="002E20AC" w:rsidRPr="002A3239" w:rsidRDefault="002E20AC" w:rsidP="00D23D6A">
      <w:pPr>
        <w:pStyle w:val="TOAHeading"/>
        <w:rPr>
          <w:rFonts w:ascii="Arial" w:hAnsi="Arial"/>
          <w:sz w:val="18"/>
        </w:rPr>
      </w:pPr>
      <w:r w:rsidRPr="00FB0015">
        <w:lastRenderedPageBreak/>
        <w:t>Contents</w:t>
      </w:r>
    </w:p>
    <w:p w:rsidR="00A35467"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color w:val="53284F"/>
        </w:rPr>
        <w:fldChar w:fldCharType="begin"/>
      </w:r>
      <w:r>
        <w:rPr>
          <w:b w:val="0"/>
          <w:bCs w:val="0"/>
          <w:caps w:val="0"/>
        </w:rPr>
        <w:instrText xml:space="preserve"> TOC \o "1-3" \h \z \u </w:instrText>
      </w:r>
      <w:r>
        <w:rPr>
          <w:b w:val="0"/>
          <w:bCs w:val="0"/>
          <w:caps w:val="0"/>
          <w:color w:val="53284F"/>
        </w:rPr>
        <w:fldChar w:fldCharType="separate"/>
      </w:r>
      <w:hyperlink w:anchor="_Toc33710298" w:history="1">
        <w:r w:rsidR="00A35467" w:rsidRPr="00AF31B1">
          <w:rPr>
            <w:rStyle w:val="Hyperlink"/>
          </w:rPr>
          <w:t>1</w:t>
        </w:r>
        <w:r w:rsidR="00A35467">
          <w:rPr>
            <w:rFonts w:asciiTheme="minorHAnsi" w:eastAsiaTheme="minorEastAsia" w:hAnsiTheme="minorHAnsi" w:cstheme="minorBidi"/>
            <w:b w:val="0"/>
            <w:bCs w:val="0"/>
            <w:caps w:val="0"/>
            <w:color w:val="auto"/>
            <w:kern w:val="0"/>
            <w:sz w:val="22"/>
            <w:szCs w:val="22"/>
            <w:lang w:eastAsia="en-AU"/>
          </w:rPr>
          <w:tab/>
        </w:r>
        <w:r w:rsidR="00A35467" w:rsidRPr="00AF31B1">
          <w:rPr>
            <w:rStyle w:val="Hyperlink"/>
          </w:rPr>
          <w:t>Technical note on environmental requirements</w:t>
        </w:r>
        <w:r w:rsidR="00A35467">
          <w:rPr>
            <w:webHidden/>
          </w:rPr>
          <w:tab/>
        </w:r>
        <w:r w:rsidR="00A35467">
          <w:rPr>
            <w:webHidden/>
          </w:rPr>
          <w:fldChar w:fldCharType="begin"/>
        </w:r>
        <w:r w:rsidR="00A35467">
          <w:rPr>
            <w:webHidden/>
          </w:rPr>
          <w:instrText xml:space="preserve"> PAGEREF _Toc33710298 \h </w:instrText>
        </w:r>
        <w:r w:rsidR="00A35467">
          <w:rPr>
            <w:webHidden/>
          </w:rPr>
        </w:r>
        <w:r w:rsidR="00A35467">
          <w:rPr>
            <w:webHidden/>
          </w:rPr>
          <w:fldChar w:fldCharType="separate"/>
        </w:r>
        <w:r w:rsidR="00D6771A">
          <w:rPr>
            <w:webHidden/>
          </w:rPr>
          <w:t>1</w:t>
        </w:r>
        <w:r w:rsidR="00A35467">
          <w:rPr>
            <w:webHidden/>
          </w:rPr>
          <w:fldChar w:fldCharType="end"/>
        </w:r>
      </w:hyperlink>
    </w:p>
    <w:p w:rsidR="00A35467" w:rsidRDefault="00A35467">
      <w:pPr>
        <w:pStyle w:val="TOC2"/>
        <w:rPr>
          <w:rFonts w:asciiTheme="minorHAnsi" w:eastAsiaTheme="minorEastAsia" w:hAnsiTheme="minorHAnsi" w:cstheme="minorBidi"/>
          <w:b w:val="0"/>
          <w:color w:val="auto"/>
          <w:sz w:val="22"/>
          <w:szCs w:val="22"/>
          <w:lang w:eastAsia="en-AU"/>
        </w:rPr>
      </w:pPr>
      <w:hyperlink w:anchor="_Toc33710299" w:history="1">
        <w:r w:rsidRPr="00AF31B1">
          <w:rPr>
            <w:rStyle w:val="Hyperlink"/>
            <w:rFonts w:ascii="Trebuchet MS" w:hAnsi="Trebuchet MS"/>
          </w:rPr>
          <w:t>1.1</w:t>
        </w:r>
        <w:r>
          <w:rPr>
            <w:rFonts w:asciiTheme="minorHAnsi" w:eastAsiaTheme="minorEastAsia" w:hAnsiTheme="minorHAnsi" w:cstheme="minorBidi"/>
            <w:b w:val="0"/>
            <w:color w:val="auto"/>
            <w:sz w:val="22"/>
            <w:szCs w:val="22"/>
            <w:lang w:eastAsia="en-AU"/>
          </w:rPr>
          <w:tab/>
        </w:r>
        <w:r w:rsidRPr="00AF31B1">
          <w:rPr>
            <w:rStyle w:val="Hyperlink"/>
          </w:rPr>
          <w:t>Methodology</w:t>
        </w:r>
        <w:r>
          <w:rPr>
            <w:webHidden/>
          </w:rPr>
          <w:tab/>
        </w:r>
        <w:r>
          <w:rPr>
            <w:webHidden/>
          </w:rPr>
          <w:fldChar w:fldCharType="begin"/>
        </w:r>
        <w:r>
          <w:rPr>
            <w:webHidden/>
          </w:rPr>
          <w:instrText xml:space="preserve"> PAGEREF _Toc33710299 \h </w:instrText>
        </w:r>
        <w:r>
          <w:rPr>
            <w:webHidden/>
          </w:rPr>
        </w:r>
        <w:r>
          <w:rPr>
            <w:webHidden/>
          </w:rPr>
          <w:fldChar w:fldCharType="separate"/>
        </w:r>
        <w:r w:rsidR="00D6771A">
          <w:rPr>
            <w:webHidden/>
          </w:rPr>
          <w:t>1</w:t>
        </w:r>
        <w:r>
          <w:rPr>
            <w:webHidden/>
          </w:rPr>
          <w:fldChar w:fldCharType="end"/>
        </w:r>
      </w:hyperlink>
    </w:p>
    <w:p w:rsidR="00A35467" w:rsidRDefault="00A35467">
      <w:pPr>
        <w:pStyle w:val="TOC2"/>
        <w:rPr>
          <w:rFonts w:asciiTheme="minorHAnsi" w:eastAsiaTheme="minorEastAsia" w:hAnsiTheme="minorHAnsi" w:cstheme="minorBidi"/>
          <w:b w:val="0"/>
          <w:color w:val="auto"/>
          <w:sz w:val="22"/>
          <w:szCs w:val="22"/>
          <w:lang w:eastAsia="en-AU"/>
        </w:rPr>
      </w:pPr>
      <w:hyperlink w:anchor="_Toc33710300" w:history="1">
        <w:r w:rsidRPr="00AF31B1">
          <w:rPr>
            <w:rStyle w:val="Hyperlink"/>
            <w:rFonts w:ascii="Trebuchet MS" w:hAnsi="Trebuchet MS"/>
          </w:rPr>
          <w:t>1.2</w:t>
        </w:r>
        <w:r>
          <w:rPr>
            <w:rFonts w:asciiTheme="minorHAnsi" w:eastAsiaTheme="minorEastAsia" w:hAnsiTheme="minorHAnsi" w:cstheme="minorBidi"/>
            <w:b w:val="0"/>
            <w:color w:val="auto"/>
            <w:sz w:val="22"/>
            <w:szCs w:val="22"/>
            <w:lang w:eastAsia="en-AU"/>
          </w:rPr>
          <w:tab/>
        </w:r>
        <w:r w:rsidRPr="00AF31B1">
          <w:rPr>
            <w:rStyle w:val="Hyperlink"/>
          </w:rPr>
          <w:t>Settings for the environment</w:t>
        </w:r>
        <w:r>
          <w:rPr>
            <w:webHidden/>
          </w:rPr>
          <w:tab/>
        </w:r>
        <w:r>
          <w:rPr>
            <w:webHidden/>
          </w:rPr>
          <w:fldChar w:fldCharType="begin"/>
        </w:r>
        <w:r>
          <w:rPr>
            <w:webHidden/>
          </w:rPr>
          <w:instrText xml:space="preserve"> PAGEREF _Toc33710300 \h </w:instrText>
        </w:r>
        <w:r>
          <w:rPr>
            <w:webHidden/>
          </w:rPr>
        </w:r>
        <w:r>
          <w:rPr>
            <w:webHidden/>
          </w:rPr>
          <w:fldChar w:fldCharType="separate"/>
        </w:r>
        <w:r w:rsidR="00D6771A">
          <w:rPr>
            <w:webHidden/>
          </w:rPr>
          <w:t>1</w:t>
        </w:r>
        <w:r>
          <w:rPr>
            <w:webHidden/>
          </w:rPr>
          <w:fldChar w:fldCharType="end"/>
        </w:r>
      </w:hyperlink>
    </w:p>
    <w:p w:rsidR="00A35467" w:rsidRDefault="00A35467">
      <w:pPr>
        <w:pStyle w:val="TOC2"/>
        <w:rPr>
          <w:rFonts w:asciiTheme="minorHAnsi" w:eastAsiaTheme="minorEastAsia" w:hAnsiTheme="minorHAnsi" w:cstheme="minorBidi"/>
          <w:b w:val="0"/>
          <w:color w:val="auto"/>
          <w:sz w:val="22"/>
          <w:szCs w:val="22"/>
          <w:lang w:eastAsia="en-AU"/>
        </w:rPr>
      </w:pPr>
      <w:hyperlink w:anchor="_Toc33710301" w:history="1">
        <w:r w:rsidRPr="00AF31B1">
          <w:rPr>
            <w:rStyle w:val="Hyperlink"/>
            <w:rFonts w:ascii="Trebuchet MS" w:hAnsi="Trebuchet MS"/>
          </w:rPr>
          <w:t>1.3</w:t>
        </w:r>
        <w:r>
          <w:rPr>
            <w:rFonts w:asciiTheme="minorHAnsi" w:eastAsiaTheme="minorEastAsia" w:hAnsiTheme="minorHAnsi" w:cstheme="minorBidi"/>
            <w:b w:val="0"/>
            <w:color w:val="auto"/>
            <w:sz w:val="22"/>
            <w:szCs w:val="22"/>
            <w:lang w:eastAsia="en-AU"/>
          </w:rPr>
          <w:tab/>
        </w:r>
        <w:r w:rsidRPr="00AF31B1">
          <w:rPr>
            <w:rStyle w:val="Hyperlink"/>
          </w:rPr>
          <w:t>Settings for the chemical properties</w:t>
        </w:r>
        <w:r>
          <w:rPr>
            <w:webHidden/>
          </w:rPr>
          <w:tab/>
        </w:r>
        <w:r>
          <w:rPr>
            <w:webHidden/>
          </w:rPr>
          <w:fldChar w:fldCharType="begin"/>
        </w:r>
        <w:r>
          <w:rPr>
            <w:webHidden/>
          </w:rPr>
          <w:instrText xml:space="preserve"> PAGEREF _Toc33710301 \h </w:instrText>
        </w:r>
        <w:r>
          <w:rPr>
            <w:webHidden/>
          </w:rPr>
        </w:r>
        <w:r>
          <w:rPr>
            <w:webHidden/>
          </w:rPr>
          <w:fldChar w:fldCharType="separate"/>
        </w:r>
        <w:r w:rsidR="00D6771A">
          <w:rPr>
            <w:webHidden/>
          </w:rPr>
          <w:t>2</w:t>
        </w:r>
        <w:r>
          <w:rPr>
            <w:webHidden/>
          </w:rPr>
          <w:fldChar w:fldCharType="end"/>
        </w:r>
      </w:hyperlink>
    </w:p>
    <w:p w:rsidR="00A35467" w:rsidRDefault="00A35467">
      <w:pPr>
        <w:pStyle w:val="TOC2"/>
        <w:rPr>
          <w:rFonts w:asciiTheme="minorHAnsi" w:eastAsiaTheme="minorEastAsia" w:hAnsiTheme="minorHAnsi" w:cstheme="minorBidi"/>
          <w:b w:val="0"/>
          <w:color w:val="auto"/>
          <w:sz w:val="22"/>
          <w:szCs w:val="22"/>
          <w:lang w:eastAsia="en-AU"/>
        </w:rPr>
      </w:pPr>
      <w:hyperlink w:anchor="_Toc33710302" w:history="1">
        <w:r w:rsidRPr="00AF31B1">
          <w:rPr>
            <w:rStyle w:val="Hyperlink"/>
            <w:rFonts w:ascii="Trebuchet MS" w:hAnsi="Trebuchet MS"/>
          </w:rPr>
          <w:t>1.4</w:t>
        </w:r>
        <w:r>
          <w:rPr>
            <w:rFonts w:asciiTheme="minorHAnsi" w:eastAsiaTheme="minorEastAsia" w:hAnsiTheme="minorHAnsi" w:cstheme="minorBidi"/>
            <w:b w:val="0"/>
            <w:color w:val="auto"/>
            <w:sz w:val="22"/>
            <w:szCs w:val="22"/>
            <w:lang w:eastAsia="en-AU"/>
          </w:rPr>
          <w:tab/>
        </w:r>
        <w:r w:rsidRPr="00AF31B1">
          <w:rPr>
            <w:rStyle w:val="Hyperlink"/>
          </w:rPr>
          <w:t>Settings for the release of the active constituent</w:t>
        </w:r>
        <w:r>
          <w:rPr>
            <w:webHidden/>
          </w:rPr>
          <w:tab/>
        </w:r>
        <w:r>
          <w:rPr>
            <w:webHidden/>
          </w:rPr>
          <w:fldChar w:fldCharType="begin"/>
        </w:r>
        <w:r>
          <w:rPr>
            <w:webHidden/>
          </w:rPr>
          <w:instrText xml:space="preserve"> PAGEREF _Toc33710302 \h </w:instrText>
        </w:r>
        <w:r>
          <w:rPr>
            <w:webHidden/>
          </w:rPr>
        </w:r>
        <w:r>
          <w:rPr>
            <w:webHidden/>
          </w:rPr>
          <w:fldChar w:fldCharType="separate"/>
        </w:r>
        <w:r w:rsidR="00D6771A">
          <w:rPr>
            <w:webHidden/>
          </w:rPr>
          <w:t>2</w:t>
        </w:r>
        <w:r>
          <w:rPr>
            <w:webHidden/>
          </w:rPr>
          <w:fldChar w:fldCharType="end"/>
        </w:r>
      </w:hyperlink>
    </w:p>
    <w:p w:rsidR="00A35467" w:rsidRDefault="00A35467">
      <w:pPr>
        <w:pStyle w:val="TOC2"/>
        <w:rPr>
          <w:rFonts w:asciiTheme="minorHAnsi" w:eastAsiaTheme="minorEastAsia" w:hAnsiTheme="minorHAnsi" w:cstheme="minorBidi"/>
          <w:b w:val="0"/>
          <w:color w:val="auto"/>
          <w:sz w:val="22"/>
          <w:szCs w:val="22"/>
          <w:lang w:eastAsia="en-AU"/>
        </w:rPr>
      </w:pPr>
      <w:hyperlink w:anchor="_Toc33710303" w:history="1">
        <w:r w:rsidRPr="00AF31B1">
          <w:rPr>
            <w:rStyle w:val="Hyperlink"/>
            <w:rFonts w:ascii="Trebuchet MS" w:hAnsi="Trebuchet MS"/>
          </w:rPr>
          <w:t>1.5</w:t>
        </w:r>
        <w:r>
          <w:rPr>
            <w:rFonts w:asciiTheme="minorHAnsi" w:eastAsiaTheme="minorEastAsia" w:hAnsiTheme="minorHAnsi" w:cstheme="minorBidi"/>
            <w:b w:val="0"/>
            <w:color w:val="auto"/>
            <w:sz w:val="22"/>
            <w:szCs w:val="22"/>
            <w:lang w:eastAsia="en-AU"/>
          </w:rPr>
          <w:tab/>
        </w:r>
        <w:r w:rsidRPr="00AF31B1">
          <w:rPr>
            <w:rStyle w:val="Hyperlink"/>
          </w:rPr>
          <w:t>Determination of release rate of active constituent from product-specific parameters</w:t>
        </w:r>
        <w:r>
          <w:rPr>
            <w:webHidden/>
          </w:rPr>
          <w:tab/>
        </w:r>
        <w:r>
          <w:rPr>
            <w:webHidden/>
          </w:rPr>
          <w:fldChar w:fldCharType="begin"/>
        </w:r>
        <w:r>
          <w:rPr>
            <w:webHidden/>
          </w:rPr>
          <w:instrText xml:space="preserve"> PAGEREF _Toc33710303 \h </w:instrText>
        </w:r>
        <w:r>
          <w:rPr>
            <w:webHidden/>
          </w:rPr>
        </w:r>
        <w:r>
          <w:rPr>
            <w:webHidden/>
          </w:rPr>
          <w:fldChar w:fldCharType="separate"/>
        </w:r>
        <w:r w:rsidR="00D6771A">
          <w:rPr>
            <w:webHidden/>
          </w:rPr>
          <w:t>3</w:t>
        </w:r>
        <w:r>
          <w:rPr>
            <w:webHidden/>
          </w:rPr>
          <w:fldChar w:fldCharType="end"/>
        </w:r>
      </w:hyperlink>
    </w:p>
    <w:p w:rsidR="00A35467" w:rsidRDefault="00A35467">
      <w:pPr>
        <w:pStyle w:val="TOC2"/>
        <w:rPr>
          <w:rFonts w:asciiTheme="minorHAnsi" w:eastAsiaTheme="minorEastAsia" w:hAnsiTheme="minorHAnsi" w:cstheme="minorBidi"/>
          <w:b w:val="0"/>
          <w:color w:val="auto"/>
          <w:sz w:val="22"/>
          <w:szCs w:val="22"/>
          <w:lang w:eastAsia="en-AU"/>
        </w:rPr>
      </w:pPr>
      <w:hyperlink w:anchor="_Toc33710304" w:history="1">
        <w:r w:rsidRPr="00AF31B1">
          <w:rPr>
            <w:rStyle w:val="Hyperlink"/>
            <w:rFonts w:ascii="Trebuchet MS" w:hAnsi="Trebuchet MS"/>
          </w:rPr>
          <w:t>1.6</w:t>
        </w:r>
        <w:r>
          <w:rPr>
            <w:rFonts w:asciiTheme="minorHAnsi" w:eastAsiaTheme="minorEastAsia" w:hAnsiTheme="minorHAnsi" w:cstheme="minorBidi"/>
            <w:b w:val="0"/>
            <w:color w:val="auto"/>
            <w:sz w:val="22"/>
            <w:szCs w:val="22"/>
            <w:lang w:eastAsia="en-AU"/>
          </w:rPr>
          <w:tab/>
        </w:r>
        <w:r w:rsidRPr="00AF31B1">
          <w:rPr>
            <w:rStyle w:val="Hyperlink"/>
          </w:rPr>
          <w:t>Regulatory acceptable concentrations</w:t>
        </w:r>
        <w:r>
          <w:rPr>
            <w:webHidden/>
          </w:rPr>
          <w:tab/>
        </w:r>
        <w:r>
          <w:rPr>
            <w:webHidden/>
          </w:rPr>
          <w:fldChar w:fldCharType="begin"/>
        </w:r>
        <w:r>
          <w:rPr>
            <w:webHidden/>
          </w:rPr>
          <w:instrText xml:space="preserve"> PAGEREF _Toc33710304 \h </w:instrText>
        </w:r>
        <w:r>
          <w:rPr>
            <w:webHidden/>
          </w:rPr>
        </w:r>
        <w:r>
          <w:rPr>
            <w:webHidden/>
          </w:rPr>
          <w:fldChar w:fldCharType="separate"/>
        </w:r>
        <w:r w:rsidR="00D6771A">
          <w:rPr>
            <w:webHidden/>
          </w:rPr>
          <w:t>3</w:t>
        </w:r>
        <w:r>
          <w:rPr>
            <w:webHidden/>
          </w:rPr>
          <w:fldChar w:fldCharType="end"/>
        </w:r>
      </w:hyperlink>
    </w:p>
    <w:p w:rsidR="00A35467" w:rsidRDefault="00A35467">
      <w:pPr>
        <w:pStyle w:val="TOC3"/>
        <w:rPr>
          <w:rFonts w:asciiTheme="minorHAnsi" w:eastAsiaTheme="minorEastAsia" w:hAnsiTheme="minorHAnsi" w:cstheme="minorBidi"/>
          <w:sz w:val="22"/>
          <w:szCs w:val="22"/>
          <w:lang w:eastAsia="en-AU"/>
        </w:rPr>
      </w:pPr>
      <w:hyperlink w:anchor="_Toc33710305" w:history="1">
        <w:r w:rsidRPr="00AF31B1">
          <w:rPr>
            <w:rStyle w:val="Hyperlink"/>
          </w:rPr>
          <w:t>Terrestrial vertebrates</w:t>
        </w:r>
        <w:r>
          <w:rPr>
            <w:webHidden/>
          </w:rPr>
          <w:tab/>
        </w:r>
        <w:r>
          <w:rPr>
            <w:webHidden/>
          </w:rPr>
          <w:fldChar w:fldCharType="begin"/>
        </w:r>
        <w:r>
          <w:rPr>
            <w:webHidden/>
          </w:rPr>
          <w:instrText xml:space="preserve"> PAGEREF _Toc33710305 \h </w:instrText>
        </w:r>
        <w:r>
          <w:rPr>
            <w:webHidden/>
          </w:rPr>
        </w:r>
        <w:r>
          <w:rPr>
            <w:webHidden/>
          </w:rPr>
          <w:fldChar w:fldCharType="separate"/>
        </w:r>
        <w:r w:rsidR="00D6771A">
          <w:rPr>
            <w:webHidden/>
          </w:rPr>
          <w:t>3</w:t>
        </w:r>
        <w:r>
          <w:rPr>
            <w:webHidden/>
          </w:rPr>
          <w:fldChar w:fldCharType="end"/>
        </w:r>
      </w:hyperlink>
    </w:p>
    <w:p w:rsidR="00A35467" w:rsidRDefault="00A35467">
      <w:pPr>
        <w:pStyle w:val="TOC3"/>
        <w:rPr>
          <w:rFonts w:asciiTheme="minorHAnsi" w:eastAsiaTheme="minorEastAsia" w:hAnsiTheme="minorHAnsi" w:cstheme="minorBidi"/>
          <w:sz w:val="22"/>
          <w:szCs w:val="22"/>
          <w:lang w:eastAsia="en-AU"/>
        </w:rPr>
      </w:pPr>
      <w:hyperlink w:anchor="_Toc33710306" w:history="1">
        <w:r w:rsidRPr="00AF31B1">
          <w:rPr>
            <w:rStyle w:val="Hyperlink"/>
          </w:rPr>
          <w:t>Non-target aquatic organisms</w:t>
        </w:r>
        <w:r>
          <w:rPr>
            <w:webHidden/>
          </w:rPr>
          <w:tab/>
        </w:r>
        <w:r>
          <w:rPr>
            <w:webHidden/>
          </w:rPr>
          <w:fldChar w:fldCharType="begin"/>
        </w:r>
        <w:r>
          <w:rPr>
            <w:webHidden/>
          </w:rPr>
          <w:instrText xml:space="preserve"> PAGEREF _Toc33710306 \h </w:instrText>
        </w:r>
        <w:r>
          <w:rPr>
            <w:webHidden/>
          </w:rPr>
        </w:r>
        <w:r>
          <w:rPr>
            <w:webHidden/>
          </w:rPr>
          <w:fldChar w:fldCharType="separate"/>
        </w:r>
        <w:r w:rsidR="00D6771A">
          <w:rPr>
            <w:webHidden/>
          </w:rPr>
          <w:t>3</w:t>
        </w:r>
        <w:r>
          <w:rPr>
            <w:webHidden/>
          </w:rPr>
          <w:fldChar w:fldCharType="end"/>
        </w:r>
      </w:hyperlink>
    </w:p>
    <w:p w:rsidR="00A35467" w:rsidRDefault="00A35467">
      <w:pPr>
        <w:pStyle w:val="TOC3"/>
        <w:rPr>
          <w:rFonts w:asciiTheme="minorHAnsi" w:eastAsiaTheme="minorEastAsia" w:hAnsiTheme="minorHAnsi" w:cstheme="minorBidi"/>
          <w:sz w:val="22"/>
          <w:szCs w:val="22"/>
          <w:lang w:eastAsia="en-AU"/>
        </w:rPr>
      </w:pPr>
      <w:hyperlink w:anchor="_Toc33710307" w:history="1">
        <w:r w:rsidRPr="00AF31B1">
          <w:rPr>
            <w:rStyle w:val="Hyperlink"/>
          </w:rPr>
          <w:t>Bees and other non-target arthropods</w:t>
        </w:r>
        <w:r>
          <w:rPr>
            <w:webHidden/>
          </w:rPr>
          <w:tab/>
        </w:r>
        <w:r>
          <w:rPr>
            <w:webHidden/>
          </w:rPr>
          <w:fldChar w:fldCharType="begin"/>
        </w:r>
        <w:r>
          <w:rPr>
            <w:webHidden/>
          </w:rPr>
          <w:instrText xml:space="preserve"> PAGEREF _Toc33710307 \h </w:instrText>
        </w:r>
        <w:r>
          <w:rPr>
            <w:webHidden/>
          </w:rPr>
        </w:r>
        <w:r>
          <w:rPr>
            <w:webHidden/>
          </w:rPr>
          <w:fldChar w:fldCharType="separate"/>
        </w:r>
        <w:r w:rsidR="00D6771A">
          <w:rPr>
            <w:webHidden/>
          </w:rPr>
          <w:t>5</w:t>
        </w:r>
        <w:r>
          <w:rPr>
            <w:webHidden/>
          </w:rPr>
          <w:fldChar w:fldCharType="end"/>
        </w:r>
      </w:hyperlink>
    </w:p>
    <w:p w:rsidR="00A35467" w:rsidRDefault="00A35467">
      <w:pPr>
        <w:pStyle w:val="TOC3"/>
        <w:rPr>
          <w:rFonts w:asciiTheme="minorHAnsi" w:eastAsiaTheme="minorEastAsia" w:hAnsiTheme="minorHAnsi" w:cstheme="minorBidi"/>
          <w:sz w:val="22"/>
          <w:szCs w:val="22"/>
          <w:lang w:eastAsia="en-AU"/>
        </w:rPr>
      </w:pPr>
      <w:hyperlink w:anchor="_Toc33710308" w:history="1">
        <w:r w:rsidRPr="00AF31B1">
          <w:rPr>
            <w:rStyle w:val="Hyperlink"/>
          </w:rPr>
          <w:t>Soil organisms and non-target terrestrial plants</w:t>
        </w:r>
        <w:r>
          <w:rPr>
            <w:webHidden/>
          </w:rPr>
          <w:tab/>
        </w:r>
        <w:r>
          <w:rPr>
            <w:webHidden/>
          </w:rPr>
          <w:fldChar w:fldCharType="begin"/>
        </w:r>
        <w:r>
          <w:rPr>
            <w:webHidden/>
          </w:rPr>
          <w:instrText xml:space="preserve"> PAGEREF _Toc33710308 \h </w:instrText>
        </w:r>
        <w:r>
          <w:rPr>
            <w:webHidden/>
          </w:rPr>
        </w:r>
        <w:r>
          <w:rPr>
            <w:webHidden/>
          </w:rPr>
          <w:fldChar w:fldCharType="separate"/>
        </w:r>
        <w:r w:rsidR="00D6771A">
          <w:rPr>
            <w:webHidden/>
          </w:rPr>
          <w:t>5</w:t>
        </w:r>
        <w:r>
          <w:rPr>
            <w:webHidden/>
          </w:rPr>
          <w:fldChar w:fldCharType="end"/>
        </w:r>
      </w:hyperlink>
    </w:p>
    <w:p w:rsidR="00A35467" w:rsidRDefault="00A35467">
      <w:pPr>
        <w:pStyle w:val="TOC1"/>
        <w:rPr>
          <w:rFonts w:asciiTheme="minorHAnsi" w:eastAsiaTheme="minorEastAsia" w:hAnsiTheme="minorHAnsi" w:cstheme="minorBidi"/>
          <w:b w:val="0"/>
          <w:bCs w:val="0"/>
          <w:caps w:val="0"/>
          <w:color w:val="auto"/>
          <w:kern w:val="0"/>
          <w:sz w:val="22"/>
          <w:szCs w:val="22"/>
          <w:lang w:eastAsia="en-AU"/>
        </w:rPr>
      </w:pPr>
      <w:hyperlink w:anchor="_Toc33710309" w:history="1">
        <w:r w:rsidRPr="00AF31B1">
          <w:rPr>
            <w:rStyle w:val="Hyperlink"/>
          </w:rPr>
          <w:t>References</w:t>
        </w:r>
        <w:r>
          <w:rPr>
            <w:webHidden/>
          </w:rPr>
          <w:tab/>
        </w:r>
        <w:r>
          <w:rPr>
            <w:webHidden/>
          </w:rPr>
          <w:fldChar w:fldCharType="begin"/>
        </w:r>
        <w:r>
          <w:rPr>
            <w:webHidden/>
          </w:rPr>
          <w:instrText xml:space="preserve"> PAGEREF _Toc33710309 \h </w:instrText>
        </w:r>
        <w:r>
          <w:rPr>
            <w:webHidden/>
          </w:rPr>
        </w:r>
        <w:r>
          <w:rPr>
            <w:webHidden/>
          </w:rPr>
          <w:fldChar w:fldCharType="separate"/>
        </w:r>
        <w:r w:rsidR="00D6771A">
          <w:rPr>
            <w:webHidden/>
          </w:rPr>
          <w:t>7</w:t>
        </w:r>
        <w:r>
          <w:rPr>
            <w:webHidden/>
          </w:rPr>
          <w:fldChar w:fldCharType="end"/>
        </w:r>
      </w:hyperlink>
    </w:p>
    <w:p w:rsidR="002E20AC" w:rsidRDefault="005064D5">
      <w:pPr>
        <w:pStyle w:val="NormalText"/>
        <w:rPr>
          <w:noProof/>
        </w:rPr>
      </w:pPr>
      <w:r>
        <w:rPr>
          <w:rFonts w:ascii="Trebuchet MS" w:hAnsi="Trebuchet MS"/>
          <w:b/>
          <w:bCs/>
          <w:caps/>
          <w:noProof/>
          <w:color w:val="00747A" w:themeColor="background2"/>
          <w:szCs w:val="30"/>
        </w:rPr>
        <w:fldChar w:fldCharType="end"/>
      </w:r>
    </w:p>
    <w:p w:rsidR="00A35467" w:rsidRDefault="002E20AC" w:rsidP="00D23D6A">
      <w:pPr>
        <w:pStyle w:val="TOAHeading"/>
        <w:rPr>
          <w:noProof/>
        </w:rPr>
      </w:pPr>
      <w:r w:rsidRPr="00FB0015">
        <w:rPr>
          <w:noProof/>
        </w:rPr>
        <w:t>List of tables</w:t>
      </w:r>
      <w:r>
        <w:rPr>
          <w:noProof/>
          <w:color w:val="00747A" w:themeColor="background2"/>
        </w:rPr>
        <w:fldChar w:fldCharType="begin"/>
      </w:r>
      <w:r>
        <w:rPr>
          <w:noProof/>
        </w:rPr>
        <w:instrText xml:space="preserve"> TOC \c "Table" </w:instrText>
      </w:r>
      <w:r>
        <w:rPr>
          <w:noProof/>
          <w:color w:val="00747A" w:themeColor="background2"/>
        </w:rPr>
        <w:fldChar w:fldCharType="separate"/>
      </w:r>
    </w:p>
    <w:p w:rsidR="00A35467" w:rsidRDefault="00A35467">
      <w:pPr>
        <w:pStyle w:val="TableofFigures"/>
        <w:rPr>
          <w:rFonts w:asciiTheme="minorHAnsi" w:eastAsiaTheme="minorEastAsia" w:hAnsiTheme="minorHAnsi" w:cstheme="minorBidi"/>
          <w:sz w:val="22"/>
          <w:szCs w:val="22"/>
          <w:lang w:eastAsia="en-AU"/>
        </w:rPr>
      </w:pPr>
      <w:r>
        <w:t>Table 1:</w:t>
      </w:r>
      <w:r>
        <w:rPr>
          <w:rFonts w:asciiTheme="minorHAnsi" w:eastAsiaTheme="minorEastAsia" w:hAnsiTheme="minorHAnsi" w:cstheme="minorBidi"/>
          <w:sz w:val="22"/>
          <w:szCs w:val="22"/>
          <w:lang w:eastAsia="en-AU"/>
        </w:rPr>
        <w:tab/>
      </w:r>
      <w:r>
        <w:t>Boat hull surface area based on categories proposed by Gadd et al (2011)</w:t>
      </w:r>
      <w:r>
        <w:tab/>
      </w:r>
      <w:r>
        <w:fldChar w:fldCharType="begin"/>
      </w:r>
      <w:r>
        <w:instrText xml:space="preserve"> PAGEREF _Toc33710310 \h </w:instrText>
      </w:r>
      <w:r>
        <w:fldChar w:fldCharType="separate"/>
      </w:r>
      <w:r w:rsidR="00D6771A">
        <w:t>2</w:t>
      </w:r>
      <w:r>
        <w:fldChar w:fldCharType="end"/>
      </w:r>
    </w:p>
    <w:p w:rsidR="00A35467" w:rsidRDefault="00A35467">
      <w:pPr>
        <w:pStyle w:val="TableofFigures"/>
        <w:rPr>
          <w:rFonts w:asciiTheme="minorHAnsi" w:eastAsiaTheme="minorEastAsia" w:hAnsiTheme="minorHAnsi" w:cstheme="minorBidi"/>
          <w:sz w:val="22"/>
          <w:szCs w:val="22"/>
          <w:lang w:eastAsia="en-AU"/>
        </w:rPr>
      </w:pPr>
      <w:r>
        <w:t>Table 2:</w:t>
      </w:r>
      <w:r>
        <w:rPr>
          <w:rFonts w:asciiTheme="minorHAnsi" w:eastAsiaTheme="minorEastAsia" w:hAnsiTheme="minorHAnsi" w:cstheme="minorBidi"/>
          <w:sz w:val="22"/>
          <w:szCs w:val="22"/>
          <w:lang w:eastAsia="en-AU"/>
        </w:rPr>
        <w:tab/>
      </w:r>
      <w:r>
        <w:t>Australian large marina settings</w:t>
      </w:r>
      <w:r>
        <w:tab/>
      </w:r>
      <w:r>
        <w:fldChar w:fldCharType="begin"/>
      </w:r>
      <w:r>
        <w:instrText xml:space="preserve"> PAGEREF _Toc33710311 \h </w:instrText>
      </w:r>
      <w:r>
        <w:fldChar w:fldCharType="separate"/>
      </w:r>
      <w:r w:rsidR="00D6771A">
        <w:t>2</w:t>
      </w:r>
      <w:r>
        <w:fldChar w:fldCharType="end"/>
      </w:r>
    </w:p>
    <w:p w:rsidR="002A3239" w:rsidRDefault="002E20AC" w:rsidP="001B33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bCs/>
          <w:caps/>
          <w:noProof/>
          <w:color w:val="365860"/>
          <w:sz w:val="32"/>
          <w:szCs w:val="20"/>
        </w:rPr>
        <w:fldChar w:fldCharType="end"/>
      </w:r>
    </w:p>
    <w:p w:rsidR="002E20AC" w:rsidRDefault="001B3354" w:rsidP="008545E1">
      <w:pPr>
        <w:pStyle w:val="Heading1"/>
        <w:numPr>
          <w:ilvl w:val="0"/>
          <w:numId w:val="27"/>
        </w:numPr>
      </w:pPr>
      <w:bookmarkStart w:id="1" w:name="_Toc33710298"/>
      <w:r>
        <w:lastRenderedPageBreak/>
        <w:t>Technical note on environmental requirements</w:t>
      </w:r>
      <w:bookmarkEnd w:id="1"/>
    </w:p>
    <w:p w:rsidR="00000E1D" w:rsidRDefault="00000E1D" w:rsidP="00000E1D">
      <w:pPr>
        <w:pStyle w:val="NormalText"/>
      </w:pPr>
      <w:bookmarkStart w:id="2" w:name="_Toc414373835"/>
      <w:r w:rsidRPr="001B3354">
        <w:t>The Regulatory Acceptable Concentration (RAC) is determined from the active constituent’s toxicity to aquatic and sediment dwelling species. For the determination of the Predicted Environmental Concentration (PEC), the guidance needs to be based on the release rate of active constituent form the painted surface (µg/cm</w:t>
      </w:r>
      <w:r w:rsidRPr="001B3354">
        <w:rPr>
          <w:vertAlign w:val="superscript"/>
        </w:rPr>
        <w:t>2</w:t>
      </w:r>
      <w:r w:rsidRPr="001B3354">
        <w:t xml:space="preserve">/day). The guidance could then established based on product-specific parameters. However, a guidance for each of these parameters cannot be established as they are inter-related in the determination of the outcome release rate. The </w:t>
      </w:r>
      <w:r>
        <w:t>model and methodology</w:t>
      </w:r>
      <w:r w:rsidRPr="001B3354">
        <w:t xml:space="preserve"> </w:t>
      </w:r>
      <w:r>
        <w:t xml:space="preserve">is </w:t>
      </w:r>
      <w:r w:rsidRPr="001B3354">
        <w:t>described below.</w:t>
      </w:r>
    </w:p>
    <w:p w:rsidR="001B3354" w:rsidRDefault="001B3354" w:rsidP="001B3354">
      <w:pPr>
        <w:pStyle w:val="Heading2"/>
      </w:pPr>
      <w:bookmarkStart w:id="3" w:name="_Toc33710299"/>
      <w:r>
        <w:t>Methodology</w:t>
      </w:r>
      <w:bookmarkEnd w:id="3"/>
    </w:p>
    <w:p w:rsidR="001B3354" w:rsidRPr="00FE75B3" w:rsidRDefault="001B3354" w:rsidP="001B3354">
      <w:pPr>
        <w:pStyle w:val="NormalText"/>
      </w:pPr>
      <w:r w:rsidRPr="00FE75B3">
        <w:t>The worst-case was determined to involve an Australian large marina, with application of the anti</w:t>
      </w:r>
      <w:r>
        <w:t>-</w:t>
      </w:r>
      <w:r w:rsidRPr="00FE75B3">
        <w:t xml:space="preserve">foulings to all types of </w:t>
      </w:r>
      <w:r>
        <w:t>craft including pleas</w:t>
      </w:r>
      <w:bookmarkStart w:id="4" w:name="_GoBack"/>
      <w:bookmarkEnd w:id="4"/>
      <w:r>
        <w:t>ure craft.</w:t>
      </w:r>
    </w:p>
    <w:p w:rsidR="001B3354" w:rsidRPr="00FE75B3" w:rsidRDefault="001B3354" w:rsidP="001B3354">
      <w:pPr>
        <w:pStyle w:val="NormalText"/>
      </w:pPr>
      <w:r w:rsidRPr="00FE75B3">
        <w:t>The average PEC was modelled usi</w:t>
      </w:r>
      <w:r>
        <w:t>ng MAMPEC 3.1 (van Huttum et al.</w:t>
      </w:r>
      <w:r w:rsidRPr="00FE75B3">
        <w:t xml:space="preserve"> 2017), which includes an updated hydrodynamic harbour exchange module</w:t>
      </w:r>
      <w:r>
        <w:t>.</w:t>
      </w:r>
      <w:r w:rsidRPr="00FE75B3">
        <w:t xml:space="preserve"> Thi</w:t>
      </w:r>
      <w:r>
        <w:t>s leads to a slightly lower (~6 per cent</w:t>
      </w:r>
      <w:r w:rsidRPr="00FE75B3">
        <w:t>) prediction</w:t>
      </w:r>
      <w:r>
        <w:t xml:space="preserve">s </w:t>
      </w:r>
      <w:r w:rsidRPr="00FE75B3">
        <w:t>compared to previous MAMPEC versions for the default OECD marina. The average PEC value was considered appropriate as several inp</w:t>
      </w:r>
      <w:r>
        <w:t>ut parameters are conservative.</w:t>
      </w:r>
    </w:p>
    <w:p w:rsidR="001B3354" w:rsidRPr="00FE75B3" w:rsidRDefault="001B3354" w:rsidP="001B3354">
      <w:pPr>
        <w:pStyle w:val="NormalText"/>
      </w:pPr>
      <w:r w:rsidRPr="00FE75B3">
        <w:t>The MAMPEC inputs req</w:t>
      </w:r>
      <w:r>
        <w:t>uire:</w:t>
      </w:r>
    </w:p>
    <w:p w:rsidR="001B3354" w:rsidRPr="00FE75B3" w:rsidRDefault="001B3354" w:rsidP="001B3354">
      <w:pPr>
        <w:pStyle w:val="Bullet1"/>
      </w:pPr>
      <w:r>
        <w:t>the environment (eg</w:t>
      </w:r>
      <w:r w:rsidRPr="00FE75B3">
        <w:t xml:space="preserve"> a </w:t>
      </w:r>
      <w:r>
        <w:t>marina of specific dimensions)</w:t>
      </w:r>
    </w:p>
    <w:p w:rsidR="001B3354" w:rsidRPr="00FE75B3" w:rsidRDefault="001B3354" w:rsidP="001B3354">
      <w:pPr>
        <w:pStyle w:val="Bullet1"/>
      </w:pPr>
      <w:r>
        <w:t>the chemical properties</w:t>
      </w:r>
    </w:p>
    <w:p w:rsidR="001B3354" w:rsidRPr="00FE75B3" w:rsidRDefault="001B3354" w:rsidP="001B3354">
      <w:pPr>
        <w:pStyle w:val="Bullet1"/>
      </w:pPr>
      <w:r w:rsidRPr="00FE75B3">
        <w:t>the release of the active constituent from the anti-fouling paint to determine the PEC.</w:t>
      </w:r>
    </w:p>
    <w:p w:rsidR="001B3354" w:rsidRPr="00FE75B3" w:rsidRDefault="001B3354" w:rsidP="001B3354">
      <w:pPr>
        <w:pStyle w:val="NormalText"/>
      </w:pPr>
      <w:r w:rsidRPr="00FE75B3">
        <w:t>Until more recent data w</w:t>
      </w:r>
      <w:r>
        <w:t>ere</w:t>
      </w:r>
      <w:r w:rsidRPr="00FE75B3">
        <w:t xml:space="preserve"> available from the NZ EPA (Gadd et al</w:t>
      </w:r>
      <w:r>
        <w:t>.</w:t>
      </w:r>
      <w:r w:rsidRPr="00FE75B3">
        <w:t xml:space="preserve"> 2011) and from a survey of the Australian Marina Industry (RMRC 2013)</w:t>
      </w:r>
      <w:r>
        <w:t>,</w:t>
      </w:r>
      <w:r w:rsidRPr="00FE75B3">
        <w:t xml:space="preserve"> the default OECD marina (van Huttum et al</w:t>
      </w:r>
      <w:r>
        <w:t>.</w:t>
      </w:r>
      <w:r w:rsidRPr="00FE75B3">
        <w:t xml:space="preserve"> 2017) has been used in the determinations of the PEC. The determination of settings for an Australian marina for the MAMPEC model are detailed below.</w:t>
      </w:r>
    </w:p>
    <w:p w:rsidR="001B3354" w:rsidRDefault="001B3354" w:rsidP="001B3354">
      <w:pPr>
        <w:pStyle w:val="Heading2"/>
      </w:pPr>
      <w:bookmarkStart w:id="5" w:name="_Toc33710300"/>
      <w:r>
        <w:t>Settings for the environment</w:t>
      </w:r>
      <w:bookmarkEnd w:id="5"/>
    </w:p>
    <w:p w:rsidR="001B3354" w:rsidRPr="006F6DAD" w:rsidRDefault="001B3354" w:rsidP="001B3354">
      <w:pPr>
        <w:pStyle w:val="NormalText"/>
      </w:pPr>
      <w:r w:rsidRPr="006F6DAD">
        <w:t>RMRC (2013) in its survey of marinas, classified them in three categories sm</w:t>
      </w:r>
      <w:r>
        <w:t>all, (&lt; 100 spaces), medium 100–</w:t>
      </w:r>
      <w:r w:rsidRPr="006F6DAD">
        <w:t>250, large &gt;250. Queensland had the largest marinas and had an average of 270 berths/pens and moorings, for all cate</w:t>
      </w:r>
      <w:r>
        <w:t xml:space="preserve">gories. </w:t>
      </w:r>
      <w:r w:rsidRPr="006F6DAD">
        <w:t>Based on this data a worst-case Australia Marina was determined to have 500 berths/pens and moorings. The size of the marina was then determined by comparing the ratio of the hull surface area (15 350 m</w:t>
      </w:r>
      <w:r w:rsidRPr="006F6DAD">
        <w:rPr>
          <w:vertAlign w:val="superscript"/>
        </w:rPr>
        <w:t>2</w:t>
      </w:r>
      <w:r w:rsidRPr="006F6DAD">
        <w:t>) to marina area (22 000 m</w:t>
      </w:r>
      <w:r w:rsidRPr="006F6DAD">
        <w:rPr>
          <w:vertAlign w:val="superscript"/>
        </w:rPr>
        <w:t>2</w:t>
      </w:r>
      <w:r w:rsidRPr="006F6DAD">
        <w:t>) for the OECD default marina. A factor of 1.43 was determined and this was</w:t>
      </w:r>
      <w:r>
        <w:t xml:space="preserve"> applied to Australian marinas.</w:t>
      </w:r>
    </w:p>
    <w:p w:rsidR="001B3354" w:rsidRDefault="001B3354" w:rsidP="001B3354">
      <w:pPr>
        <w:pStyle w:val="NormalText"/>
      </w:pPr>
      <w:r w:rsidRPr="006F6DAD">
        <w:t>The hull surface area for Australian marinas was determined by using the methodology described by Gadd et al</w:t>
      </w:r>
      <w:r>
        <w:t>.</w:t>
      </w:r>
      <w:r w:rsidRPr="006F6DAD">
        <w:t xml:space="preserve"> (2011), where the surface area of the hull may be estimated from the from the length and type (motor boat, sail boat, sail boat deep keel) of vessel. The vessels were c</w:t>
      </w:r>
      <w:r>
        <w:t>ombined into four categories (5–11, 12–20, 21–30 and 31–</w:t>
      </w:r>
      <w:r w:rsidRPr="006F6DAD">
        <w:t xml:space="preserve">40 m) and the average length (rounded up to the nearest metre) for each category was used to calculate the surface areas. As the each type of boat has a different length to surface ratio a weighted average was used. No </w:t>
      </w:r>
      <w:r w:rsidRPr="006F6DAD">
        <w:lastRenderedPageBreak/>
        <w:t>information is available for the proportion of sail boats which are deep keel, so a 50:50 split was assumed. However, according to RMRC (2013) the proportion of power boats to sail boats is approximately 70:30. The weighted average surface area based on each class length was calculated from the analysis by Gadd</w:t>
      </w:r>
      <w:r>
        <w:t xml:space="preserve"> et al.</w:t>
      </w:r>
      <w:r w:rsidRPr="006F6DAD">
        <w:t xml:space="preserve"> (2011) on surface area for power boats and sail boats as follows.</w:t>
      </w:r>
    </w:p>
    <w:p w:rsidR="001B3354" w:rsidRPr="006F6DAD" w:rsidRDefault="001B3354" w:rsidP="001B3354">
      <w:pPr>
        <w:pStyle w:val="NormalText"/>
      </w:pPr>
      <w:r w:rsidRPr="006F6DAD">
        <w:t>The percentage of berths/pens and moorings by length class was determined by RMRC (2013) and this was applied to the Australian worst-case marina with 500 berth/pens or moorings.</w:t>
      </w:r>
    </w:p>
    <w:p w:rsidR="001B3354" w:rsidRDefault="001B3354" w:rsidP="001B3354">
      <w:pPr>
        <w:pStyle w:val="NormalText"/>
      </w:pPr>
      <w:r w:rsidRPr="006F6DAD">
        <w:t>The marina surface area is estimated as 47300 m</w:t>
      </w:r>
      <w:r w:rsidRPr="006F6DAD">
        <w:rPr>
          <w:vertAlign w:val="superscript"/>
        </w:rPr>
        <w:t>2</w:t>
      </w:r>
      <w:r w:rsidRPr="006F6DAD">
        <w:t xml:space="preserve"> (33077 m</w:t>
      </w:r>
      <w:r w:rsidRPr="006F6DAD">
        <w:rPr>
          <w:vertAlign w:val="superscript"/>
        </w:rPr>
        <w:t>2</w:t>
      </w:r>
      <w:r w:rsidRPr="006F6DAD">
        <w:t xml:space="preserve"> × 1.43) which was modelled assuming square dimensions of 217 m (x2) × 217 m (y1).</w:t>
      </w:r>
    </w:p>
    <w:p w:rsidR="001B3354" w:rsidRDefault="001B3354" w:rsidP="001B3354">
      <w:pPr>
        <w:pStyle w:val="Caption"/>
      </w:pPr>
      <w:bookmarkStart w:id="6" w:name="_Toc33710310"/>
      <w:r>
        <w:t xml:space="preserve">Table </w:t>
      </w:r>
      <w:r>
        <w:rPr>
          <w:noProof/>
        </w:rPr>
        <w:fldChar w:fldCharType="begin"/>
      </w:r>
      <w:r>
        <w:rPr>
          <w:noProof/>
        </w:rPr>
        <w:instrText xml:space="preserve"> SEQ Table \* ARABIC </w:instrText>
      </w:r>
      <w:r>
        <w:rPr>
          <w:noProof/>
        </w:rPr>
        <w:fldChar w:fldCharType="separate"/>
      </w:r>
      <w:r w:rsidR="00D6771A">
        <w:rPr>
          <w:noProof/>
        </w:rPr>
        <w:t>1</w:t>
      </w:r>
      <w:r>
        <w:rPr>
          <w:noProof/>
        </w:rPr>
        <w:fldChar w:fldCharType="end"/>
      </w:r>
      <w:r>
        <w:t>:</w:t>
      </w:r>
      <w:r>
        <w:tab/>
        <w:t>Boat hull surface area based on categories proposed by Gadd et al (2011)</w:t>
      </w:r>
      <w:bookmarkEnd w:id="6"/>
    </w:p>
    <w:tbl>
      <w:tblPr>
        <w:tblW w:w="5000" w:type="pct"/>
        <w:tblBorders>
          <w:bottom w:val="dotted" w:sz="2" w:space="0" w:color="auto"/>
          <w:insideH w:val="dotted" w:sz="2" w:space="0" w:color="auto"/>
        </w:tblBorders>
        <w:tblLook w:val="01E0" w:firstRow="1" w:lastRow="1" w:firstColumn="1" w:lastColumn="1" w:noHBand="0" w:noVBand="0"/>
      </w:tblPr>
      <w:tblGrid>
        <w:gridCol w:w="4811"/>
        <w:gridCol w:w="4827"/>
      </w:tblGrid>
      <w:tr w:rsidR="001B3354" w:rsidTr="001B3354">
        <w:trPr>
          <w:cantSplit/>
          <w:tblHeader/>
        </w:trPr>
        <w:tc>
          <w:tcPr>
            <w:tcW w:w="2496" w:type="pct"/>
            <w:tcBorders>
              <w:bottom w:val="single" w:sz="4" w:space="0" w:color="auto"/>
            </w:tcBorders>
            <w:shd w:val="clear" w:color="auto" w:fill="5C2946"/>
            <w:vAlign w:val="center"/>
          </w:tcPr>
          <w:p w:rsidR="001B3354" w:rsidRPr="00FB0015" w:rsidRDefault="001B3354" w:rsidP="001B3354">
            <w:pPr>
              <w:pStyle w:val="APVMATableHead"/>
              <w:jc w:val="right"/>
            </w:pPr>
            <w:r>
              <w:t>Marina length class (m)</w:t>
            </w:r>
          </w:p>
        </w:tc>
        <w:tc>
          <w:tcPr>
            <w:tcW w:w="2504" w:type="pct"/>
            <w:tcBorders>
              <w:bottom w:val="single" w:sz="4" w:space="0" w:color="auto"/>
            </w:tcBorders>
            <w:shd w:val="clear" w:color="auto" w:fill="5C2946"/>
            <w:vAlign w:val="center"/>
          </w:tcPr>
          <w:p w:rsidR="001B3354" w:rsidRPr="00FB0015" w:rsidRDefault="001B3354" w:rsidP="001B3354">
            <w:pPr>
              <w:pStyle w:val="APVMATableHead"/>
              <w:jc w:val="right"/>
            </w:pPr>
            <w:r>
              <w:t>Surface area (m</w:t>
            </w:r>
            <w:r w:rsidRPr="00CB6C6F">
              <w:rPr>
                <w:vertAlign w:val="superscript"/>
              </w:rPr>
              <w:t>2</w:t>
            </w:r>
            <w:r>
              <w:t>)</w:t>
            </w:r>
          </w:p>
        </w:tc>
      </w:tr>
      <w:tr w:rsidR="001B3354" w:rsidTr="001B3354">
        <w:trPr>
          <w:cantSplit/>
        </w:trPr>
        <w:tc>
          <w:tcPr>
            <w:tcW w:w="2496" w:type="pct"/>
            <w:tcBorders>
              <w:top w:val="single" w:sz="4" w:space="0" w:color="auto"/>
              <w:bottom w:val="single" w:sz="4" w:space="0" w:color="auto"/>
            </w:tcBorders>
          </w:tcPr>
          <w:p w:rsidR="001B3354" w:rsidRPr="001B3354" w:rsidRDefault="001B3354" w:rsidP="001B3354">
            <w:pPr>
              <w:pStyle w:val="APVMATableTextRight"/>
            </w:pPr>
            <w:r w:rsidRPr="001B3354">
              <w:t xml:space="preserve">5–10 </w:t>
            </w:r>
          </w:p>
        </w:tc>
        <w:tc>
          <w:tcPr>
            <w:tcW w:w="2504" w:type="pct"/>
            <w:tcBorders>
              <w:top w:val="single" w:sz="4" w:space="0" w:color="auto"/>
              <w:bottom w:val="single" w:sz="4" w:space="0" w:color="auto"/>
            </w:tcBorders>
          </w:tcPr>
          <w:p w:rsidR="001B3354" w:rsidRPr="001B3354" w:rsidRDefault="001B3354" w:rsidP="001B3354">
            <w:pPr>
              <w:pStyle w:val="APVMATableTextRight"/>
            </w:pPr>
            <w:r w:rsidRPr="001B3354">
              <w:t xml:space="preserve">25 </w:t>
            </w:r>
          </w:p>
        </w:tc>
      </w:tr>
      <w:tr w:rsidR="001B3354" w:rsidTr="001B3354">
        <w:trPr>
          <w:cantSplit/>
        </w:trPr>
        <w:tc>
          <w:tcPr>
            <w:tcW w:w="2496" w:type="pct"/>
            <w:tcBorders>
              <w:top w:val="single" w:sz="4" w:space="0" w:color="auto"/>
              <w:bottom w:val="single" w:sz="4" w:space="0" w:color="auto"/>
            </w:tcBorders>
          </w:tcPr>
          <w:p w:rsidR="001B3354" w:rsidRPr="001B3354" w:rsidRDefault="001B3354" w:rsidP="001B3354">
            <w:pPr>
              <w:pStyle w:val="APVMATableTextRight"/>
            </w:pPr>
            <w:r w:rsidRPr="001B3354">
              <w:t xml:space="preserve">11–20 </w:t>
            </w:r>
          </w:p>
        </w:tc>
        <w:tc>
          <w:tcPr>
            <w:tcW w:w="2504" w:type="pct"/>
            <w:tcBorders>
              <w:top w:val="single" w:sz="4" w:space="0" w:color="auto"/>
              <w:bottom w:val="single" w:sz="4" w:space="0" w:color="auto"/>
            </w:tcBorders>
          </w:tcPr>
          <w:p w:rsidR="001B3354" w:rsidRPr="001B3354" w:rsidRDefault="001B3354" w:rsidP="001B3354">
            <w:pPr>
              <w:pStyle w:val="APVMATableTextRight"/>
            </w:pPr>
            <w:r w:rsidRPr="001B3354">
              <w:t xml:space="preserve">78 </w:t>
            </w:r>
          </w:p>
        </w:tc>
      </w:tr>
      <w:tr w:rsidR="001B3354" w:rsidTr="001B3354">
        <w:trPr>
          <w:cantSplit/>
        </w:trPr>
        <w:tc>
          <w:tcPr>
            <w:tcW w:w="2496" w:type="pct"/>
            <w:tcBorders>
              <w:top w:val="single" w:sz="4" w:space="0" w:color="auto"/>
              <w:bottom w:val="single" w:sz="4" w:space="0" w:color="auto"/>
            </w:tcBorders>
          </w:tcPr>
          <w:p w:rsidR="001B3354" w:rsidRPr="001B3354" w:rsidRDefault="001B3354" w:rsidP="001B3354">
            <w:pPr>
              <w:pStyle w:val="APVMATableTextRight"/>
            </w:pPr>
            <w:r w:rsidRPr="001B3354">
              <w:t>21–30</w:t>
            </w:r>
          </w:p>
        </w:tc>
        <w:tc>
          <w:tcPr>
            <w:tcW w:w="2504" w:type="pct"/>
            <w:tcBorders>
              <w:top w:val="single" w:sz="4" w:space="0" w:color="auto"/>
              <w:bottom w:val="single" w:sz="4" w:space="0" w:color="auto"/>
            </w:tcBorders>
          </w:tcPr>
          <w:p w:rsidR="001B3354" w:rsidRPr="001B3354" w:rsidRDefault="001B3354" w:rsidP="001B3354">
            <w:pPr>
              <w:pStyle w:val="APVMATableTextRight"/>
            </w:pPr>
            <w:r w:rsidRPr="001B3354">
              <w:t xml:space="preserve">152 </w:t>
            </w:r>
          </w:p>
        </w:tc>
      </w:tr>
      <w:tr w:rsidR="001B3354" w:rsidTr="001B3354">
        <w:trPr>
          <w:cantSplit/>
        </w:trPr>
        <w:tc>
          <w:tcPr>
            <w:tcW w:w="2496" w:type="pct"/>
            <w:tcBorders>
              <w:top w:val="single" w:sz="4" w:space="0" w:color="auto"/>
              <w:bottom w:val="single" w:sz="4" w:space="0" w:color="auto"/>
            </w:tcBorders>
          </w:tcPr>
          <w:p w:rsidR="001B3354" w:rsidRPr="001B3354" w:rsidRDefault="001B3354" w:rsidP="001B3354">
            <w:pPr>
              <w:pStyle w:val="APVMATableTextRight"/>
            </w:pPr>
            <w:r w:rsidRPr="001B3354">
              <w:t xml:space="preserve">31–40 </w:t>
            </w:r>
          </w:p>
        </w:tc>
        <w:tc>
          <w:tcPr>
            <w:tcW w:w="2504" w:type="pct"/>
            <w:tcBorders>
              <w:top w:val="single" w:sz="4" w:space="0" w:color="auto"/>
              <w:bottom w:val="single" w:sz="4" w:space="0" w:color="auto"/>
            </w:tcBorders>
          </w:tcPr>
          <w:p w:rsidR="001B3354" w:rsidRPr="001B3354" w:rsidRDefault="001B3354" w:rsidP="001B3354">
            <w:pPr>
              <w:pStyle w:val="APVMATableTextRight"/>
            </w:pPr>
            <w:r w:rsidRPr="001B3354">
              <w:t>276</w:t>
            </w:r>
          </w:p>
        </w:tc>
      </w:tr>
    </w:tbl>
    <w:p w:rsidR="001B3354" w:rsidRDefault="001B3354" w:rsidP="001B3354">
      <w:pPr>
        <w:pStyle w:val="Caption"/>
      </w:pPr>
      <w:bookmarkStart w:id="7" w:name="_Toc33710311"/>
      <w:r>
        <w:t xml:space="preserve">Table </w:t>
      </w:r>
      <w:r>
        <w:rPr>
          <w:noProof/>
        </w:rPr>
        <w:fldChar w:fldCharType="begin"/>
      </w:r>
      <w:r>
        <w:rPr>
          <w:noProof/>
        </w:rPr>
        <w:instrText xml:space="preserve"> SEQ Table \* ARABIC </w:instrText>
      </w:r>
      <w:r>
        <w:rPr>
          <w:noProof/>
        </w:rPr>
        <w:fldChar w:fldCharType="separate"/>
      </w:r>
      <w:r w:rsidR="00D6771A">
        <w:rPr>
          <w:noProof/>
        </w:rPr>
        <w:t>2</w:t>
      </w:r>
      <w:r>
        <w:rPr>
          <w:noProof/>
        </w:rPr>
        <w:fldChar w:fldCharType="end"/>
      </w:r>
      <w:r>
        <w:t>:</w:t>
      </w:r>
      <w:r>
        <w:tab/>
        <w:t>Australian large marina settings</w:t>
      </w:r>
      <w:bookmarkEnd w:id="7"/>
    </w:p>
    <w:tbl>
      <w:tblPr>
        <w:tblW w:w="5000" w:type="pct"/>
        <w:tblBorders>
          <w:bottom w:val="dotted" w:sz="2" w:space="0" w:color="auto"/>
          <w:insideH w:val="dotted" w:sz="2" w:space="0" w:color="auto"/>
        </w:tblBorders>
        <w:tblLook w:val="01E0" w:firstRow="1" w:lastRow="1" w:firstColumn="1" w:lastColumn="1" w:noHBand="0" w:noVBand="0"/>
      </w:tblPr>
      <w:tblGrid>
        <w:gridCol w:w="2694"/>
        <w:gridCol w:w="1417"/>
        <w:gridCol w:w="1419"/>
        <w:gridCol w:w="1417"/>
        <w:gridCol w:w="1419"/>
        <w:gridCol w:w="1272"/>
      </w:tblGrid>
      <w:tr w:rsidR="001B3354" w:rsidTr="001B3354">
        <w:trPr>
          <w:cantSplit/>
          <w:tblHeader/>
        </w:trPr>
        <w:tc>
          <w:tcPr>
            <w:tcW w:w="1398" w:type="pct"/>
            <w:tcBorders>
              <w:bottom w:val="single" w:sz="4" w:space="0" w:color="auto"/>
            </w:tcBorders>
            <w:shd w:val="clear" w:color="auto" w:fill="5C2946"/>
            <w:vAlign w:val="center"/>
          </w:tcPr>
          <w:p w:rsidR="001B3354" w:rsidRPr="00FB0015" w:rsidRDefault="001B3354" w:rsidP="001B3354">
            <w:pPr>
              <w:pStyle w:val="APVMATableHead"/>
            </w:pPr>
            <w:r>
              <w:t>Length</w:t>
            </w:r>
          </w:p>
        </w:tc>
        <w:tc>
          <w:tcPr>
            <w:tcW w:w="735" w:type="pct"/>
            <w:tcBorders>
              <w:bottom w:val="single" w:sz="4" w:space="0" w:color="auto"/>
            </w:tcBorders>
            <w:shd w:val="clear" w:color="auto" w:fill="5C2946"/>
            <w:vAlign w:val="center"/>
          </w:tcPr>
          <w:p w:rsidR="001B3354" w:rsidRPr="00FB0015" w:rsidRDefault="001B3354" w:rsidP="001B3354">
            <w:pPr>
              <w:pStyle w:val="APVMATableHead"/>
              <w:jc w:val="right"/>
            </w:pPr>
            <w:r>
              <w:t>5–10 m</w:t>
            </w:r>
          </w:p>
        </w:tc>
        <w:tc>
          <w:tcPr>
            <w:tcW w:w="736" w:type="pct"/>
            <w:tcBorders>
              <w:bottom w:val="single" w:sz="4" w:space="0" w:color="auto"/>
            </w:tcBorders>
            <w:shd w:val="clear" w:color="auto" w:fill="5C2946"/>
            <w:vAlign w:val="center"/>
          </w:tcPr>
          <w:p w:rsidR="001B3354" w:rsidRPr="00FB0015" w:rsidRDefault="001B3354" w:rsidP="001B3354">
            <w:pPr>
              <w:pStyle w:val="APVMATableHead"/>
              <w:jc w:val="right"/>
            </w:pPr>
            <w:r>
              <w:t>11–20 m</w:t>
            </w:r>
          </w:p>
        </w:tc>
        <w:tc>
          <w:tcPr>
            <w:tcW w:w="735" w:type="pct"/>
            <w:tcBorders>
              <w:bottom w:val="single" w:sz="4" w:space="0" w:color="auto"/>
            </w:tcBorders>
            <w:shd w:val="clear" w:color="auto" w:fill="5C2946"/>
            <w:vAlign w:val="center"/>
          </w:tcPr>
          <w:p w:rsidR="001B3354" w:rsidRPr="00FB0015" w:rsidRDefault="001B3354" w:rsidP="001B3354">
            <w:pPr>
              <w:pStyle w:val="APVMATableHead"/>
              <w:jc w:val="right"/>
            </w:pPr>
            <w:r>
              <w:t>21–30 m</w:t>
            </w:r>
          </w:p>
        </w:tc>
        <w:tc>
          <w:tcPr>
            <w:tcW w:w="736" w:type="pct"/>
            <w:tcBorders>
              <w:bottom w:val="single" w:sz="4" w:space="0" w:color="auto"/>
            </w:tcBorders>
            <w:shd w:val="clear" w:color="auto" w:fill="5C2946"/>
            <w:vAlign w:val="center"/>
          </w:tcPr>
          <w:p w:rsidR="001B3354" w:rsidRPr="00FB0015" w:rsidRDefault="001B3354" w:rsidP="001B3354">
            <w:pPr>
              <w:pStyle w:val="APVMATableHead"/>
              <w:jc w:val="right"/>
            </w:pPr>
            <w:r>
              <w:t>31–40 m</w:t>
            </w:r>
          </w:p>
        </w:tc>
        <w:tc>
          <w:tcPr>
            <w:tcW w:w="660" w:type="pct"/>
            <w:tcBorders>
              <w:bottom w:val="single" w:sz="4" w:space="0" w:color="auto"/>
            </w:tcBorders>
            <w:shd w:val="clear" w:color="auto" w:fill="5C2946"/>
            <w:vAlign w:val="center"/>
          </w:tcPr>
          <w:p w:rsidR="001B3354" w:rsidRPr="00FB0015" w:rsidRDefault="001B3354" w:rsidP="001B3354">
            <w:pPr>
              <w:pStyle w:val="APVMATableHead"/>
              <w:jc w:val="right"/>
            </w:pPr>
            <w:r>
              <w:t>Total</w:t>
            </w:r>
          </w:p>
        </w:tc>
      </w:tr>
      <w:tr w:rsidR="001B3354" w:rsidTr="001B3354">
        <w:trPr>
          <w:cantSplit/>
        </w:trPr>
        <w:tc>
          <w:tcPr>
            <w:tcW w:w="1398" w:type="pct"/>
            <w:tcBorders>
              <w:top w:val="single" w:sz="4" w:space="0" w:color="auto"/>
              <w:bottom w:val="single" w:sz="4" w:space="0" w:color="auto"/>
            </w:tcBorders>
            <w:vAlign w:val="center"/>
          </w:tcPr>
          <w:p w:rsidR="001B3354" w:rsidRPr="00CB6C6F" w:rsidRDefault="001B3354" w:rsidP="001B3354">
            <w:pPr>
              <w:pStyle w:val="APVMATableText"/>
            </w:pPr>
            <w:r>
              <w:t>Number</w:t>
            </w:r>
            <w:r w:rsidRPr="00CB6C6F">
              <w:t xml:space="preserve"> </w:t>
            </w:r>
          </w:p>
        </w:tc>
        <w:tc>
          <w:tcPr>
            <w:tcW w:w="735" w:type="pct"/>
            <w:tcBorders>
              <w:top w:val="single" w:sz="4" w:space="0" w:color="auto"/>
              <w:bottom w:val="single" w:sz="4" w:space="0" w:color="auto"/>
            </w:tcBorders>
            <w:vAlign w:val="center"/>
          </w:tcPr>
          <w:p w:rsidR="001B3354" w:rsidRPr="00E973D1" w:rsidRDefault="001B3354" w:rsidP="001B3354">
            <w:pPr>
              <w:pStyle w:val="APVMATableTextRight"/>
            </w:pPr>
            <w:r w:rsidRPr="00E973D1">
              <w:t>157</w:t>
            </w:r>
          </w:p>
        </w:tc>
        <w:tc>
          <w:tcPr>
            <w:tcW w:w="736" w:type="pct"/>
            <w:tcBorders>
              <w:top w:val="single" w:sz="4" w:space="0" w:color="auto"/>
              <w:bottom w:val="single" w:sz="4" w:space="0" w:color="auto"/>
            </w:tcBorders>
            <w:vAlign w:val="center"/>
          </w:tcPr>
          <w:p w:rsidR="001B3354" w:rsidRPr="00E973D1" w:rsidRDefault="001B3354" w:rsidP="001B3354">
            <w:pPr>
              <w:pStyle w:val="APVMATableTextRight"/>
            </w:pPr>
            <w:r w:rsidRPr="00E973D1">
              <w:t>316</w:t>
            </w:r>
          </w:p>
        </w:tc>
        <w:tc>
          <w:tcPr>
            <w:tcW w:w="735" w:type="pct"/>
            <w:tcBorders>
              <w:top w:val="single" w:sz="4" w:space="0" w:color="auto"/>
              <w:bottom w:val="single" w:sz="4" w:space="0" w:color="auto"/>
            </w:tcBorders>
            <w:vAlign w:val="center"/>
          </w:tcPr>
          <w:p w:rsidR="001B3354" w:rsidRPr="00E973D1" w:rsidRDefault="001B3354" w:rsidP="001B3354">
            <w:pPr>
              <w:pStyle w:val="APVMATableTextRight"/>
            </w:pPr>
            <w:r w:rsidRPr="00E973D1">
              <w:t>26</w:t>
            </w:r>
          </w:p>
        </w:tc>
        <w:tc>
          <w:tcPr>
            <w:tcW w:w="736" w:type="pct"/>
            <w:tcBorders>
              <w:top w:val="single" w:sz="4" w:space="0" w:color="auto"/>
              <w:bottom w:val="single" w:sz="4" w:space="0" w:color="auto"/>
            </w:tcBorders>
            <w:vAlign w:val="center"/>
          </w:tcPr>
          <w:p w:rsidR="001B3354" w:rsidRPr="00E973D1" w:rsidRDefault="001B3354" w:rsidP="001B3354">
            <w:pPr>
              <w:pStyle w:val="APVMATableTextRight"/>
            </w:pPr>
            <w:r w:rsidRPr="00E973D1">
              <w:t>2</w:t>
            </w:r>
          </w:p>
        </w:tc>
        <w:tc>
          <w:tcPr>
            <w:tcW w:w="660" w:type="pct"/>
            <w:tcBorders>
              <w:top w:val="single" w:sz="4" w:space="0" w:color="auto"/>
              <w:bottom w:val="single" w:sz="4" w:space="0" w:color="auto"/>
            </w:tcBorders>
            <w:vAlign w:val="center"/>
          </w:tcPr>
          <w:p w:rsidR="001B3354" w:rsidRPr="00E973D1" w:rsidRDefault="001B3354" w:rsidP="001B3354">
            <w:pPr>
              <w:pStyle w:val="APVMATableTextRight"/>
            </w:pPr>
            <w:r w:rsidRPr="00E973D1">
              <w:t>501*</w:t>
            </w:r>
          </w:p>
        </w:tc>
      </w:tr>
      <w:tr w:rsidR="001B3354" w:rsidTr="001B3354">
        <w:trPr>
          <w:cantSplit/>
        </w:trPr>
        <w:tc>
          <w:tcPr>
            <w:tcW w:w="1398" w:type="pct"/>
            <w:tcBorders>
              <w:top w:val="single" w:sz="4" w:space="0" w:color="auto"/>
              <w:bottom w:val="single" w:sz="4" w:space="0" w:color="auto"/>
            </w:tcBorders>
            <w:vAlign w:val="center"/>
          </w:tcPr>
          <w:p w:rsidR="001B3354" w:rsidRPr="00CB6C6F" w:rsidRDefault="001B3354" w:rsidP="001B3354">
            <w:pPr>
              <w:pStyle w:val="APVMATableText"/>
            </w:pPr>
            <w:r>
              <w:t>Surface area (m</w:t>
            </w:r>
            <w:r w:rsidRPr="00CB6C6F">
              <w:rPr>
                <w:vertAlign w:val="superscript"/>
              </w:rPr>
              <w:t>2</w:t>
            </w:r>
            <w:r>
              <w:t>)</w:t>
            </w:r>
          </w:p>
        </w:tc>
        <w:tc>
          <w:tcPr>
            <w:tcW w:w="735" w:type="pct"/>
            <w:tcBorders>
              <w:top w:val="single" w:sz="4" w:space="0" w:color="auto"/>
              <w:bottom w:val="single" w:sz="4" w:space="0" w:color="auto"/>
            </w:tcBorders>
            <w:vAlign w:val="center"/>
          </w:tcPr>
          <w:p w:rsidR="001B3354" w:rsidRPr="00E973D1" w:rsidRDefault="001B3354" w:rsidP="001B3354">
            <w:pPr>
              <w:pStyle w:val="APVMATableTextRight"/>
            </w:pPr>
            <w:r w:rsidRPr="00E973D1">
              <w:t>3925</w:t>
            </w:r>
          </w:p>
        </w:tc>
        <w:tc>
          <w:tcPr>
            <w:tcW w:w="736" w:type="pct"/>
            <w:tcBorders>
              <w:top w:val="single" w:sz="4" w:space="0" w:color="auto"/>
              <w:bottom w:val="single" w:sz="4" w:space="0" w:color="auto"/>
            </w:tcBorders>
            <w:vAlign w:val="center"/>
          </w:tcPr>
          <w:p w:rsidR="001B3354" w:rsidRPr="00E973D1" w:rsidRDefault="001B3354" w:rsidP="001B3354">
            <w:pPr>
              <w:pStyle w:val="APVMATableTextRight"/>
            </w:pPr>
            <w:r w:rsidRPr="00E973D1">
              <w:t>24648</w:t>
            </w:r>
          </w:p>
        </w:tc>
        <w:tc>
          <w:tcPr>
            <w:tcW w:w="735" w:type="pct"/>
            <w:tcBorders>
              <w:top w:val="single" w:sz="4" w:space="0" w:color="auto"/>
              <w:bottom w:val="single" w:sz="4" w:space="0" w:color="auto"/>
            </w:tcBorders>
            <w:vAlign w:val="center"/>
          </w:tcPr>
          <w:p w:rsidR="001B3354" w:rsidRPr="00E973D1" w:rsidRDefault="001B3354" w:rsidP="001B3354">
            <w:pPr>
              <w:pStyle w:val="APVMATableTextRight"/>
            </w:pPr>
            <w:r w:rsidRPr="00E973D1">
              <w:t>3952</w:t>
            </w:r>
          </w:p>
        </w:tc>
        <w:tc>
          <w:tcPr>
            <w:tcW w:w="736" w:type="pct"/>
            <w:tcBorders>
              <w:top w:val="single" w:sz="4" w:space="0" w:color="auto"/>
              <w:bottom w:val="single" w:sz="4" w:space="0" w:color="auto"/>
            </w:tcBorders>
            <w:vAlign w:val="center"/>
          </w:tcPr>
          <w:p w:rsidR="001B3354" w:rsidRPr="00E973D1" w:rsidRDefault="001B3354" w:rsidP="001B3354">
            <w:pPr>
              <w:pStyle w:val="APVMATableTextRight"/>
            </w:pPr>
            <w:r w:rsidRPr="00E973D1">
              <w:t>552</w:t>
            </w:r>
          </w:p>
        </w:tc>
        <w:tc>
          <w:tcPr>
            <w:tcW w:w="660" w:type="pct"/>
            <w:tcBorders>
              <w:top w:val="single" w:sz="4" w:space="0" w:color="auto"/>
              <w:bottom w:val="single" w:sz="4" w:space="0" w:color="auto"/>
            </w:tcBorders>
            <w:vAlign w:val="center"/>
          </w:tcPr>
          <w:p w:rsidR="001B3354" w:rsidRPr="00E973D1" w:rsidRDefault="001B3354" w:rsidP="001B3354">
            <w:pPr>
              <w:pStyle w:val="APVMATableTextRight"/>
            </w:pPr>
            <w:r w:rsidRPr="00E973D1">
              <w:t>33077</w:t>
            </w:r>
          </w:p>
        </w:tc>
      </w:tr>
    </w:tbl>
    <w:p w:rsidR="001B3354" w:rsidRDefault="001B3354" w:rsidP="001B3354">
      <w:pPr>
        <w:pStyle w:val="Heading2"/>
      </w:pPr>
      <w:bookmarkStart w:id="8" w:name="_Toc33710301"/>
      <w:r>
        <w:t>Settings for the chemical properties</w:t>
      </w:r>
      <w:bookmarkEnd w:id="8"/>
    </w:p>
    <w:p w:rsidR="001B3354" w:rsidRDefault="001B3354" w:rsidP="001B3354">
      <w:pPr>
        <w:pStyle w:val="NormalText"/>
      </w:pPr>
      <w:r w:rsidRPr="001B3354">
        <w:t>Settings for the chemical properties are obtained from the public domain including APVMA (2001, 2011), MAMPEC 3.1 model (van Hattum et al. 2017) and (Hellio and Yebra 2009), EC (2009), ECHA (2015, 2016b), and Madsen et al. (2000).</w:t>
      </w:r>
    </w:p>
    <w:p w:rsidR="001B3354" w:rsidRDefault="001B3354" w:rsidP="001B3354">
      <w:pPr>
        <w:pStyle w:val="Heading2"/>
      </w:pPr>
      <w:bookmarkStart w:id="9" w:name="_Toc33710302"/>
      <w:r>
        <w:t>Settings for the release of the active constituent</w:t>
      </w:r>
      <w:bookmarkEnd w:id="9"/>
    </w:p>
    <w:p w:rsidR="001B3354" w:rsidRPr="00CB6C6F" w:rsidRDefault="001B3354" w:rsidP="001B3354">
      <w:pPr>
        <w:pStyle w:val="NormalText"/>
      </w:pPr>
      <w:r w:rsidRPr="00CB6C6F">
        <w:t>The settings for the release of the active constituent are based on the surface area</w:t>
      </w:r>
      <w:r>
        <w:t>s</w:t>
      </w:r>
      <w:r w:rsidRPr="00CB6C6F">
        <w:t xml:space="preserve"> described above (</w:t>
      </w:r>
      <w:r w:rsidR="00000E1D" w:rsidRPr="00000E1D">
        <w:t>Tables 1 and 2</w:t>
      </w:r>
      <w:r w:rsidRPr="00000E1D">
        <w:t>).</w:t>
      </w:r>
      <w:r w:rsidRPr="00CB6C6F">
        <w:t xml:space="preserve"> In addition</w:t>
      </w:r>
      <w:r>
        <w:t>,</w:t>
      </w:r>
      <w:r w:rsidRPr="00CB6C6F">
        <w:t xml:space="preserve"> to account for vessels not using the active or vacant moori</w:t>
      </w:r>
      <w:r>
        <w:t>ngs, an application factor of 90 per cent</w:t>
      </w:r>
      <w:r w:rsidRPr="00CB6C6F">
        <w:t xml:space="preserve"> was used. This is the current OECD (2005) default level but also reflects high occupancy rates in Australian marinas, with</w:t>
      </w:r>
      <w:r>
        <w:t xml:space="preserve"> half reporting greater than 90 per cent (RMRC 2013). </w:t>
      </w:r>
      <w:r w:rsidRPr="00CB6C6F">
        <w:t>The input parameters for the model assume that all vessels are moored (the number moving through the marina at any one time is negligible). However, the release of active constituent in µg/cm</w:t>
      </w:r>
      <w:r w:rsidRPr="004E10D1">
        <w:rPr>
          <w:vertAlign w:val="superscript"/>
        </w:rPr>
        <w:t>2</w:t>
      </w:r>
      <w:r w:rsidRPr="00CB6C6F">
        <w:t>/day as a required input of the model is calculated by the CEPE (2003) method, which is for moving vessels. Finnie (2006) recommends a correction factor of 2.9 extrapolated from available laboratory and field</w:t>
      </w:r>
      <w:r>
        <w:t xml:space="preserve"> data. Accordingly the g</w:t>
      </w:r>
      <w:r w:rsidRPr="00CB6C6F">
        <w:t>uidance will be established on the release of active constituent in µg/cm</w:t>
      </w:r>
      <w:r w:rsidRPr="004E10D1">
        <w:rPr>
          <w:vertAlign w:val="superscript"/>
        </w:rPr>
        <w:t>2</w:t>
      </w:r>
      <w:r w:rsidRPr="00CB6C6F">
        <w:t>/day for moored vessels as modelled by MAMPEC with the abo</w:t>
      </w:r>
      <w:r>
        <w:t>ve settings, multiplied by 2.9.</w:t>
      </w:r>
    </w:p>
    <w:p w:rsidR="001B3354" w:rsidRDefault="001B3354" w:rsidP="001B3354">
      <w:pPr>
        <w:pStyle w:val="Heading2"/>
      </w:pPr>
      <w:bookmarkStart w:id="10" w:name="_Toc33710303"/>
      <w:r>
        <w:lastRenderedPageBreak/>
        <w:t>Determination of release rate of active constituent from product-specific parameters</w:t>
      </w:r>
      <w:bookmarkEnd w:id="10"/>
    </w:p>
    <w:p w:rsidR="001B3354" w:rsidRPr="001B3354" w:rsidRDefault="001B3354" w:rsidP="001B3354">
      <w:pPr>
        <w:pStyle w:val="NormalText"/>
      </w:pPr>
      <w:r w:rsidRPr="001B3354">
        <w:t>The release rate of the active constituent can be calculated from product-specific parameters using the CEPE (2003) methodology and considering that the fraction of solids is in w/w%.</w:t>
      </w:r>
    </w:p>
    <w:p w:rsidR="001B3354" w:rsidRDefault="001B3354" w:rsidP="001B3354">
      <w:pPr>
        <w:pStyle w:val="Caption"/>
      </w:pPr>
      <w:r>
        <w:t>Equation 1: Worst case calculation of release of active constituent from product- specific parameters</w:t>
      </w:r>
    </w:p>
    <w:p w:rsidR="001B3354" w:rsidRDefault="00D6771A" w:rsidP="001B3354">
      <w:pPr>
        <w:spacing w:line="240" w:lineRule="auto"/>
        <w:ind w:left="720" w:hanging="720"/>
        <w:jc w:val="center"/>
      </w:pPr>
      <m:oMath>
        <m:acc>
          <m:accPr>
            <m:chr m:val="̅"/>
            <m:ctrlPr>
              <w:rPr>
                <w:rFonts w:ascii="Cambria Math" w:hAnsi="Cambria Math"/>
                <w:i/>
                <w:sz w:val="22"/>
              </w:rPr>
            </m:ctrlPr>
          </m:accPr>
          <m:e>
            <m:r>
              <w:rPr>
                <w:rFonts w:ascii="Cambria Math" w:hAnsi="Cambria Math"/>
              </w:rPr>
              <m:t>R</m:t>
            </m:r>
          </m:e>
        </m:acc>
        <m:r>
          <w:rPr>
            <w:rFonts w:ascii="Cambria Math" w:hAnsi="Cambria Math"/>
          </w:rPr>
          <m:t>=</m:t>
        </m:r>
        <m:f>
          <m:fPr>
            <m:ctrlPr>
              <w:rPr>
                <w:rFonts w:ascii="Cambria Math" w:hAnsi="Cambria Math"/>
                <w:i/>
                <w:sz w:val="22"/>
              </w:rPr>
            </m:ctrlPr>
          </m:fPr>
          <m:num>
            <m:r>
              <w:rPr>
                <w:rFonts w:ascii="Cambria Math" w:hAnsi="Cambria Math"/>
              </w:rPr>
              <m:t xml:space="preserve">0.9 × a × </m:t>
            </m:r>
            <m:sSub>
              <m:sSubPr>
                <m:ctrlPr>
                  <w:rPr>
                    <w:rFonts w:ascii="Cambria Math" w:hAnsi="Cambria Math"/>
                    <w:i/>
                    <w:sz w:val="22"/>
                  </w:rPr>
                </m:ctrlPr>
              </m:sSubPr>
              <m:e>
                <m:r>
                  <w:rPr>
                    <w:rFonts w:ascii="Cambria Math" w:hAnsi="Cambria Math"/>
                  </w:rPr>
                  <m:t>w</m:t>
                </m:r>
              </m:e>
              <m:sub>
                <m:r>
                  <w:rPr>
                    <w:rFonts w:ascii="Cambria Math" w:hAnsi="Cambria Math"/>
                  </w:rPr>
                  <m:t>a</m:t>
                </m:r>
              </m:sub>
            </m:sSub>
            <m:r>
              <w:rPr>
                <w:rFonts w:ascii="Cambria Math" w:hAnsi="Cambria Math"/>
              </w:rPr>
              <m:t xml:space="preserve"> ×  N × 3.29</m:t>
            </m:r>
          </m:num>
          <m:den>
            <m:r>
              <w:rPr>
                <w:rFonts w:ascii="Cambria Math" w:hAnsi="Cambria Math"/>
              </w:rPr>
              <m:t>C×12</m:t>
            </m:r>
          </m:den>
        </m:f>
      </m:oMath>
      <w:r w:rsidR="001B3354">
        <w:rPr>
          <w:rFonts w:ascii="Cambria Math" w:eastAsiaTheme="minorEastAsia" w:hAnsi="Cambria Math"/>
        </w:rPr>
        <w:t xml:space="preserve"> </w:t>
      </w:r>
    </w:p>
    <w:p w:rsidR="001B3354" w:rsidRDefault="001B3354" w:rsidP="001B3354">
      <w:pPr>
        <w:pStyle w:val="NormalText"/>
      </w:pPr>
      <w:r>
        <w:t>Where:</w:t>
      </w:r>
    </w:p>
    <w:p w:rsidR="001B3354" w:rsidRDefault="001B3354" w:rsidP="001B3354">
      <w:pPr>
        <w:pStyle w:val="Bullet1"/>
        <w:numPr>
          <w:ilvl w:val="0"/>
          <w:numId w:val="3"/>
        </w:numPr>
      </w:pPr>
      <w:r w:rsidRPr="009C4DCE">
        <w:rPr>
          <w:i/>
        </w:rPr>
        <w:t>a</w:t>
      </w:r>
      <w:r w:rsidRPr="006F6DAD">
        <w:t xml:space="preserve"> is the mass fraction of biocid</w:t>
      </w:r>
      <w:r>
        <w:t>e in the biocidal ingredient; (i</w:t>
      </w:r>
      <w:r w:rsidRPr="006F6DAD">
        <w:t>n general a is equal to 1 for most active constituents)</w:t>
      </w:r>
    </w:p>
    <w:p w:rsidR="001B3354" w:rsidRPr="006F6DAD" w:rsidRDefault="001B3354" w:rsidP="001B3354">
      <w:pPr>
        <w:pStyle w:val="Bullet1"/>
        <w:numPr>
          <w:ilvl w:val="0"/>
          <w:numId w:val="3"/>
        </w:numPr>
      </w:pPr>
      <w:r w:rsidRPr="009C4DCE">
        <w:rPr>
          <w:i/>
        </w:rPr>
        <w:t>wa</w:t>
      </w:r>
      <w:r w:rsidRPr="006F6DAD">
        <w:t xml:space="preserve"> is the content of biocidal ingredient in the paint formulation as manufactured, in g/L</w:t>
      </w:r>
    </w:p>
    <w:p w:rsidR="001B3354" w:rsidRPr="006F6DAD" w:rsidRDefault="001B3354" w:rsidP="001B3354">
      <w:pPr>
        <w:pStyle w:val="Bullet1"/>
        <w:numPr>
          <w:ilvl w:val="0"/>
          <w:numId w:val="3"/>
        </w:numPr>
      </w:pPr>
      <w:r w:rsidRPr="009C4DCE">
        <w:rPr>
          <w:i/>
        </w:rPr>
        <w:t>C</w:t>
      </w:r>
      <w:r w:rsidRPr="006F6DAD">
        <w:t xml:space="preserve"> is the theoretical coverage in m</w:t>
      </w:r>
      <w:r w:rsidRPr="006F6DAD">
        <w:rPr>
          <w:vertAlign w:val="superscript"/>
        </w:rPr>
        <w:t>2</w:t>
      </w:r>
      <w:r w:rsidRPr="006F6DAD">
        <w:t xml:space="preserve"> for each litre of paint (single coat)</w:t>
      </w:r>
    </w:p>
    <w:p w:rsidR="001B3354" w:rsidRPr="006F6DAD" w:rsidRDefault="001B3354" w:rsidP="001B3354">
      <w:pPr>
        <w:pStyle w:val="Bullet1"/>
        <w:numPr>
          <w:ilvl w:val="0"/>
          <w:numId w:val="3"/>
        </w:numPr>
      </w:pPr>
      <w:r w:rsidRPr="009C4DCE">
        <w:rPr>
          <w:i/>
        </w:rPr>
        <w:t>N</w:t>
      </w:r>
      <w:r w:rsidRPr="006F6DAD">
        <w:t xml:space="preserve"> is the maximum number of coats</w:t>
      </w:r>
    </w:p>
    <w:p w:rsidR="001B3354" w:rsidRPr="006F6DAD" w:rsidRDefault="001B3354" w:rsidP="001B3354">
      <w:pPr>
        <w:pStyle w:val="Bullet1"/>
        <w:numPr>
          <w:ilvl w:val="0"/>
          <w:numId w:val="3"/>
        </w:numPr>
      </w:pPr>
      <w:r w:rsidRPr="006F6DAD">
        <w:t>3.29 is the conversation factor for calculating months/day and cm</w:t>
      </w:r>
      <w:r w:rsidRPr="006F6DAD">
        <w:rPr>
          <w:vertAlign w:val="superscript"/>
        </w:rPr>
        <w:t>3</w:t>
      </w:r>
      <w:r w:rsidRPr="006F6DAD">
        <w:t>/dm</w:t>
      </w:r>
      <w:r w:rsidRPr="006F6DAD">
        <w:rPr>
          <w:vertAlign w:val="superscript"/>
        </w:rPr>
        <w:t>3</w:t>
      </w:r>
      <w:r w:rsidRPr="006F6DAD">
        <w:t xml:space="preserve"> and g/L to %</w:t>
      </w:r>
    </w:p>
    <w:p w:rsidR="001B3354" w:rsidRPr="0082208C" w:rsidRDefault="001B3354" w:rsidP="001B3354">
      <w:pPr>
        <w:pStyle w:val="Bullet1"/>
        <w:numPr>
          <w:ilvl w:val="0"/>
          <w:numId w:val="3"/>
        </w:numPr>
      </w:pPr>
      <w:r w:rsidRPr="006F6DAD">
        <w:t xml:space="preserve">12 is the number of months per </w:t>
      </w:r>
      <w:r>
        <w:t>year (worst case service life).</w:t>
      </w:r>
    </w:p>
    <w:p w:rsidR="001B3354" w:rsidRDefault="001B3354" w:rsidP="001B3354">
      <w:pPr>
        <w:pStyle w:val="Heading2"/>
      </w:pPr>
      <w:bookmarkStart w:id="11" w:name="_Toc33710304"/>
      <w:r>
        <w:t>Regulatory acceptable concentrations</w:t>
      </w:r>
      <w:bookmarkEnd w:id="11"/>
    </w:p>
    <w:p w:rsidR="001B3354" w:rsidRDefault="001B3354" w:rsidP="001B3354">
      <w:pPr>
        <w:pStyle w:val="Heading3"/>
      </w:pPr>
      <w:bookmarkStart w:id="12" w:name="_Toc33710305"/>
      <w:r>
        <w:t>Terrestrial vertebrates</w:t>
      </w:r>
      <w:bookmarkEnd w:id="12"/>
    </w:p>
    <w:p w:rsidR="001B3354" w:rsidRPr="001B3354" w:rsidRDefault="001B3354" w:rsidP="001B3354">
      <w:pPr>
        <w:pStyle w:val="NormalText"/>
      </w:pPr>
      <w:r w:rsidRPr="001B3354">
        <w:t>Exposure of terrestrial vertebrates to the active constituents of anti-foulings is considered to be negligible. Risks of anti-fouling to terrestrial vertebrates are considered to be acceptable.</w:t>
      </w:r>
    </w:p>
    <w:p w:rsidR="001B3354" w:rsidRDefault="001B3354" w:rsidP="001B3354">
      <w:pPr>
        <w:pStyle w:val="Heading3"/>
      </w:pPr>
      <w:bookmarkStart w:id="13" w:name="_Toc33710306"/>
      <w:r>
        <w:t>Non-target aquatic organisms</w:t>
      </w:r>
      <w:bookmarkEnd w:id="13"/>
    </w:p>
    <w:p w:rsidR="001B3354" w:rsidRPr="001B3354" w:rsidRDefault="001B3354" w:rsidP="001B3354">
      <w:pPr>
        <w:pStyle w:val="NormalText"/>
      </w:pPr>
      <w:r w:rsidRPr="001B3354">
        <w:t>There are three potential exposure routes of the active constituents into the aquatic environment:</w:t>
      </w:r>
    </w:p>
    <w:p w:rsidR="001B3354" w:rsidRPr="009C4DCE" w:rsidRDefault="001B3354" w:rsidP="001B3354">
      <w:pPr>
        <w:pStyle w:val="Bullet1"/>
        <w:numPr>
          <w:ilvl w:val="0"/>
          <w:numId w:val="3"/>
        </w:numPr>
      </w:pPr>
      <w:r w:rsidRPr="009C4DCE">
        <w:t>during application via spray drift</w:t>
      </w:r>
    </w:p>
    <w:p w:rsidR="001B3354" w:rsidRPr="009C4DCE" w:rsidRDefault="001B3354" w:rsidP="001B3354">
      <w:pPr>
        <w:pStyle w:val="Bullet1"/>
        <w:numPr>
          <w:ilvl w:val="0"/>
          <w:numId w:val="3"/>
        </w:numPr>
      </w:pPr>
      <w:r w:rsidRPr="009C4DCE">
        <w:t>during service by continuous direct release from the coated surface immersed in water</w:t>
      </w:r>
    </w:p>
    <w:p w:rsidR="001B3354" w:rsidRPr="009C4DCE" w:rsidRDefault="001B3354" w:rsidP="001B3354">
      <w:pPr>
        <w:pStyle w:val="Bullet1"/>
        <w:numPr>
          <w:ilvl w:val="0"/>
          <w:numId w:val="3"/>
        </w:numPr>
      </w:pPr>
      <w:r w:rsidRPr="009C4DCE">
        <w:t>during removal of paint close to the water.</w:t>
      </w:r>
    </w:p>
    <w:p w:rsidR="001B3354" w:rsidRPr="001B3354" w:rsidRDefault="001B3354" w:rsidP="001B3354">
      <w:pPr>
        <w:pStyle w:val="NormalText"/>
      </w:pPr>
      <w:r w:rsidRPr="001B3354">
        <w:t>Exposure during application and paint removal are mitigated by the following label restraint:</w:t>
      </w:r>
    </w:p>
    <w:p w:rsidR="001B3354" w:rsidRDefault="001B3354" w:rsidP="001B3354">
      <w:pPr>
        <w:pStyle w:val="NormalText"/>
        <w:rPr>
          <w:rStyle w:val="Emphasis"/>
        </w:rPr>
      </w:pPr>
      <w:r w:rsidRPr="009C4DCE">
        <w:rPr>
          <w:rStyle w:val="Emphasis"/>
        </w:rPr>
        <w:t>DO NOT contaminate soil or waterways with paint, dust and scrapings, or with used containers.</w:t>
      </w:r>
    </w:p>
    <w:p w:rsidR="001B3354" w:rsidRPr="00B973FA" w:rsidRDefault="001B3354" w:rsidP="001B3354">
      <w:r>
        <w:t>Maximum leaching rates for each active constituent have been established to address the risks to non-target aquatic organisms during service lifetime.</w:t>
      </w:r>
    </w:p>
    <w:p w:rsidR="001B3354" w:rsidRDefault="001B3354" w:rsidP="001B3354">
      <w:pPr>
        <w:pStyle w:val="Heading4"/>
      </w:pPr>
      <w:r>
        <w:lastRenderedPageBreak/>
        <w:t>Copper present as cuprous oxide</w:t>
      </w:r>
    </w:p>
    <w:p w:rsidR="001B3354" w:rsidRDefault="001B3354" w:rsidP="001B3354">
      <w:pPr>
        <w:pStyle w:val="NormalText"/>
      </w:pPr>
      <w:r w:rsidRPr="00E822EA">
        <w:t xml:space="preserve">The key regulatory endpoint was obtained from ECHA (2016a) which is based on 56 high-quality chronic </w:t>
      </w:r>
      <w:r>
        <w:t>No Observable Effect Concentration (</w:t>
      </w:r>
      <w:r w:rsidRPr="00E822EA">
        <w:t>NOEC</w:t>
      </w:r>
      <w:r>
        <w:t>)</w:t>
      </w:r>
      <w:r w:rsidRPr="00E822EA">
        <w:t xml:space="preserve"> or EC</w:t>
      </w:r>
      <w:r w:rsidRPr="00E822EA">
        <w:rPr>
          <w:vertAlign w:val="subscript"/>
        </w:rPr>
        <w:t>10</w:t>
      </w:r>
      <w:r w:rsidRPr="00E822EA">
        <w:t xml:space="preserve"> values resulting in 24 different species-specific NOEC values covering different trophic level</w:t>
      </w:r>
      <w:r>
        <w:t>s (fish, invertebrates, algae).</w:t>
      </w:r>
    </w:p>
    <w:p w:rsidR="001B3354" w:rsidRDefault="001B3354" w:rsidP="001B3354">
      <w:pPr>
        <w:pStyle w:val="NormalText"/>
        <w:rPr>
          <w:bCs/>
        </w:rPr>
      </w:pPr>
      <w:r w:rsidRPr="00E822EA">
        <w:t>The NOEC values were related to the dissolved oxygen concentrations (DOC) of the marine test media. Species-specific NOEC values were therefore calculated after DOC-normalising the NOEC values. These species-specific NOEC values were used for the derivation of a species sensitivity distribution (SSD) and HC</w:t>
      </w:r>
      <w:r w:rsidRPr="00E822EA">
        <w:rPr>
          <w:vertAlign w:val="subscript"/>
        </w:rPr>
        <w:t>5-50</w:t>
      </w:r>
      <w:r w:rsidRPr="00E822EA">
        <w:rPr>
          <w:rStyle w:val="FootnoteReference"/>
          <w:sz w:val="18"/>
          <w:szCs w:val="18"/>
        </w:rPr>
        <w:footnoteReference w:id="2"/>
      </w:r>
      <w:r w:rsidRPr="00E822EA">
        <w:t xml:space="preserve"> values. For the marina scenario, the typical DOC level is 2 mg/l resulting in an HC</w:t>
      </w:r>
      <w:r w:rsidRPr="00E822EA">
        <w:rPr>
          <w:vertAlign w:val="subscript"/>
        </w:rPr>
        <w:t>5-50</w:t>
      </w:r>
      <w:r w:rsidRPr="00E822EA">
        <w:t xml:space="preserve"> value of 5.2 </w:t>
      </w:r>
      <w:r>
        <w:rPr>
          <w:bCs/>
        </w:rPr>
        <w:t>μg Cu/L.</w:t>
      </w:r>
    </w:p>
    <w:p w:rsidR="001B3354" w:rsidRPr="00E822EA" w:rsidRDefault="001B3354" w:rsidP="001B3354">
      <w:pPr>
        <w:pStyle w:val="NormalText"/>
      </w:pPr>
      <w:r w:rsidRPr="00E822EA">
        <w:rPr>
          <w:bCs/>
        </w:rPr>
        <w:t xml:space="preserve">The resulting RAC is 5.2 μg Cu/L (no assessment factor is applied to the </w:t>
      </w:r>
      <w:r w:rsidRPr="00E822EA">
        <w:t>HC</w:t>
      </w:r>
      <w:r w:rsidRPr="00E822EA">
        <w:rPr>
          <w:vertAlign w:val="subscript"/>
        </w:rPr>
        <w:t>5-50</w:t>
      </w:r>
      <w:r w:rsidRPr="00E822EA">
        <w:t>). None of the underlying studies cited by ECHA (2016a) are protected in Australia.</w:t>
      </w:r>
    </w:p>
    <w:p w:rsidR="001B3354" w:rsidRPr="001B3354" w:rsidRDefault="001B3354" w:rsidP="001B3354">
      <w:pPr>
        <w:pStyle w:val="Heading4"/>
      </w:pPr>
      <w:r w:rsidRPr="001B3354">
        <w:t>Copper pyrithione</w:t>
      </w:r>
    </w:p>
    <w:p w:rsidR="001B3354" w:rsidRPr="001B3354" w:rsidRDefault="001B3354" w:rsidP="001B3354">
      <w:pPr>
        <w:pStyle w:val="NormalText"/>
      </w:pPr>
      <w:r w:rsidRPr="001B3354">
        <w:t>The key regulatory endpoint is based on inhibition of the growth rate of the marine diatom Skeletonema costatum following static exposure (NOEC 0.18 μg ac/L, geomean based on time-weight average concentrations from four studies). The resulting RAC is 0.18 μg ac/L (no assessment factor is applied to the NOEC). The underlying studies are ABC Laboratories (2010), Mayer et al. (2002), Minderhout et al. (2008) and TR Wilbury Laboratories (2004), which were cited by ECHA (2015). The underlying studies are not protected in Australia.</w:t>
      </w:r>
    </w:p>
    <w:p w:rsidR="001B3354" w:rsidRPr="00E822EA" w:rsidRDefault="001B3354" w:rsidP="001B3354">
      <w:pPr>
        <w:pStyle w:val="Heading4"/>
      </w:pPr>
      <w:r w:rsidRPr="00E822EA">
        <w:t>Copper thiocyanate</w:t>
      </w:r>
    </w:p>
    <w:p w:rsidR="001B3354" w:rsidRPr="00E822EA" w:rsidRDefault="001B3354" w:rsidP="001B3354">
      <w:pPr>
        <w:pStyle w:val="NormalText"/>
      </w:pPr>
      <w:r w:rsidRPr="00E822EA">
        <w:rPr>
          <w:color w:val="000000"/>
        </w:rPr>
        <w:t xml:space="preserve">The key regulatory endpoint is based on acute immobilisation of the water flea </w:t>
      </w:r>
      <w:r w:rsidRPr="00FF44DE">
        <w:rPr>
          <w:i/>
          <w:color w:val="000000"/>
        </w:rPr>
        <w:t>Daphnia magna</w:t>
      </w:r>
      <w:r w:rsidRPr="00E822EA">
        <w:rPr>
          <w:color w:val="000000"/>
        </w:rPr>
        <w:t xml:space="preserve"> based on measured concentrations following 48 hours of static exposure (EC</w:t>
      </w:r>
      <w:r w:rsidRPr="00E822EA">
        <w:rPr>
          <w:color w:val="000000"/>
          <w:vertAlign w:val="subscript"/>
        </w:rPr>
        <w:t>50</w:t>
      </w:r>
      <w:r w:rsidRPr="00E822EA">
        <w:rPr>
          <w:color w:val="000000"/>
        </w:rPr>
        <w:t xml:space="preserve"> 20 </w:t>
      </w:r>
      <w:r w:rsidRPr="00E822EA">
        <w:rPr>
          <w:bCs/>
        </w:rPr>
        <w:t>μ</w:t>
      </w:r>
      <w:r w:rsidRPr="00E822EA">
        <w:rPr>
          <w:color w:val="000000"/>
        </w:rPr>
        <w:t xml:space="preserve">g ac/L). The resulting RAC is 2.0 </w:t>
      </w:r>
      <w:r w:rsidRPr="00E822EA">
        <w:rPr>
          <w:bCs/>
        </w:rPr>
        <w:t>μ</w:t>
      </w:r>
      <w:r w:rsidRPr="00E822EA">
        <w:rPr>
          <w:color w:val="000000"/>
        </w:rPr>
        <w:t>g ac/L (EC</w:t>
      </w:r>
      <w:r w:rsidRPr="00E822EA">
        <w:rPr>
          <w:color w:val="000000"/>
          <w:vertAlign w:val="subscript"/>
        </w:rPr>
        <w:t>50</w:t>
      </w:r>
      <w:r w:rsidRPr="00E822EA">
        <w:rPr>
          <w:color w:val="000000"/>
        </w:rPr>
        <w:t xml:space="preserve"> divided by assessment factor of 10). The un</w:t>
      </w:r>
      <w:r>
        <w:rPr>
          <w:color w:val="000000"/>
        </w:rPr>
        <w:t>derlying study is Cameron et al.</w:t>
      </w:r>
      <w:r w:rsidRPr="00E822EA">
        <w:rPr>
          <w:color w:val="000000"/>
        </w:rPr>
        <w:t xml:space="preserve"> (1989)</w:t>
      </w:r>
      <w:r>
        <w:rPr>
          <w:color w:val="000000"/>
        </w:rPr>
        <w:t>,</w:t>
      </w:r>
      <w:r w:rsidRPr="00E822EA">
        <w:rPr>
          <w:color w:val="000000"/>
        </w:rPr>
        <w:t xml:space="preserve"> which was cited by ECHA (2016b). The underlying study is not protected in Australia.</w:t>
      </w:r>
    </w:p>
    <w:p w:rsidR="001B3354" w:rsidRPr="00E822EA" w:rsidRDefault="001B3354" w:rsidP="001B3354">
      <w:pPr>
        <w:pStyle w:val="Heading4"/>
      </w:pPr>
      <w:r w:rsidRPr="00E822EA">
        <w:t>Dichlofluanid</w:t>
      </w:r>
    </w:p>
    <w:p w:rsidR="001B3354" w:rsidRPr="00E822EA" w:rsidRDefault="001B3354" w:rsidP="001B3354">
      <w:pPr>
        <w:pStyle w:val="NormalText"/>
      </w:pPr>
      <w:r w:rsidRPr="00E822EA">
        <w:rPr>
          <w:color w:val="000000"/>
        </w:rPr>
        <w:t xml:space="preserve">The key regulatory endpoint is based on inhibition of the growth rate of the </w:t>
      </w:r>
      <w:r>
        <w:rPr>
          <w:color w:val="000000"/>
        </w:rPr>
        <w:t>marine</w:t>
      </w:r>
      <w:r w:rsidRPr="00E822EA">
        <w:rPr>
          <w:color w:val="000000"/>
        </w:rPr>
        <w:t xml:space="preserve"> diatom </w:t>
      </w:r>
      <w:r w:rsidRPr="00FF44DE">
        <w:rPr>
          <w:i/>
          <w:color w:val="000000"/>
        </w:rPr>
        <w:t>Skeletonema costatum</w:t>
      </w:r>
      <w:r w:rsidRPr="00E822EA">
        <w:rPr>
          <w:color w:val="000000"/>
        </w:rPr>
        <w:t xml:space="preserve"> following </w:t>
      </w:r>
      <w:r>
        <w:rPr>
          <w:color w:val="000000"/>
        </w:rPr>
        <w:t>72</w:t>
      </w:r>
      <w:r w:rsidRPr="00E822EA">
        <w:rPr>
          <w:color w:val="000000"/>
        </w:rPr>
        <w:t xml:space="preserve"> hours of static exposure (NOEC 0.</w:t>
      </w:r>
      <w:r>
        <w:rPr>
          <w:color w:val="000000"/>
        </w:rPr>
        <w:t>64</w:t>
      </w:r>
      <w:r w:rsidRPr="00E822EA">
        <w:rPr>
          <w:color w:val="000000"/>
        </w:rPr>
        <w:t xml:space="preserve"> </w:t>
      </w:r>
      <w:r w:rsidRPr="00E822EA">
        <w:rPr>
          <w:bCs/>
        </w:rPr>
        <w:t>μ</w:t>
      </w:r>
      <w:r w:rsidRPr="00E822EA">
        <w:rPr>
          <w:color w:val="000000"/>
        </w:rPr>
        <w:t>g ac/L). The resulting RAC is 0.</w:t>
      </w:r>
      <w:r>
        <w:rPr>
          <w:color w:val="000000"/>
        </w:rPr>
        <w:t>64</w:t>
      </w:r>
      <w:r w:rsidRPr="00E822EA">
        <w:rPr>
          <w:color w:val="000000"/>
        </w:rPr>
        <w:t xml:space="preserve"> </w:t>
      </w:r>
      <w:r w:rsidRPr="00E822EA">
        <w:rPr>
          <w:bCs/>
        </w:rPr>
        <w:t>μ</w:t>
      </w:r>
      <w:r w:rsidRPr="00E822EA">
        <w:rPr>
          <w:color w:val="000000"/>
        </w:rPr>
        <w:t xml:space="preserve">g ac/L (no assessment factor is applied to the NOEC). The underlying study is </w:t>
      </w:r>
      <w:r>
        <w:rPr>
          <w:color w:val="000000"/>
        </w:rPr>
        <w:t>Scheerbaum</w:t>
      </w:r>
      <w:r w:rsidRPr="00E822EA">
        <w:rPr>
          <w:color w:val="000000"/>
        </w:rPr>
        <w:t xml:space="preserve"> (200</w:t>
      </w:r>
      <w:r>
        <w:rPr>
          <w:color w:val="000000"/>
        </w:rPr>
        <w:t>4</w:t>
      </w:r>
      <w:r w:rsidRPr="00E822EA">
        <w:rPr>
          <w:color w:val="000000"/>
        </w:rPr>
        <w:t>) which was cited by ECHA (201</w:t>
      </w:r>
      <w:r>
        <w:rPr>
          <w:color w:val="000000"/>
        </w:rPr>
        <w:t>6c</w:t>
      </w:r>
      <w:r w:rsidRPr="00E822EA">
        <w:rPr>
          <w:color w:val="000000"/>
        </w:rPr>
        <w:t>). The underlying study is not protected in Australia.</w:t>
      </w:r>
    </w:p>
    <w:p w:rsidR="001B3354" w:rsidRPr="00E822EA" w:rsidRDefault="001B3354" w:rsidP="001B3354">
      <w:pPr>
        <w:pStyle w:val="Heading4"/>
      </w:pPr>
      <w:r w:rsidRPr="00E822EA">
        <w:t>Diuron</w:t>
      </w:r>
    </w:p>
    <w:p w:rsidR="001B3354" w:rsidRDefault="001B3354" w:rsidP="001B3354">
      <w:pPr>
        <w:pStyle w:val="NormalText"/>
      </w:pPr>
      <w:r w:rsidRPr="00E822EA">
        <w:t xml:space="preserve">The key regulatory endpoint </w:t>
      </w:r>
      <w:r>
        <w:t xml:space="preserve">was obtained from APVMA (2011) which </w:t>
      </w:r>
      <w:r w:rsidRPr="00E822EA">
        <w:t xml:space="preserve">is based on </w:t>
      </w:r>
      <w:r>
        <w:t xml:space="preserve">28 chronic values for primary producers (algae and aquatic plants). </w:t>
      </w:r>
      <w:r w:rsidRPr="00E822EA">
        <w:t xml:space="preserve">These NOEC values were used for the derivation of a </w:t>
      </w:r>
      <w:r>
        <w:t>SSD</w:t>
      </w:r>
      <w:r w:rsidRPr="00E822EA">
        <w:t xml:space="preserve"> and HC</w:t>
      </w:r>
      <w:r w:rsidRPr="00E822EA">
        <w:rPr>
          <w:vertAlign w:val="subscript"/>
        </w:rPr>
        <w:t>5</w:t>
      </w:r>
      <w:r>
        <w:t xml:space="preserve"> value (</w:t>
      </w:r>
      <w:r w:rsidRPr="00E822EA">
        <w:t xml:space="preserve">1.6 </w:t>
      </w:r>
      <w:r w:rsidRPr="00E822EA">
        <w:rPr>
          <w:bCs/>
        </w:rPr>
        <w:t>μ</w:t>
      </w:r>
      <w:r w:rsidRPr="00E822EA">
        <w:t xml:space="preserve">g ac/L). The resulting RAC is 1.6 </w:t>
      </w:r>
      <w:r w:rsidRPr="00E822EA">
        <w:rPr>
          <w:bCs/>
        </w:rPr>
        <w:t>μ</w:t>
      </w:r>
      <w:r w:rsidRPr="00E822EA">
        <w:t>g ac/L (no assessment factor is applied to the HC</w:t>
      </w:r>
      <w:r w:rsidRPr="00E822EA">
        <w:rPr>
          <w:vertAlign w:val="subscript"/>
        </w:rPr>
        <w:t>5</w:t>
      </w:r>
      <w:r w:rsidRPr="00E822EA">
        <w:t xml:space="preserve">). The underlying </w:t>
      </w:r>
      <w:r>
        <w:t>studies are listed in Appendix E of APVMA (2011) and are not protected.</w:t>
      </w:r>
    </w:p>
    <w:p w:rsidR="001B3354" w:rsidRPr="00E822EA" w:rsidRDefault="001B3354" w:rsidP="001B3354">
      <w:pPr>
        <w:pStyle w:val="Heading4"/>
      </w:pPr>
      <w:r w:rsidRPr="00E822EA">
        <w:lastRenderedPageBreak/>
        <w:t>Zinc pyrithione</w:t>
      </w:r>
    </w:p>
    <w:p w:rsidR="001B3354" w:rsidRPr="00E822EA" w:rsidRDefault="001B3354" w:rsidP="001B3354">
      <w:pPr>
        <w:pStyle w:val="NormalText"/>
      </w:pPr>
      <w:r w:rsidRPr="00E822EA">
        <w:rPr>
          <w:color w:val="000000"/>
        </w:rPr>
        <w:t xml:space="preserve">The key regulatory endpoint is based on reduced survival and growth and increased incidence of bent spinal columns in the early life stage of the fathead minnow </w:t>
      </w:r>
      <w:r w:rsidRPr="00FF44DE">
        <w:rPr>
          <w:i/>
          <w:color w:val="000000"/>
        </w:rPr>
        <w:t>Pimephales promelas</w:t>
      </w:r>
      <w:r w:rsidRPr="00E822EA">
        <w:rPr>
          <w:color w:val="000000"/>
        </w:rPr>
        <w:t xml:space="preserve"> following long-term exposure to 2.8 </w:t>
      </w:r>
      <w:r w:rsidRPr="00E822EA">
        <w:rPr>
          <w:bCs/>
        </w:rPr>
        <w:t>μ</w:t>
      </w:r>
      <w:r w:rsidRPr="00E822EA">
        <w:rPr>
          <w:color w:val="000000"/>
        </w:rPr>
        <w:t xml:space="preserve">g ac/L (NOEC 1.2 </w:t>
      </w:r>
      <w:r w:rsidRPr="00E822EA">
        <w:rPr>
          <w:bCs/>
        </w:rPr>
        <w:t>μ</w:t>
      </w:r>
      <w:r w:rsidRPr="00E822EA">
        <w:rPr>
          <w:color w:val="000000"/>
        </w:rPr>
        <w:t xml:space="preserve">g ac/L). The resulting RAC is 1.2 </w:t>
      </w:r>
      <w:r w:rsidRPr="00E822EA">
        <w:rPr>
          <w:bCs/>
        </w:rPr>
        <w:t>μ</w:t>
      </w:r>
      <w:r w:rsidRPr="00E822EA">
        <w:rPr>
          <w:color w:val="000000"/>
        </w:rPr>
        <w:t>g ac/L (no assessment factor is applied to the NOEC). The underlying study is Boeri et al</w:t>
      </w:r>
      <w:r>
        <w:rPr>
          <w:color w:val="000000"/>
        </w:rPr>
        <w:t>.</w:t>
      </w:r>
      <w:r w:rsidRPr="00E822EA">
        <w:rPr>
          <w:color w:val="000000"/>
        </w:rPr>
        <w:t xml:space="preserve"> (1999)</w:t>
      </w:r>
      <w:r>
        <w:rPr>
          <w:color w:val="000000"/>
        </w:rPr>
        <w:t>,</w:t>
      </w:r>
      <w:r w:rsidRPr="00E822EA">
        <w:rPr>
          <w:color w:val="000000"/>
        </w:rPr>
        <w:t xml:space="preserve"> which was cited by APVMA (2001) and USEPA (2004). The underlying study is not protected in Australia.</w:t>
      </w:r>
    </w:p>
    <w:p w:rsidR="001B3354" w:rsidRPr="00E822EA" w:rsidRDefault="001B3354" w:rsidP="001B3354">
      <w:pPr>
        <w:pStyle w:val="Heading4"/>
      </w:pPr>
      <w:r w:rsidRPr="00E822EA">
        <w:t>Zineb</w:t>
      </w:r>
    </w:p>
    <w:p w:rsidR="001B3354" w:rsidRPr="00E822EA" w:rsidRDefault="001B3354" w:rsidP="001B3354">
      <w:pPr>
        <w:pStyle w:val="NormalText"/>
        <w:rPr>
          <w:szCs w:val="20"/>
        </w:rPr>
      </w:pPr>
      <w:r w:rsidRPr="00E822EA">
        <w:rPr>
          <w:color w:val="000000"/>
        </w:rPr>
        <w:t xml:space="preserve">The key regulatory endpoint is based on reduced survival and growth in the early life stage of the fathead minnow </w:t>
      </w:r>
      <w:r w:rsidRPr="00FF44DE">
        <w:rPr>
          <w:i/>
          <w:color w:val="000000"/>
        </w:rPr>
        <w:t>Pimephales promelas</w:t>
      </w:r>
      <w:r w:rsidRPr="00E822EA">
        <w:rPr>
          <w:color w:val="000000"/>
        </w:rPr>
        <w:t xml:space="preserve"> following long-term exposure to 4.6 </w:t>
      </w:r>
      <w:r w:rsidRPr="00E822EA">
        <w:rPr>
          <w:bCs/>
        </w:rPr>
        <w:t>μ</w:t>
      </w:r>
      <w:r w:rsidRPr="00E822EA">
        <w:rPr>
          <w:color w:val="000000"/>
        </w:rPr>
        <w:t xml:space="preserve">g ac/L of mancozeb (NOEC 2.2 mg ac/L). Mancozeb is used as a surrogate for zineb because both are structurally similar as ethylenebisdithiocarbamate (EBDC) polymers and only the EBDC anion is considered to be of ecotoxicological significance. The resulting RAC is 2.2 </w:t>
      </w:r>
      <w:r w:rsidRPr="00E822EA">
        <w:rPr>
          <w:bCs/>
        </w:rPr>
        <w:t>μ</w:t>
      </w:r>
      <w:r w:rsidRPr="00E822EA">
        <w:rPr>
          <w:color w:val="000000"/>
        </w:rPr>
        <w:t>g ac/L (no assessment factor is applied to the NOEC). The u</w:t>
      </w:r>
      <w:r>
        <w:rPr>
          <w:color w:val="000000"/>
        </w:rPr>
        <w:t>nderlying study is Rhodes et al.</w:t>
      </w:r>
      <w:r w:rsidRPr="00E822EA">
        <w:rPr>
          <w:color w:val="000000"/>
        </w:rPr>
        <w:t xml:space="preserve"> (1994)</w:t>
      </w:r>
      <w:r>
        <w:rPr>
          <w:color w:val="000000"/>
        </w:rPr>
        <w:t>,</w:t>
      </w:r>
      <w:r w:rsidRPr="00E822EA">
        <w:rPr>
          <w:color w:val="000000"/>
        </w:rPr>
        <w:t xml:space="preserve"> which was cited by EC (2009), PMRA (2013) and USEPA (2005). The underlying study is not protected in Australia.</w:t>
      </w:r>
      <w:r>
        <w:rPr>
          <w:color w:val="000000"/>
        </w:rPr>
        <w:t xml:space="preserve"> </w:t>
      </w:r>
      <w:r w:rsidRPr="00E822EA">
        <w:rPr>
          <w:color w:val="000000"/>
        </w:rPr>
        <w:t xml:space="preserve">The mancozeb endpoint was utilised by ECHA (2013) in its assessment of zineb as an </w:t>
      </w:r>
      <w:r>
        <w:rPr>
          <w:color w:val="000000"/>
        </w:rPr>
        <w:t>anti-fouling</w:t>
      </w:r>
      <w:r w:rsidRPr="00E822EA">
        <w:rPr>
          <w:color w:val="000000"/>
        </w:rPr>
        <w:t xml:space="preserve"> paint.</w:t>
      </w:r>
    </w:p>
    <w:p w:rsidR="001B3354" w:rsidRDefault="001B3354" w:rsidP="001B3354">
      <w:pPr>
        <w:pStyle w:val="Heading3"/>
      </w:pPr>
      <w:bookmarkStart w:id="14" w:name="_Toc33710307"/>
      <w:r>
        <w:t>Bees and other non-target arthropods</w:t>
      </w:r>
      <w:bookmarkEnd w:id="14"/>
    </w:p>
    <w:p w:rsidR="001B3354" w:rsidRPr="00B41C98" w:rsidRDefault="001B3354" w:rsidP="001B3354">
      <w:pPr>
        <w:pStyle w:val="NormalText"/>
      </w:pPr>
      <w:r w:rsidRPr="00B41C98">
        <w:t>Exposure of bees and other non-target arthropods to the active constituents of anti</w:t>
      </w:r>
      <w:r>
        <w:t>-</w:t>
      </w:r>
      <w:r w:rsidRPr="00B41C98">
        <w:t>fouling</w:t>
      </w:r>
      <w:r>
        <w:t xml:space="preserve">s </w:t>
      </w:r>
      <w:r w:rsidRPr="00B41C98">
        <w:t>is considered to be negligible. Risks of anti</w:t>
      </w:r>
      <w:r>
        <w:t>-</w:t>
      </w:r>
      <w:r w:rsidRPr="00B41C98">
        <w:t>fouling</w:t>
      </w:r>
      <w:r>
        <w:t>s</w:t>
      </w:r>
      <w:r w:rsidRPr="00B41C98">
        <w:t xml:space="preserve"> to bees and other non-target arthropods are considered to be acceptable.</w:t>
      </w:r>
    </w:p>
    <w:p w:rsidR="001B3354" w:rsidRDefault="001B3354" w:rsidP="001B3354">
      <w:pPr>
        <w:pStyle w:val="Heading3"/>
      </w:pPr>
      <w:bookmarkStart w:id="15" w:name="_Toc33710308"/>
      <w:r>
        <w:t>Soil organisms and non-target terrestrial plants</w:t>
      </w:r>
      <w:bookmarkEnd w:id="15"/>
    </w:p>
    <w:p w:rsidR="001B3354" w:rsidRPr="00B41C98" w:rsidRDefault="001B3354" w:rsidP="001B3354">
      <w:pPr>
        <w:pStyle w:val="NormalText"/>
      </w:pPr>
      <w:r w:rsidRPr="00B41C98">
        <w:t>Direct exposure is possible during application or removal of paint from pleasure craft. Exposure to soil is not considered a typical case scenario but depends on the control measures of the boat yard. Exposure of soil is mitigated b</w:t>
      </w:r>
      <w:r>
        <w:t>y the following label restraint:</w:t>
      </w:r>
    </w:p>
    <w:p w:rsidR="001B3354" w:rsidRDefault="001B3354" w:rsidP="001B3354">
      <w:pPr>
        <w:pStyle w:val="NormalText"/>
        <w:rPr>
          <w:rStyle w:val="Emphasis"/>
        </w:rPr>
        <w:sectPr w:rsidR="001B3354" w:rsidSect="001B3354">
          <w:headerReference w:type="even" r:id="rId21"/>
          <w:headerReference w:type="default" r:id="rId22"/>
          <w:pgSz w:w="11906" w:h="16838" w:code="9"/>
          <w:pgMar w:top="2835" w:right="1134" w:bottom="1134" w:left="1134" w:header="1701" w:footer="680" w:gutter="0"/>
          <w:pgNumType w:start="1"/>
          <w:cols w:space="708"/>
          <w:docGrid w:linePitch="360"/>
        </w:sectPr>
      </w:pPr>
      <w:r w:rsidRPr="00FF44DE">
        <w:rPr>
          <w:rStyle w:val="Emphasis"/>
        </w:rPr>
        <w:t>DO NOT contaminate soil or waterways with paint, dust and scrapings, or with used containers.</w:t>
      </w:r>
    </w:p>
    <w:p w:rsidR="002F4591" w:rsidRDefault="002A3239" w:rsidP="002F4591">
      <w:pPr>
        <w:pStyle w:val="APVMACoverTitle"/>
        <w:spacing w:before="7200"/>
        <w:jc w:val="center"/>
      </w:pPr>
      <w:bookmarkStart w:id="16" w:name="_Toc414373842"/>
      <w:bookmarkStart w:id="17" w:name="_Toc231963183"/>
      <w:bookmarkStart w:id="18" w:name="_Toc231963195"/>
      <w:bookmarkEnd w:id="2"/>
      <w:r>
        <w:rPr>
          <w:noProof/>
          <w:lang w:eastAsia="en-AU"/>
        </w:rPr>
        <w:lastRenderedPageBreak/>
        <w:drawing>
          <wp:inline distT="0" distB="0" distL="0" distR="0">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rsidR="009D452E" w:rsidRDefault="009D452E" w:rsidP="002F4591">
      <w:pPr>
        <w:pStyle w:val="APVMACoverTitle"/>
        <w:spacing w:before="1920"/>
        <w:jc w:val="center"/>
        <w:sectPr w:rsidR="009D452E">
          <w:headerReference w:type="even" r:id="rId24"/>
          <w:headerReference w:type="default" r:id="rId25"/>
          <w:footerReference w:type="default" r:id="rId26"/>
          <w:pgSz w:w="11906" w:h="16838" w:code="9"/>
          <w:pgMar w:top="2835" w:right="1134" w:bottom="1134" w:left="1134" w:header="1701" w:footer="680" w:gutter="0"/>
          <w:cols w:space="708"/>
          <w:docGrid w:linePitch="360"/>
        </w:sectPr>
      </w:pPr>
      <w:r>
        <w:t>Appendix</w:t>
      </w:r>
    </w:p>
    <w:p w:rsidR="009D452E" w:rsidRDefault="002E20AC" w:rsidP="00FB0015">
      <w:pPr>
        <w:pStyle w:val="APVMAGlossaryRefH1"/>
        <w:spacing w:after="240"/>
      </w:pPr>
      <w:bookmarkStart w:id="19" w:name="_Toc231963196"/>
      <w:bookmarkStart w:id="20" w:name="_Toc414373850"/>
      <w:bookmarkStart w:id="21" w:name="_Toc33710309"/>
      <w:bookmarkEnd w:id="16"/>
      <w:bookmarkEnd w:id="17"/>
      <w:bookmarkEnd w:id="18"/>
      <w:r>
        <w:lastRenderedPageBreak/>
        <w:t>Reference</w:t>
      </w:r>
      <w:bookmarkEnd w:id="19"/>
      <w:bookmarkEnd w:id="20"/>
      <w:r w:rsidR="002A3239">
        <w:t>s</w:t>
      </w:r>
      <w:bookmarkEnd w:id="21"/>
    </w:p>
    <w:p w:rsidR="001B3354" w:rsidRDefault="001B3354" w:rsidP="001B3354">
      <w:pPr>
        <w:pStyle w:val="NormalText"/>
      </w:pPr>
      <w:r>
        <w:t xml:space="preserve">ABC Laboratories 2010, </w:t>
      </w:r>
      <w:r w:rsidRPr="001B3354">
        <w:rPr>
          <w:i/>
        </w:rPr>
        <w:t>Static growth inhibition test with the marine diatom</w:t>
      </w:r>
      <w:r>
        <w:t xml:space="preserve">, </w:t>
      </w:r>
      <w:r w:rsidRPr="00DF4D6B">
        <w:rPr>
          <w:i/>
        </w:rPr>
        <w:t>Skeletonema costatum</w:t>
      </w:r>
      <w:r>
        <w:t>, study no. 66218, unpublished.</w:t>
      </w:r>
    </w:p>
    <w:p w:rsidR="001B3354" w:rsidRPr="00A4200E" w:rsidRDefault="001B3354" w:rsidP="001B3354">
      <w:pPr>
        <w:pStyle w:val="NormalText"/>
      </w:pPr>
      <w:r>
        <w:t>APVMA 2001,</w:t>
      </w:r>
      <w:r w:rsidRPr="00A4200E">
        <w:t xml:space="preserve"> </w:t>
      </w:r>
      <w:r w:rsidRPr="001B3354">
        <w:rPr>
          <w:i/>
        </w:rPr>
        <w:t>Public release summary on evaluation of the new active zinc pyrithione in the product International Intersmooth 360 Ecoloflex Anti-fouling</w:t>
      </w:r>
      <w:r>
        <w:t xml:space="preserve">, available at </w:t>
      </w:r>
      <w:hyperlink r:id="rId27" w:history="1">
        <w:r w:rsidRPr="00A4200E">
          <w:rPr>
            <w:rStyle w:val="Hyperlink"/>
            <w:sz w:val="20"/>
            <w:szCs w:val="20"/>
          </w:rPr>
          <w:t>apvma.gov.au/node/11051</w:t>
        </w:r>
      </w:hyperlink>
      <w:r>
        <w:rPr>
          <w:rStyle w:val="Hyperlink"/>
          <w:sz w:val="20"/>
          <w:szCs w:val="20"/>
        </w:rPr>
        <w:t>.</w:t>
      </w:r>
    </w:p>
    <w:p w:rsidR="001B3354" w:rsidRPr="00A4200E" w:rsidRDefault="001B3354" w:rsidP="001B3354">
      <w:pPr>
        <w:pStyle w:val="NormalText"/>
      </w:pPr>
      <w:r>
        <w:t>APVMA 2011,</w:t>
      </w:r>
      <w:r w:rsidRPr="00A4200E">
        <w:t xml:space="preserve"> </w:t>
      </w:r>
      <w:r w:rsidRPr="001B3354">
        <w:rPr>
          <w:i/>
        </w:rPr>
        <w:t>Diuron environment assessment</w:t>
      </w:r>
      <w:r>
        <w:t xml:space="preserve">, APVMA, Symonston, ACT, available at </w:t>
      </w:r>
      <w:hyperlink r:id="rId28" w:history="1">
        <w:r w:rsidRPr="001B3354">
          <w:rPr>
            <w:rStyle w:val="Hyperlink"/>
            <w:sz w:val="20"/>
            <w:szCs w:val="20"/>
          </w:rPr>
          <w:t>apvma.gov.au/node/15386</w:t>
        </w:r>
      </w:hyperlink>
      <w:r>
        <w:rPr>
          <w:rStyle w:val="Hyperlink"/>
          <w:sz w:val="20"/>
          <w:szCs w:val="20"/>
        </w:rPr>
        <w:t>.</w:t>
      </w:r>
    </w:p>
    <w:p w:rsidR="001B3354" w:rsidRDefault="001B3354" w:rsidP="001B3354">
      <w:pPr>
        <w:pStyle w:val="NormalText"/>
      </w:pPr>
      <w:r w:rsidRPr="009A013D">
        <w:t>Boeri, RL, Magazu</w:t>
      </w:r>
      <w:r>
        <w:t>,</w:t>
      </w:r>
      <w:r w:rsidRPr="009A013D">
        <w:t xml:space="preserve"> JP, Ward</w:t>
      </w:r>
      <w:r>
        <w:t>,</w:t>
      </w:r>
      <w:r w:rsidRPr="009A013D">
        <w:t xml:space="preserve"> TJ 1999, </w:t>
      </w:r>
      <w:r w:rsidRPr="001B3354">
        <w:rPr>
          <w:i/>
        </w:rPr>
        <w:t>Early life-stage toxicity of zinc pyrithione and pyridine-2-sulfonic acid (persistent terminal degradant) to the fathead minnow</w:t>
      </w:r>
      <w:r w:rsidRPr="009A013D">
        <w:t xml:space="preserve">, </w:t>
      </w:r>
      <w:r w:rsidRPr="009A013D">
        <w:rPr>
          <w:i/>
        </w:rPr>
        <w:t>Pimephales promelas</w:t>
      </w:r>
      <w:r w:rsidRPr="009A013D">
        <w:t>, Study number 1678-OL, unpublished, study is not protected in Australia</w:t>
      </w:r>
      <w:r>
        <w:t>.</w:t>
      </w:r>
    </w:p>
    <w:p w:rsidR="001B3354" w:rsidRPr="009A013D" w:rsidRDefault="001B3354" w:rsidP="001B3354">
      <w:pPr>
        <w:pStyle w:val="NormalText"/>
      </w:pPr>
      <w:r>
        <w:t xml:space="preserve">Cameron, BD et al. 1989, </w:t>
      </w:r>
      <w:r w:rsidRPr="001B3354">
        <w:rPr>
          <w:i/>
        </w:rPr>
        <w:t>Cuprous thiocyanate: Determination of acute toxicity (LD50) to Daphnia (48 hour, static)</w:t>
      </w:r>
      <w:r>
        <w:t xml:space="preserve">, report no. 5624, unpublished, </w:t>
      </w:r>
      <w:r w:rsidRPr="009A013D">
        <w:t>study is not protected in Australia</w:t>
      </w:r>
      <w:r>
        <w:t>.</w:t>
      </w:r>
    </w:p>
    <w:p w:rsidR="001B3354" w:rsidRDefault="001B3354" w:rsidP="001B3354">
      <w:pPr>
        <w:pStyle w:val="NormalText"/>
      </w:pPr>
      <w:r w:rsidRPr="00A4200E">
        <w:t>CEPE Anti-Fouling Working Group (2003)</w:t>
      </w:r>
      <w:r>
        <w:t>,</w:t>
      </w:r>
      <w:r w:rsidRPr="00A4200E">
        <w:t xml:space="preserve"> </w:t>
      </w:r>
      <w:r w:rsidRPr="001B3354">
        <w:rPr>
          <w:i/>
        </w:rPr>
        <w:t>Provision of biocide leaching rate data for anti-fouling products,</w:t>
      </w:r>
      <w:r>
        <w:t xml:space="preserve"> a</w:t>
      </w:r>
      <w:r w:rsidRPr="00A4200E">
        <w:t xml:space="preserve"> discussion document from the Ant</w:t>
      </w:r>
      <w:r>
        <w:t>i-Fouling Working Group of CEPE, Annex II in OECD (2005).</w:t>
      </w:r>
    </w:p>
    <w:p w:rsidR="001B3354" w:rsidRDefault="001B3354" w:rsidP="001B3354">
      <w:pPr>
        <w:pStyle w:val="NormalText"/>
      </w:pPr>
      <w:r>
        <w:t xml:space="preserve">EC (European Commission) 2009, </w:t>
      </w:r>
      <w:r w:rsidRPr="001B3354">
        <w:rPr>
          <w:i/>
        </w:rPr>
        <w:t>Review report for the active substance mancozeb,</w:t>
      </w:r>
      <w:r>
        <w:t xml:space="preserve"> SANCO/4058/2001 rev 4.4.</w:t>
      </w:r>
    </w:p>
    <w:p w:rsidR="001B3354" w:rsidRPr="00A4200E" w:rsidRDefault="001B3354" w:rsidP="001B3354">
      <w:pPr>
        <w:pStyle w:val="NormalText"/>
      </w:pPr>
      <w:r w:rsidRPr="00A4200E">
        <w:t>E</w:t>
      </w:r>
      <w:r>
        <w:t>CHA (European Chemicals Agency)</w:t>
      </w:r>
      <w:r w:rsidRPr="00A4200E">
        <w:t xml:space="preserve"> 201</w:t>
      </w:r>
      <w:r>
        <w:t>3</w:t>
      </w:r>
      <w:r w:rsidRPr="001B3354">
        <w:rPr>
          <w:i/>
        </w:rPr>
        <w:t>, Assessment report on zineb, Product type 21 (anti-fouling products),</w:t>
      </w:r>
      <w:r w:rsidRPr="00A4200E">
        <w:t xml:space="preserve"> Rapporteur Member State: </w:t>
      </w:r>
      <w:r>
        <w:t>Ireland.</w:t>
      </w:r>
    </w:p>
    <w:p w:rsidR="001B3354" w:rsidRPr="00A4200E" w:rsidRDefault="001B3354" w:rsidP="001B3354">
      <w:pPr>
        <w:pStyle w:val="NormalText"/>
      </w:pPr>
      <w:r w:rsidRPr="00A4200E">
        <w:t>E</w:t>
      </w:r>
      <w:r>
        <w:t>CHA (European Chemicals Agency)</w:t>
      </w:r>
      <w:r w:rsidRPr="00A4200E">
        <w:t xml:space="preserve"> 2015, </w:t>
      </w:r>
      <w:r w:rsidRPr="001B3354">
        <w:rPr>
          <w:i/>
        </w:rPr>
        <w:t>Assessment report on copper pyrithione, Product type 21 (anti-fouling products),</w:t>
      </w:r>
      <w:r w:rsidRPr="00A4200E">
        <w:t xml:space="preserve"> R</w:t>
      </w:r>
      <w:r>
        <w:t>apporteur Member State: Sweden.</w:t>
      </w:r>
    </w:p>
    <w:p w:rsidR="001B3354" w:rsidRPr="00A4200E" w:rsidRDefault="001B3354" w:rsidP="001B3354">
      <w:pPr>
        <w:pStyle w:val="NormalText"/>
      </w:pPr>
      <w:r w:rsidRPr="00A4200E">
        <w:t>ECHA (European Chemicals Agen</w:t>
      </w:r>
      <w:r>
        <w:t>cy)</w:t>
      </w:r>
      <w:r w:rsidRPr="00A4200E">
        <w:t xml:space="preserve"> 2016</w:t>
      </w:r>
      <w:r>
        <w:t>a</w:t>
      </w:r>
      <w:r w:rsidRPr="00A4200E">
        <w:t xml:space="preserve">, </w:t>
      </w:r>
      <w:r w:rsidRPr="001B3354">
        <w:rPr>
          <w:i/>
        </w:rPr>
        <w:t>Assessment report on dicopper oxide, Product type 21 (anti-fouling products),</w:t>
      </w:r>
      <w:r w:rsidRPr="00A4200E">
        <w:t xml:space="preserve"> </w:t>
      </w:r>
      <w:r>
        <w:t>Rapporteur Member State: France.</w:t>
      </w:r>
    </w:p>
    <w:p w:rsidR="001B3354" w:rsidRPr="00A4200E" w:rsidRDefault="001B3354" w:rsidP="001B3354">
      <w:pPr>
        <w:pStyle w:val="NormalText"/>
      </w:pPr>
      <w:r w:rsidRPr="00A4200E">
        <w:t>E</w:t>
      </w:r>
      <w:r>
        <w:t>CHA (European Chemicals Agency)</w:t>
      </w:r>
      <w:r w:rsidRPr="00A4200E">
        <w:t xml:space="preserve"> 2016</w:t>
      </w:r>
      <w:r>
        <w:t>b</w:t>
      </w:r>
      <w:r w:rsidRPr="00A4200E">
        <w:t xml:space="preserve">, </w:t>
      </w:r>
      <w:r w:rsidRPr="001B3354">
        <w:rPr>
          <w:i/>
        </w:rPr>
        <w:t>Assessment report on copper thiocyanate, Product type 21 (anti-fouling products),</w:t>
      </w:r>
      <w:r w:rsidRPr="00A4200E">
        <w:t xml:space="preserve"> Rapporteur </w:t>
      </w:r>
      <w:r>
        <w:t>Member State: France.</w:t>
      </w:r>
    </w:p>
    <w:p w:rsidR="001B3354" w:rsidRPr="00A4200E" w:rsidRDefault="001B3354" w:rsidP="001B3354">
      <w:pPr>
        <w:pStyle w:val="NormalText"/>
      </w:pPr>
      <w:r w:rsidRPr="00A4200E">
        <w:t>ECHA (European Chemicals Agency) 2016</w:t>
      </w:r>
      <w:r>
        <w:t>c</w:t>
      </w:r>
      <w:r w:rsidRPr="00A4200E">
        <w:t xml:space="preserve">, </w:t>
      </w:r>
      <w:r w:rsidRPr="001B3354">
        <w:rPr>
          <w:i/>
        </w:rPr>
        <w:t xml:space="preserve">Assessment report on dichlofluanid, Product type 21 (anti-fouling products), </w:t>
      </w:r>
      <w:r w:rsidRPr="00A4200E">
        <w:t xml:space="preserve">Rapporteur Member State: </w:t>
      </w:r>
      <w:r>
        <w:t>UK.</w:t>
      </w:r>
    </w:p>
    <w:p w:rsidR="001B3354" w:rsidRPr="00A4200E" w:rsidRDefault="001B3354" w:rsidP="001B3354">
      <w:pPr>
        <w:pStyle w:val="NormalText"/>
        <w:rPr>
          <w:color w:val="000000"/>
        </w:rPr>
      </w:pPr>
      <w:r w:rsidRPr="00A4200E">
        <w:rPr>
          <w:color w:val="000000"/>
        </w:rPr>
        <w:t>Finnie</w:t>
      </w:r>
      <w:r>
        <w:rPr>
          <w:color w:val="000000"/>
        </w:rPr>
        <w:t>,</w:t>
      </w:r>
      <w:r w:rsidRPr="00A4200E">
        <w:rPr>
          <w:color w:val="000000"/>
        </w:rPr>
        <w:t xml:space="preserve"> AA (2006</w:t>
      </w:r>
      <w:r w:rsidRPr="001B3354">
        <w:rPr>
          <w:i/>
          <w:color w:val="000000"/>
        </w:rPr>
        <w:t>), Improved estimates of environmental copper release rates from anti-fouling products,</w:t>
      </w:r>
      <w:r>
        <w:rPr>
          <w:color w:val="000000"/>
        </w:rPr>
        <w:t xml:space="preserve"> Biofouling 22: 279–91.</w:t>
      </w:r>
    </w:p>
    <w:p w:rsidR="001B3354" w:rsidRPr="00A4200E" w:rsidRDefault="001B3354" w:rsidP="001B3354">
      <w:pPr>
        <w:pStyle w:val="NormalText"/>
      </w:pPr>
      <w:r w:rsidRPr="00A4200E">
        <w:t>Gadd</w:t>
      </w:r>
      <w:r>
        <w:t>,</w:t>
      </w:r>
      <w:r w:rsidRPr="00A4200E">
        <w:t xml:space="preserve"> J, Depree</w:t>
      </w:r>
      <w:r>
        <w:t>,</w:t>
      </w:r>
      <w:r w:rsidRPr="00A4200E">
        <w:t xml:space="preserve"> C and Hickey</w:t>
      </w:r>
      <w:r>
        <w:t xml:space="preserve">, C </w:t>
      </w:r>
      <w:r w:rsidRPr="00A4200E">
        <w:t>2011</w:t>
      </w:r>
      <w:r>
        <w:t>,</w:t>
      </w:r>
      <w:r w:rsidRPr="00A4200E">
        <w:t xml:space="preserve"> </w:t>
      </w:r>
      <w:r w:rsidRPr="001B3354">
        <w:rPr>
          <w:i/>
        </w:rPr>
        <w:t xml:space="preserve">Relevance to New Zealand of the OECD Emission Scenario Document for Anti-fouling Products: Phase 2 Report, </w:t>
      </w:r>
      <w:r w:rsidRPr="00A4200E">
        <w:t>National Institute of Water &amp; Atmospheric Research Ltd (NIWA), Hamilto</w:t>
      </w:r>
      <w:r>
        <w:t xml:space="preserve">n, New Zealand, available at </w:t>
      </w:r>
      <w:hyperlink r:id="rId29" w:history="1">
        <w:r w:rsidRPr="00A4200E">
          <w:rPr>
            <w:rStyle w:val="Hyperlink"/>
            <w:sz w:val="20"/>
            <w:szCs w:val="20"/>
          </w:rPr>
          <w:t>epa.govt.nz/Publications/EPA%20</w:t>
        </w:r>
        <w:r>
          <w:rPr>
            <w:rStyle w:val="Hyperlink"/>
            <w:sz w:val="20"/>
            <w:szCs w:val="20"/>
          </w:rPr>
          <w:t>Anti-fouling</w:t>
        </w:r>
        <w:r w:rsidRPr="00A4200E">
          <w:rPr>
            <w:rStyle w:val="Hyperlink"/>
            <w:sz w:val="20"/>
            <w:szCs w:val="20"/>
          </w:rPr>
          <w:t>Phase2_FINALx.pdf</w:t>
        </w:r>
      </w:hyperlink>
      <w:r>
        <w:rPr>
          <w:rStyle w:val="Hyperlink"/>
          <w:sz w:val="20"/>
          <w:szCs w:val="20"/>
        </w:rPr>
        <w:t>.</w:t>
      </w:r>
    </w:p>
    <w:p w:rsidR="001B3354" w:rsidRDefault="001B3354" w:rsidP="001B3354">
      <w:pPr>
        <w:pStyle w:val="NormalText"/>
      </w:pPr>
      <w:r w:rsidRPr="00A4200E">
        <w:t>Hellio</w:t>
      </w:r>
      <w:r>
        <w:t>,</w:t>
      </w:r>
      <w:r w:rsidRPr="00A4200E">
        <w:t xml:space="preserve"> C and Yebra</w:t>
      </w:r>
      <w:r>
        <w:t>, D Ed 2009,</w:t>
      </w:r>
      <w:r w:rsidRPr="00A4200E">
        <w:t xml:space="preserve"> </w:t>
      </w:r>
      <w:r w:rsidRPr="001B3354">
        <w:rPr>
          <w:i/>
        </w:rPr>
        <w:t>Advances in marine anti-fouling coatings and technologies,</w:t>
      </w:r>
      <w:r w:rsidRPr="00A4200E">
        <w:t xml:space="preserve"> Woodhead Publishing Limited and CRC Press L</w:t>
      </w:r>
      <w:r>
        <w:t>LC 2009, ISBN 978-1-84569-386-2.</w:t>
      </w:r>
    </w:p>
    <w:p w:rsidR="001B3354" w:rsidRDefault="001B3354" w:rsidP="001B3354">
      <w:pPr>
        <w:pStyle w:val="NormalText"/>
      </w:pPr>
      <w:r>
        <w:lastRenderedPageBreak/>
        <w:t xml:space="preserve">Madsen, T, Samsøe-Petersen, L, Gustavson, K, Rasmussen, D 2000, </w:t>
      </w:r>
      <w:r w:rsidRPr="001B3354">
        <w:rPr>
          <w:i/>
        </w:rPr>
        <w:t>Ecotoxicological assessment of anti-fouling biocides and nonbiocidal anti-fouling paints,</w:t>
      </w:r>
      <w:r>
        <w:t xml:space="preserve"> DHI Water &amp; Environment, Environmental Project 531 Miljøprojekt.</w:t>
      </w:r>
    </w:p>
    <w:p w:rsidR="001B3354" w:rsidRDefault="001B3354" w:rsidP="001B3354">
      <w:pPr>
        <w:pStyle w:val="NormalText"/>
      </w:pPr>
      <w:r>
        <w:t xml:space="preserve">Mayer, P, Oldersma, H, Schoonmade, JA, Vink, AA 2002, </w:t>
      </w:r>
      <w:r w:rsidRPr="001B3354">
        <w:rPr>
          <w:i/>
        </w:rPr>
        <w:t>Determination of the effect of copper pyrithione on the growth of the marine diatom Skeletonema costatum</w:t>
      </w:r>
      <w:r>
        <w:t xml:space="preserve"> (International Guidance ISO 10253), report no. V2422/03, unpublished.</w:t>
      </w:r>
    </w:p>
    <w:p w:rsidR="001B3354" w:rsidRPr="00A4200E" w:rsidRDefault="001B3354" w:rsidP="001B3354">
      <w:pPr>
        <w:pStyle w:val="NormalText"/>
      </w:pPr>
      <w:r>
        <w:t xml:space="preserve">Minderhout, T, Kendall, TZ, Krueger, HO 2008, </w:t>
      </w:r>
      <w:r w:rsidRPr="001B3354">
        <w:rPr>
          <w:i/>
        </w:rPr>
        <w:t xml:space="preserve">Copper pyrithione: A 96-hour toxicity test with the marine diatom </w:t>
      </w:r>
      <w:r>
        <w:t>(</w:t>
      </w:r>
      <w:r w:rsidRPr="00A440A5">
        <w:rPr>
          <w:i/>
        </w:rPr>
        <w:t>Skeletonema costatum</w:t>
      </w:r>
      <w:r>
        <w:t>), project no. 652A-103, unpublished.</w:t>
      </w:r>
    </w:p>
    <w:p w:rsidR="001B3354" w:rsidRPr="00A4200E" w:rsidRDefault="001B3354" w:rsidP="001B3354">
      <w:pPr>
        <w:pStyle w:val="NormalText"/>
      </w:pPr>
      <w:r>
        <w:t>OECD 2005,</w:t>
      </w:r>
      <w:r w:rsidRPr="00A4200E">
        <w:t xml:space="preserve"> </w:t>
      </w:r>
      <w:r w:rsidRPr="001B3354">
        <w:rPr>
          <w:i/>
        </w:rPr>
        <w:t>Emission Scenario Document on Anti-fouling Products (and Annex),</w:t>
      </w:r>
      <w:r w:rsidRPr="00A4200E">
        <w:t xml:space="preserve"> OECD Series on Emi</w:t>
      </w:r>
      <w:r>
        <w:t>ssion Scenario Documents No. 13,</w:t>
      </w:r>
      <w:r w:rsidRPr="00A4200E">
        <w:t xml:space="preserve"> OECD Environmental Health and Safety Publications</w:t>
      </w:r>
      <w:r>
        <w:t>,</w:t>
      </w:r>
      <w:r w:rsidRPr="00A4200E">
        <w:t xml:space="preserve"> Environment Directorate, Organisation for Economic</w:t>
      </w:r>
      <w:r>
        <w:t xml:space="preserve"> Co-Operation and Development,</w:t>
      </w:r>
      <w:r w:rsidRPr="00A4200E">
        <w:t xml:space="preserve"> Organisation for Economic Co-operat</w:t>
      </w:r>
      <w:r>
        <w:t xml:space="preserve">ion and Development 05-Apr-2005 available at </w:t>
      </w:r>
      <w:hyperlink r:id="rId30" w:history="1">
        <w:r w:rsidRPr="00A4200E">
          <w:rPr>
            <w:rStyle w:val="Hyperlink"/>
            <w:sz w:val="20"/>
            <w:szCs w:val="20"/>
          </w:rPr>
          <w:t>oecd.org/chemicalsafety/risk-assessment/emissionscenariodocuments.htm</w:t>
        </w:r>
      </w:hyperlink>
      <w:r>
        <w:rPr>
          <w:rStyle w:val="Hyperlink"/>
          <w:sz w:val="20"/>
          <w:szCs w:val="20"/>
        </w:rPr>
        <w:t>.</w:t>
      </w:r>
    </w:p>
    <w:p w:rsidR="001B3354" w:rsidRDefault="001B3354" w:rsidP="001B3354">
      <w:pPr>
        <w:pStyle w:val="NormalText"/>
        <w:rPr>
          <w:color w:val="000000"/>
        </w:rPr>
      </w:pPr>
      <w:r>
        <w:rPr>
          <w:color w:val="000000"/>
        </w:rPr>
        <w:t xml:space="preserve">PMRA (Pest Management Regulatory Agency) 2013, </w:t>
      </w:r>
      <w:r w:rsidRPr="001B3354">
        <w:rPr>
          <w:i/>
          <w:color w:val="000000"/>
        </w:rPr>
        <w:t>Proposed Re-evaluation Decision PRVD2013-01</w:t>
      </w:r>
      <w:r>
        <w:rPr>
          <w:color w:val="000000"/>
        </w:rPr>
        <w:t>: Mancozeb, PMRA, Health Canada, Ottawa, ON.</w:t>
      </w:r>
    </w:p>
    <w:p w:rsidR="001B3354" w:rsidRDefault="001B3354" w:rsidP="001B3354">
      <w:pPr>
        <w:pStyle w:val="NormalText"/>
        <w:rPr>
          <w:color w:val="000000"/>
        </w:rPr>
      </w:pPr>
      <w:r>
        <w:rPr>
          <w:color w:val="000000"/>
        </w:rPr>
        <w:t xml:space="preserve">Rhodes, JE, Downing, J, Bielefeld, T 1994, </w:t>
      </w:r>
      <w:r w:rsidRPr="001B3354">
        <w:rPr>
          <w:i/>
          <w:color w:val="000000"/>
        </w:rPr>
        <w:t>Early life-stage toxicity of mancozeb to fathead minnow (Pimephales promelas) under flow-through conditions,</w:t>
      </w:r>
      <w:r>
        <w:rPr>
          <w:color w:val="000000"/>
        </w:rPr>
        <w:t xml:space="preserve"> Report no. CRX_GPYS-FNN (ER Ref 78.2), unpublished, study is not protected in Australia.</w:t>
      </w:r>
    </w:p>
    <w:p w:rsidR="001B3354" w:rsidRDefault="001B3354" w:rsidP="001B3354">
      <w:pPr>
        <w:pStyle w:val="NormalText"/>
        <w:rPr>
          <w:color w:val="000000"/>
        </w:rPr>
      </w:pPr>
      <w:r w:rsidRPr="00A4200E">
        <w:rPr>
          <w:color w:val="000000"/>
        </w:rPr>
        <w:t>RMRC 2013</w:t>
      </w:r>
      <w:r>
        <w:rPr>
          <w:color w:val="000000"/>
        </w:rPr>
        <w:t>,</w:t>
      </w:r>
      <w:r w:rsidRPr="00A4200E">
        <w:rPr>
          <w:color w:val="000000"/>
        </w:rPr>
        <w:t xml:space="preserve"> </w:t>
      </w:r>
      <w:r w:rsidRPr="001B3354">
        <w:rPr>
          <w:i/>
          <w:color w:val="000000"/>
        </w:rPr>
        <w:t>Health of the Australian Marina Industry (HAMI) Survey</w:t>
      </w:r>
      <w:r w:rsidRPr="00A4200E">
        <w:rPr>
          <w:color w:val="000000"/>
        </w:rPr>
        <w:t>, Australian Marinas: Economic, Social and Environmental Performance Marina Industries Association</w:t>
      </w:r>
      <w:r>
        <w:rPr>
          <w:color w:val="000000"/>
        </w:rPr>
        <w:t>.</w:t>
      </w:r>
    </w:p>
    <w:p w:rsidR="001B3354" w:rsidRDefault="001B3354" w:rsidP="001B3354">
      <w:pPr>
        <w:pStyle w:val="NormalText"/>
        <w:rPr>
          <w:color w:val="000000"/>
        </w:rPr>
      </w:pPr>
      <w:r>
        <w:rPr>
          <w:color w:val="000000"/>
        </w:rPr>
        <w:t xml:space="preserve">Scheerbaum, D 2004, </w:t>
      </w:r>
      <w:r w:rsidRPr="001B3354">
        <w:rPr>
          <w:i/>
          <w:color w:val="000000"/>
        </w:rPr>
        <w:t>Preventol A4-S: Algal growth inhibition test with Skeletonema costatum 96h,</w:t>
      </w:r>
      <w:r>
        <w:rPr>
          <w:color w:val="000000"/>
        </w:rPr>
        <w:t xml:space="preserve"> Report no. SSC91231, unpublished, study is not protected in Australia.</w:t>
      </w:r>
    </w:p>
    <w:p w:rsidR="001B3354" w:rsidRDefault="001B3354" w:rsidP="001B3354">
      <w:pPr>
        <w:pStyle w:val="NormalText"/>
        <w:rPr>
          <w:color w:val="000000"/>
        </w:rPr>
      </w:pPr>
      <w:r>
        <w:t xml:space="preserve">TR Wilbury Laboratories 2004, </w:t>
      </w:r>
      <w:r w:rsidRPr="001B3354">
        <w:rPr>
          <w:i/>
        </w:rPr>
        <w:t>Influence on growth and growth rate of the marine diatom,</w:t>
      </w:r>
      <w:r>
        <w:t xml:space="preserve"> </w:t>
      </w:r>
      <w:r w:rsidRPr="00A440A5">
        <w:rPr>
          <w:i/>
        </w:rPr>
        <w:t>Skeletonema costatum</w:t>
      </w:r>
      <w:r>
        <w:t>, Report no. 2652-AR, unpublished.</w:t>
      </w:r>
    </w:p>
    <w:p w:rsidR="001B3354" w:rsidRPr="00A4200E" w:rsidRDefault="001B3354" w:rsidP="001B3354">
      <w:pPr>
        <w:pStyle w:val="NormalText"/>
        <w:rPr>
          <w:color w:val="000000"/>
        </w:rPr>
      </w:pPr>
      <w:r>
        <w:rPr>
          <w:color w:val="000000"/>
        </w:rPr>
        <w:t xml:space="preserve">USEPA (United States Environmental Protection Agency) 2004, </w:t>
      </w:r>
      <w:r w:rsidRPr="001B3354">
        <w:rPr>
          <w:i/>
          <w:color w:val="000000"/>
        </w:rPr>
        <w:t>Zinc pyrithione ecological hazard and environmental risk characterization chapter for the reregistration decision (RED) document (D309561),</w:t>
      </w:r>
      <w:r>
        <w:rPr>
          <w:color w:val="000000"/>
        </w:rPr>
        <w:t xml:space="preserve"> Antimicrobial Division, Office of Prevention Pesticides and Toxic Substances, USEPA, Washington, DC.</w:t>
      </w:r>
    </w:p>
    <w:p w:rsidR="001B3354" w:rsidRPr="00A4200E" w:rsidRDefault="001B3354" w:rsidP="001B3354">
      <w:pPr>
        <w:pStyle w:val="NormalText"/>
        <w:rPr>
          <w:color w:val="000000"/>
        </w:rPr>
      </w:pPr>
      <w:r>
        <w:rPr>
          <w:color w:val="000000"/>
        </w:rPr>
        <w:t xml:space="preserve">USEPA (United States Environmental Protection Agency) 2005, </w:t>
      </w:r>
      <w:r w:rsidRPr="001B3354">
        <w:rPr>
          <w:i/>
          <w:color w:val="000000"/>
        </w:rPr>
        <w:t>Environment fate and ecological risk assessment for mancozeb,</w:t>
      </w:r>
      <w:r>
        <w:rPr>
          <w:color w:val="000000"/>
        </w:rPr>
        <w:t xml:space="preserve"> Section 4 reregistration for control of fungal diseases on numerous crops, a forestry use on Douglas firs, ornamental plantings, and turf (phase 3 response), Environmental Fate and Effects Division, Office of Prevention Pesticides and Toxic Substances, USEPA, Washington, DC.</w:t>
      </w:r>
    </w:p>
    <w:p w:rsidR="001B3354" w:rsidRDefault="001B3354" w:rsidP="001B3354">
      <w:pPr>
        <w:pStyle w:val="NormalText"/>
      </w:pPr>
      <w:r w:rsidRPr="00A4200E">
        <w:t>van Hattum</w:t>
      </w:r>
      <w:r>
        <w:t>,</w:t>
      </w:r>
      <w:r w:rsidRPr="00A4200E">
        <w:t xml:space="preserve"> B, Baart</w:t>
      </w:r>
      <w:r>
        <w:t>,</w:t>
      </w:r>
      <w:r w:rsidRPr="00A4200E">
        <w:t xml:space="preserve"> AC Elzinga</w:t>
      </w:r>
      <w:r>
        <w:t>,</w:t>
      </w:r>
      <w:r w:rsidRPr="00A4200E">
        <w:t xml:space="preserve"> H. and Baart</w:t>
      </w:r>
      <w:r>
        <w:t>, A 2017,</w:t>
      </w:r>
      <w:r w:rsidRPr="00A4200E">
        <w:t xml:space="preserve"> </w:t>
      </w:r>
      <w:r w:rsidRPr="001B3354">
        <w:rPr>
          <w:i/>
        </w:rPr>
        <w:t>Computer model to generate predicted environmental concentrations (PECs) for anti-fouling products in the marine environment,</w:t>
      </w:r>
      <w:r w:rsidRPr="00A4200E">
        <w:t xml:space="preserve"> 3rd edition accompanying the</w:t>
      </w:r>
      <w:r>
        <w:t xml:space="preserve"> release of Mam-Pec version 1.4,</w:t>
      </w:r>
      <w:r w:rsidRPr="00A4200E">
        <w:t xml:space="preserve"> Report R-14/33, edition 19 August 2014, Institute for Environmental Studies (IVM), Vrije Universiteit, Amsterdam, and The Netherlands</w:t>
      </w:r>
      <w:r>
        <w:t>, available at</w:t>
      </w:r>
      <w:r w:rsidRPr="00A4200E">
        <w:t xml:space="preserve"> </w:t>
      </w:r>
      <w:hyperlink r:id="rId31" w:history="1">
        <w:r w:rsidRPr="001B3354">
          <w:rPr>
            <w:rStyle w:val="Hyperlink"/>
          </w:rPr>
          <w:t>download.deltares.nl/en/download/mampec</w:t>
        </w:r>
      </w:hyperlink>
      <w:r>
        <w:t>.</w:t>
      </w:r>
    </w:p>
    <w:p w:rsidR="001B3354" w:rsidRDefault="001B3354" w:rsidP="001B3354">
      <w:pPr>
        <w:pStyle w:val="NormalText"/>
      </w:pPr>
    </w:p>
    <w:sectPr w:rsidR="001B3354">
      <w:headerReference w:type="even" r:id="rId32"/>
      <w:headerReference w:type="default" r:id="rId3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A6F" w:rsidRDefault="00CC6A6F">
      <w:r>
        <w:separator/>
      </w:r>
    </w:p>
    <w:p w:rsidR="00CC6A6F" w:rsidRDefault="00CC6A6F"/>
    <w:p w:rsidR="00CC6A6F" w:rsidRDefault="00CC6A6F"/>
  </w:endnote>
  <w:endnote w:type="continuationSeparator" w:id="0">
    <w:p w:rsidR="00CC6A6F" w:rsidRDefault="00CC6A6F">
      <w:r>
        <w:continuationSeparator/>
      </w:r>
    </w:p>
    <w:p w:rsidR="00CC6A6F" w:rsidRDefault="00CC6A6F"/>
    <w:p w:rsidR="00CC6A6F" w:rsidRDefault="00CC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A6F" w:rsidRDefault="00CC6A6F">
      <w:r>
        <w:separator/>
      </w:r>
    </w:p>
  </w:footnote>
  <w:footnote w:type="continuationSeparator" w:id="0">
    <w:p w:rsidR="00CC6A6F" w:rsidRDefault="00CC6A6F">
      <w:pPr>
        <w:spacing w:line="180" w:lineRule="exact"/>
        <w:rPr>
          <w:sz w:val="16"/>
        </w:rPr>
      </w:pPr>
      <w:r>
        <w:rPr>
          <w:sz w:val="16"/>
        </w:rPr>
        <w:continuationSeparator/>
      </w:r>
    </w:p>
    <w:p w:rsidR="00CC6A6F" w:rsidRDefault="00CC6A6F"/>
    <w:p w:rsidR="00CC6A6F" w:rsidRDefault="00CC6A6F"/>
  </w:footnote>
  <w:footnote w:type="continuationNotice" w:id="1">
    <w:p w:rsidR="00CC6A6F" w:rsidRDefault="00CC6A6F"/>
    <w:p w:rsidR="00CC6A6F" w:rsidRDefault="00CC6A6F"/>
    <w:p w:rsidR="00CC6A6F" w:rsidRDefault="00CC6A6F"/>
  </w:footnote>
  <w:footnote w:id="2">
    <w:p w:rsidR="001B3354" w:rsidRPr="00E822EA" w:rsidRDefault="001B3354" w:rsidP="001B3354">
      <w:pPr>
        <w:pStyle w:val="FootnoteText"/>
        <w:rPr>
          <w:lang w:val="en-US"/>
        </w:rPr>
      </w:pPr>
      <w:r w:rsidRPr="00FF44DE">
        <w:rPr>
          <w:rStyle w:val="FootnoteReference"/>
        </w:rPr>
        <w:footnoteRef/>
      </w:r>
      <w:r w:rsidRPr="00FF44DE">
        <w:t xml:space="preserve"> </w:t>
      </w:r>
      <w:r w:rsidRPr="00FF44DE">
        <w:rPr>
          <w:lang w:val="en-US"/>
        </w:rPr>
        <w:t>HC</w:t>
      </w:r>
      <w:r w:rsidRPr="00FF44DE">
        <w:rPr>
          <w:vertAlign w:val="subscript"/>
          <w:lang w:val="en-US"/>
        </w:rPr>
        <w:t>5-50</w:t>
      </w:r>
      <w:r w:rsidRPr="00FF44DE">
        <w:rPr>
          <w:lang w:val="en-US"/>
        </w:rPr>
        <w:t xml:space="preserve"> is the median fifth percentile of the SSD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1B3354">
      <w:rPr>
        <w:rStyle w:val="PageNumber"/>
        <w:b/>
        <w:caps w:val="0"/>
        <w:noProof/>
        <w:szCs w:val="24"/>
      </w:rPr>
      <w:t>iv</w:t>
    </w:r>
    <w:r>
      <w:rPr>
        <w:rStyle w:val="PageNumber"/>
        <w:b/>
        <w:caps w:val="0"/>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6771A">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354" w:rsidRDefault="001B3354" w:rsidP="001B3354">
    <w:pPr>
      <w:pStyle w:val="APVMAOddHeader"/>
    </w:pPr>
    <w:r>
      <w:tab/>
      <w:t>Technical note on environmental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6771A">
      <w:rPr>
        <w:rStyle w:val="PageNumber"/>
        <w:rFonts w:cs="Times New Roman"/>
        <w:b/>
        <w:bCs w:val="0"/>
        <w:caps w:val="0"/>
        <w:noProof/>
        <w:szCs w:val="24"/>
      </w:rPr>
      <w:t>2</w:t>
    </w:r>
    <w:r>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354" w:rsidRDefault="001B3354" w:rsidP="001B3354">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6771A">
      <w:rPr>
        <w:rStyle w:val="PageNumber"/>
        <w:b/>
        <w:caps w:val="0"/>
        <w:noProof/>
        <w:szCs w:val="24"/>
      </w:rPr>
      <w:t>3</w:t>
    </w:r>
    <w:r>
      <w:rPr>
        <w:rStyle w:val="PageNumber"/>
        <w:b/>
        <w:caps w:val="0"/>
        <w:szCs w:val="24"/>
      </w:rPr>
      <w:fldChar w:fldCharType="end"/>
    </w:r>
    <w:r>
      <w:tab/>
      <w:t>Anti-fouling paint for use on boat hulls—environmental assessment</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354" w:rsidRDefault="001B3354" w:rsidP="001B3354">
    <w:pPr>
      <w:pStyle w:val="APVMAOddHeader"/>
    </w:pPr>
    <w:r>
      <w:tab/>
      <w:t>Appendix</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6771A">
      <w:rPr>
        <w:rStyle w:val="PageNumber"/>
        <w:rFonts w:cs="Times New Roman"/>
        <w:b/>
        <w:bCs w:val="0"/>
        <w:caps w:val="0"/>
        <w:noProof/>
        <w:szCs w:val="24"/>
      </w:rPr>
      <w:t>6</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pPr>
      <w:pStyle w:val="APVMAOddHeader"/>
    </w:pPr>
    <w:r>
      <w:tab/>
      <w:t>Appendixes</w:t>
    </w:r>
    <w:r>
      <w:tab/>
    </w:r>
    <w:r w:rsidRPr="00D67788">
      <w:rPr>
        <w:rStyle w:val="PageNumber"/>
        <w:rFonts w:cs="Times New Roman"/>
        <w:b/>
        <w:bCs w:val="0"/>
        <w:caps w:val="0"/>
        <w:color w:val="53284F"/>
        <w:szCs w:val="24"/>
      </w:rPr>
      <w:fldChar w:fldCharType="begin"/>
    </w:r>
    <w:r w:rsidRPr="00D67788">
      <w:rPr>
        <w:rStyle w:val="PageNumber"/>
        <w:rFonts w:cs="Times New Roman"/>
        <w:b/>
        <w:bCs w:val="0"/>
        <w:caps w:val="0"/>
        <w:color w:val="53284F"/>
        <w:szCs w:val="24"/>
      </w:rPr>
      <w:instrText xml:space="preserve"> PAGE </w:instrText>
    </w:r>
    <w:r w:rsidRPr="00D67788">
      <w:rPr>
        <w:rStyle w:val="PageNumber"/>
        <w:rFonts w:cs="Times New Roman"/>
        <w:b/>
        <w:bCs w:val="0"/>
        <w:caps w:val="0"/>
        <w:color w:val="53284F"/>
        <w:szCs w:val="24"/>
      </w:rPr>
      <w:fldChar w:fldCharType="separate"/>
    </w:r>
    <w:r w:rsidR="001B3354">
      <w:rPr>
        <w:rStyle w:val="PageNumber"/>
        <w:rFonts w:cs="Times New Roman"/>
        <w:b/>
        <w:bCs w:val="0"/>
        <w:caps w:val="0"/>
        <w:noProof/>
        <w:color w:val="53284F"/>
        <w:szCs w:val="24"/>
      </w:rPr>
      <w:t>9</w:t>
    </w:r>
    <w:r w:rsidRPr="00D67788">
      <w:rPr>
        <w:rStyle w:val="PageNumber"/>
        <w:rFonts w:cs="Times New Roman"/>
        <w:b/>
        <w:bCs w:val="0"/>
        <w:caps w:val="0"/>
        <w:color w:val="53284F"/>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354" w:rsidRDefault="001B3354" w:rsidP="001B3354">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6771A">
      <w:rPr>
        <w:rStyle w:val="PageNumber"/>
        <w:rFonts w:cs="Times New Roman"/>
        <w:b/>
        <w:bCs w:val="0"/>
        <w:caps w:val="0"/>
        <w:noProof/>
        <w:szCs w:val="24"/>
      </w:rPr>
      <w:t>8</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354" w:rsidRDefault="001B3354" w:rsidP="001B3354">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6771A">
      <w:rPr>
        <w:rStyle w:val="PageNumber"/>
        <w:b/>
        <w:caps w:val="0"/>
        <w:noProof/>
        <w:szCs w:val="24"/>
      </w:rPr>
      <w:t>7</w:t>
    </w:r>
    <w:r>
      <w:rPr>
        <w:rStyle w:val="PageNumber"/>
        <w:b/>
        <w:caps w:val="0"/>
        <w:szCs w:val="24"/>
      </w:rPr>
      <w:fldChar w:fldCharType="end"/>
    </w:r>
    <w:r>
      <w:tab/>
      <w:t>Anti-fouling paint for use on boat hulls—environmental assessment</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5617B0"/>
    <w:multiLevelType w:val="hybridMultilevel"/>
    <w:tmpl w:val="44F83EDE"/>
    <w:lvl w:ilvl="0" w:tplc="2CE83836">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C0094"/>
    <w:multiLevelType w:val="hybridMultilevel"/>
    <w:tmpl w:val="9B9EA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pStyle w:val="Heading1"/>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18"/>
  </w:num>
  <w:num w:numId="2">
    <w:abstractNumId w:val="18"/>
  </w:num>
  <w:num w:numId="3">
    <w:abstractNumId w:val="15"/>
  </w:num>
  <w:num w:numId="4">
    <w:abstractNumId w:val="16"/>
  </w:num>
  <w:num w:numId="5">
    <w:abstractNumId w:val="15"/>
  </w:num>
  <w:num w:numId="6">
    <w:abstractNumId w:val="20"/>
  </w:num>
  <w:num w:numId="7">
    <w:abstractNumId w:val="17"/>
  </w:num>
  <w:num w:numId="8">
    <w:abstractNumId w:val="11"/>
  </w:num>
  <w:num w:numId="9">
    <w:abstractNumId w:val="10"/>
  </w:num>
  <w:num w:numId="10">
    <w:abstractNumId w:val="13"/>
  </w:num>
  <w:num w:numId="11">
    <w:abstractNumId w:val="14"/>
  </w:num>
  <w:num w:numId="12">
    <w:abstractNumId w:val="20"/>
  </w:num>
  <w:num w:numId="13">
    <w:abstractNumId w:val="20"/>
  </w:num>
  <w:num w:numId="14">
    <w:abstractNumId w:val="15"/>
  </w:num>
  <w:num w:numId="15">
    <w:abstractNumId w:val="11"/>
  </w:num>
  <w:num w:numId="16">
    <w:abstractNumId w:val="16"/>
  </w:num>
  <w:num w:numId="17">
    <w:abstractNumId w:val="10"/>
  </w:num>
  <w:num w:numId="18">
    <w:abstractNumId w:val="13"/>
  </w:num>
  <w:num w:numId="19">
    <w:abstractNumId w:val="18"/>
  </w:num>
  <w:num w:numId="20">
    <w:abstractNumId w:val="21"/>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0E1D"/>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4"/>
    <w:rsid w:val="001B335C"/>
    <w:rsid w:val="001C6607"/>
    <w:rsid w:val="001D3257"/>
    <w:rsid w:val="0026493F"/>
    <w:rsid w:val="00280720"/>
    <w:rsid w:val="00282A32"/>
    <w:rsid w:val="002A3239"/>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616C8"/>
    <w:rsid w:val="00461D26"/>
    <w:rsid w:val="00470304"/>
    <w:rsid w:val="00473575"/>
    <w:rsid w:val="0049603E"/>
    <w:rsid w:val="004D2C4F"/>
    <w:rsid w:val="005064D5"/>
    <w:rsid w:val="00520963"/>
    <w:rsid w:val="00522E27"/>
    <w:rsid w:val="005527B9"/>
    <w:rsid w:val="00556804"/>
    <w:rsid w:val="00560E83"/>
    <w:rsid w:val="00563297"/>
    <w:rsid w:val="00566590"/>
    <w:rsid w:val="00572131"/>
    <w:rsid w:val="005D1A47"/>
    <w:rsid w:val="006110AE"/>
    <w:rsid w:val="0062466B"/>
    <w:rsid w:val="00643052"/>
    <w:rsid w:val="00657A28"/>
    <w:rsid w:val="006C08BC"/>
    <w:rsid w:val="006E2753"/>
    <w:rsid w:val="006E33F7"/>
    <w:rsid w:val="00700C27"/>
    <w:rsid w:val="00702B7D"/>
    <w:rsid w:val="007275CF"/>
    <w:rsid w:val="00734103"/>
    <w:rsid w:val="00770B96"/>
    <w:rsid w:val="00794B71"/>
    <w:rsid w:val="0079772A"/>
    <w:rsid w:val="007B39E1"/>
    <w:rsid w:val="007E13F3"/>
    <w:rsid w:val="007F0146"/>
    <w:rsid w:val="00832D38"/>
    <w:rsid w:val="008362F6"/>
    <w:rsid w:val="008366A3"/>
    <w:rsid w:val="00847050"/>
    <w:rsid w:val="008545E1"/>
    <w:rsid w:val="00860B66"/>
    <w:rsid w:val="00862E63"/>
    <w:rsid w:val="00892292"/>
    <w:rsid w:val="008C5C0D"/>
    <w:rsid w:val="008C6B9D"/>
    <w:rsid w:val="008F14C4"/>
    <w:rsid w:val="00920876"/>
    <w:rsid w:val="0095647E"/>
    <w:rsid w:val="00957E4C"/>
    <w:rsid w:val="00972247"/>
    <w:rsid w:val="009A4448"/>
    <w:rsid w:val="009A7614"/>
    <w:rsid w:val="009B6ACE"/>
    <w:rsid w:val="009D0E59"/>
    <w:rsid w:val="009D452E"/>
    <w:rsid w:val="009F16FF"/>
    <w:rsid w:val="00A23729"/>
    <w:rsid w:val="00A2448D"/>
    <w:rsid w:val="00A35467"/>
    <w:rsid w:val="00A6283D"/>
    <w:rsid w:val="00A66116"/>
    <w:rsid w:val="00A77CE7"/>
    <w:rsid w:val="00A87101"/>
    <w:rsid w:val="00AB659C"/>
    <w:rsid w:val="00AF232A"/>
    <w:rsid w:val="00B15647"/>
    <w:rsid w:val="00B27675"/>
    <w:rsid w:val="00B50074"/>
    <w:rsid w:val="00BC5423"/>
    <w:rsid w:val="00BD021C"/>
    <w:rsid w:val="00BD2289"/>
    <w:rsid w:val="00BD55DB"/>
    <w:rsid w:val="00BD70E8"/>
    <w:rsid w:val="00C53C96"/>
    <w:rsid w:val="00C73D24"/>
    <w:rsid w:val="00C93226"/>
    <w:rsid w:val="00C95323"/>
    <w:rsid w:val="00C9656F"/>
    <w:rsid w:val="00CA17DC"/>
    <w:rsid w:val="00CC6A6F"/>
    <w:rsid w:val="00CD6650"/>
    <w:rsid w:val="00CE456A"/>
    <w:rsid w:val="00D10F59"/>
    <w:rsid w:val="00D23D6A"/>
    <w:rsid w:val="00D4143D"/>
    <w:rsid w:val="00D505AD"/>
    <w:rsid w:val="00D6771A"/>
    <w:rsid w:val="00D67788"/>
    <w:rsid w:val="00D762CD"/>
    <w:rsid w:val="00D874AA"/>
    <w:rsid w:val="00D9318E"/>
    <w:rsid w:val="00D942C8"/>
    <w:rsid w:val="00DB3BF5"/>
    <w:rsid w:val="00E318E3"/>
    <w:rsid w:val="00E35DE7"/>
    <w:rsid w:val="00E41FED"/>
    <w:rsid w:val="00E70840"/>
    <w:rsid w:val="00E97570"/>
    <w:rsid w:val="00EA511C"/>
    <w:rsid w:val="00EE297E"/>
    <w:rsid w:val="00EE5B09"/>
    <w:rsid w:val="00F30BDA"/>
    <w:rsid w:val="00F51AA7"/>
    <w:rsid w:val="00F524D6"/>
    <w:rsid w:val="00F56C76"/>
    <w:rsid w:val="00F6733A"/>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FB0015"/>
    <w:pPr>
      <w:spacing w:line="240" w:lineRule="atLeast"/>
    </w:pPr>
    <w:rPr>
      <w:rFonts w:ascii="Arial" w:hAnsi="Arial"/>
      <w:szCs w:val="24"/>
      <w:lang w:eastAsia="en-US"/>
    </w:rPr>
  </w:style>
  <w:style w:type="paragraph" w:styleId="Heading1">
    <w:name w:val="heading 1"/>
    <w:aliases w:val="APVMA_H1"/>
    <w:basedOn w:val="NormalText"/>
    <w:next w:val="NormalText"/>
    <w:qFormat/>
    <w:rsid w:val="00FB0015"/>
    <w:pPr>
      <w:keepNext/>
      <w:keepLines/>
      <w:pageBreakBefore/>
      <w:numPr>
        <w:numId w:val="26"/>
      </w:numPr>
      <w:spacing w:before="0" w:after="80" w:line="360" w:lineRule="exact"/>
      <w:outlineLvl w:val="0"/>
    </w:pPr>
    <w:rPr>
      <w:rFonts w:ascii="Franklin Gothic Medium" w:hAnsi="Franklin Gothic Medium"/>
      <w:caps/>
      <w:color w:val="5C2946"/>
      <w:sz w:val="32"/>
      <w:szCs w:val="32"/>
    </w:rPr>
  </w:style>
  <w:style w:type="paragraph" w:styleId="Heading2">
    <w:name w:val="heading 2"/>
    <w:aliases w:val="APVMA_H2"/>
    <w:basedOn w:val="Heading1"/>
    <w:next w:val="Normal"/>
    <w:qFormat/>
    <w:rsid w:val="00FB0015"/>
    <w:pPr>
      <w:pageBreakBefore w:val="0"/>
      <w:numPr>
        <w:ilvl w:val="1"/>
      </w:numPr>
      <w:tabs>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FB0015"/>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rsid w:val="00FB0015"/>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rsid w:val="00FB0015"/>
    <w:pPr>
      <w:numPr>
        <w:ilvl w:val="4"/>
      </w:num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FB0015"/>
    <w:pPr>
      <w:pBdr>
        <w:top w:val="single" w:sz="4" w:space="1" w:color="auto"/>
      </w:pBdr>
      <w:tabs>
        <w:tab w:val="right" w:pos="9639"/>
      </w:tabs>
      <w:spacing w:before="180" w:after="60"/>
      <w:ind w:left="454" w:hanging="454"/>
    </w:pPr>
    <w:rPr>
      <w:rFonts w:ascii="Trebuchet MS" w:hAnsi="Trebuchet MS"/>
      <w:b/>
      <w:bCs/>
      <w:caps/>
      <w:noProof/>
      <w:color w:val="5C2946"/>
      <w:szCs w:val="30"/>
    </w:rPr>
  </w:style>
  <w:style w:type="paragraph" w:styleId="FootnoteText">
    <w:name w:val="footnote text"/>
    <w:aliases w:val="APVMA_Footnote"/>
    <w:basedOn w:val="NormalText"/>
    <w:link w:val="FootnoteTextChar"/>
    <w:uiPriority w:val="99"/>
    <w:semiHidden/>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FB0015"/>
    <w:pPr>
      <w:numPr>
        <w:numId w:val="19"/>
      </w:numPr>
      <w:spacing w:after="60"/>
    </w:p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99"/>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FB0015"/>
    <w:pPr>
      <w:keepNext/>
      <w:keepLines/>
      <w:tabs>
        <w:tab w:val="left" w:pos="907"/>
      </w:tabs>
      <w:spacing w:before="240" w:after="120" w:line="280" w:lineRule="exact"/>
      <w:ind w:left="907" w:hanging="907"/>
    </w:pPr>
    <w:rPr>
      <w:rFonts w:ascii="Franklin Gothic Medium" w:hAnsi="Franklin Gothic Medium"/>
      <w:color w:val="5C2946"/>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FB0015"/>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FB0015"/>
    <w:pPr>
      <w:numPr>
        <w:numId w:val="0"/>
      </w:numPr>
    </w:pPr>
    <w:rPr>
      <w:bCs/>
      <w:szCs w:val="30"/>
    </w:rPr>
  </w:style>
  <w:style w:type="paragraph" w:customStyle="1" w:styleId="APVMAPreliminariesH2">
    <w:name w:val="APVMA_Preliminaries_H2"/>
    <w:basedOn w:val="Heading2"/>
    <w:next w:val="NormalText"/>
    <w:uiPriority w:val="4"/>
    <w:rsid w:val="00FB0015"/>
    <w:pPr>
      <w:numPr>
        <w:ilvl w:val="0"/>
        <w:numId w:val="0"/>
      </w:numPr>
    </w:pPr>
  </w:style>
  <w:style w:type="paragraph" w:customStyle="1" w:styleId="APVMAPreliminariesH3">
    <w:name w:val="APVMA_Preliminaries_H3"/>
    <w:basedOn w:val="Heading3"/>
    <w:uiPriority w:val="4"/>
    <w:rsid w:val="00FB0015"/>
  </w:style>
  <w:style w:type="paragraph" w:customStyle="1" w:styleId="APVMAGlossaryRefH1">
    <w:name w:val="APVMA_Glossary/Ref_H1"/>
    <w:basedOn w:val="APVMAPreliminariesH1"/>
    <w:uiPriority w:val="4"/>
    <w:rsid w:val="00FB0015"/>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sid w:val="00FB0015"/>
    <w:rPr>
      <w:bCs/>
    </w:rPr>
  </w:style>
  <w:style w:type="paragraph" w:customStyle="1" w:styleId="APVMAAppendixH3">
    <w:name w:val="APVMA_Appendix_H3"/>
    <w:basedOn w:val="APVMAPreliminariesH3"/>
    <w:next w:val="NormalText"/>
    <w:uiPriority w:val="4"/>
    <w:rsid w:val="00FB0015"/>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character" w:customStyle="1" w:styleId="FootnoteTextChar">
    <w:name w:val="Footnote Text Char"/>
    <w:aliases w:val="APVMA_Footnote Char"/>
    <w:basedOn w:val="DefaultParagraphFont"/>
    <w:link w:val="FootnoteText"/>
    <w:uiPriority w:val="99"/>
    <w:semiHidden/>
    <w:rsid w:val="001B3354"/>
    <w:rPr>
      <w:rFonts w:ascii="Arial" w:hAnsi="Arial" w:cs="Arial"/>
      <w:spacing w:val="6"/>
      <w:kern w:val="20"/>
      <w:sz w:val="16"/>
      <w:u w:color="000000"/>
      <w:lang w:eastAsia="en-US"/>
    </w:rPr>
  </w:style>
  <w:style w:type="paragraph" w:styleId="CommentSubject">
    <w:name w:val="annotation subject"/>
    <w:basedOn w:val="CommentText"/>
    <w:next w:val="CommentText"/>
    <w:link w:val="CommentSubjectChar"/>
    <w:uiPriority w:val="99"/>
    <w:semiHidden/>
    <w:unhideWhenUsed/>
    <w:rsid w:val="001B3354"/>
    <w:pPr>
      <w:spacing w:before="0" w:line="240" w:lineRule="auto"/>
    </w:pPr>
    <w:rPr>
      <w:b/>
      <w:bCs/>
    </w:rPr>
  </w:style>
  <w:style w:type="character" w:customStyle="1" w:styleId="CommentSubjectChar">
    <w:name w:val="Comment Subject Char"/>
    <w:basedOn w:val="CommentTextChar"/>
    <w:link w:val="CommentSubject"/>
    <w:uiPriority w:val="99"/>
    <w:semiHidden/>
    <w:rsid w:val="001B335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yperlink" Target="http://www.epa.govt.nz/Publications/EPA%20AntifoulingPhase2_FINALx.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image" Target="media/image5.png"/><Relationship Id="rId28" Type="http://schemas.openxmlformats.org/officeDocument/2006/relationships/hyperlink" Target="https://apvma.gov.au/node/15386"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download.deltares.nl/en/download/mampe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eader" Target="header4.xml"/><Relationship Id="rId27" Type="http://schemas.openxmlformats.org/officeDocument/2006/relationships/hyperlink" Target="https://apvma.gov.au/node/11051" TargetMode="External"/><Relationship Id="rId30" Type="http://schemas.openxmlformats.org/officeDocument/2006/relationships/hyperlink" Target="http://www.oecd.org/chemicalsafety/risk-assessment/emissionscenariodocuments.htm"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A380625</value>
    </field>
    <field name="Objective-Title">
      <value order="0">Template AVPMA Publications</value>
    </field>
    <field name="Objective-Description">
      <value order="0"/>
    </field>
    <field name="Objective-CreationStamp">
      <value order="0">2015-09-14T20:46:52Z</value>
    </field>
    <field name="Objective-IsApproved">
      <value order="0">false</value>
    </field>
    <field name="Objective-IsPublished">
      <value order="0">true</value>
    </field>
    <field name="Objective-DatePublished">
      <value order="0">2019-10-30T03:02:21Z</value>
    </field>
    <field name="Objective-ModificationStamp">
      <value order="0">2019-10-30T03:02:21Z</value>
    </field>
    <field name="Objective-Owner">
      <value order="0">Katina King</value>
    </field>
    <field name="Objective-Path">
      <value order="0">APVMA:BUSINESS SYSTEMS:Business Systems - Instructional Material Library:Instructional Material - Corporate Services:Communications:03 - Templates - Other</value>
    </field>
    <field name="Objective-Parent">
      <value order="0">03 - Templates - Other</value>
    </field>
    <field name="Objective-State">
      <value order="0">Published</value>
    </field>
    <field name="Objective-VersionId">
      <value order="0">vA2454296</value>
    </field>
    <field name="Objective-Version">
      <value order="0">15.0</value>
    </field>
    <field name="Objective-VersionNumber">
      <value order="0">17</value>
    </field>
    <field name="Objective-VersionComment">
      <value order="0"/>
    </field>
    <field name="Objective-FileNumber">
      <value order="0">2014\7376</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38A95DE-DAF6-4F28-8027-7A1E1760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61</TotalTime>
  <Pages>12</Pages>
  <Words>3035</Words>
  <Characters>18752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Anti-fouling paint for use on boat hulls environmental assessment</vt:lpstr>
    </vt:vector>
  </TitlesOfParts>
  <Manager/>
  <Company>Australian Pesticides and Veterinary Medicines Authority</Company>
  <LinksUpToDate>false</LinksUpToDate>
  <CharactersWithSpaces>21744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Anti-fouling paint for use on boat hulls environmental assessment</dc:title>
  <dc:subject/>
  <dc:creator>APVMA</dc:creator>
  <cp:keywords/>
  <dc:description/>
  <cp:lastModifiedBy>ELLIOTT, Amy</cp:lastModifiedBy>
  <cp:revision>11</cp:revision>
  <cp:lastPrinted>2020-02-27T04:39:00Z</cp:lastPrinted>
  <dcterms:created xsi:type="dcterms:W3CDTF">2020-02-26T00:13:00Z</dcterms:created>
  <dcterms:modified xsi:type="dcterms:W3CDTF">2020-02-27T04:59:00Z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A380625</vt:lpwstr>
  </property>
  <property fmtid="{D5CDD505-2E9C-101B-9397-08002B2CF9AE}" pid="4" name="Objective-Title">
    <vt:lpwstr>Template AVPMA Publications</vt:lpwstr>
  </property>
  <property fmtid="{D5CDD505-2E9C-101B-9397-08002B2CF9AE}" pid="5" name="Objective-Comment">
    <vt:lpwstr/>
  </property>
  <property fmtid="{D5CDD505-2E9C-101B-9397-08002B2CF9AE}" pid="6" name="Objective-CreationStamp">
    <vt:filetime>2015-09-14T20:46:52Z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2019-10-30T03:02:21Z</vt:filetime>
  </property>
  <property fmtid="{D5CDD505-2E9C-101B-9397-08002B2CF9AE}" pid="10" name="Objective-ModificationStamp">
    <vt:filetime>2019-10-30T03:02:21Z</vt:filetime>
  </property>
  <property fmtid="{D5CDD505-2E9C-101B-9397-08002B2CF9AE}" pid="11" name="Objective-Owner">
    <vt:lpwstr>Katina King</vt:lpwstr>
  </property>
  <property fmtid="{D5CDD505-2E9C-101B-9397-08002B2CF9AE}" pid="12" name="Objective-Path">
    <vt:lpwstr>APVMA:BUSINESS SYSTEMS:Business Systems - Instructional Material Library:Instructional Material - Corporate Services:Communications:03 -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2014\7376</vt:lpwstr>
  </property>
  <property fmtid="{D5CDD505-2E9C-101B-9397-08002B2CF9AE}" pid="19" name="Objective-Classification">
    <vt:lpwstr>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vA2454296</vt:lpwstr>
  </property>
  <property fmtid="{D5CDD505-2E9C-101B-9397-08002B2CF9AE}" pid="23" name="Objective-Connect Creator">
    <vt:lpwstr/>
  </property>
</Properties>
</file>