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63EAD0" w14:textId="77777777" w:rsidR="002F4591" w:rsidRDefault="002F4591" w:rsidP="002F4591">
      <w:pPr>
        <w:pStyle w:val="APVMACoverTitle"/>
        <w:spacing w:before="1440"/>
        <w:jc w:val="center"/>
        <w:rPr>
          <w:i/>
          <w:noProof/>
          <w:sz w:val="28"/>
          <w:szCs w:val="28"/>
          <w:lang w:eastAsia="en-AU"/>
        </w:rPr>
      </w:pPr>
      <w:bookmarkStart w:id="0" w:name="_Toc168724484"/>
      <w:r w:rsidRPr="005D1A47">
        <w:rPr>
          <w:i/>
          <w:noProof/>
          <w:lang w:eastAsia="en-AU"/>
        </w:rPr>
        <w:drawing>
          <wp:inline distT="0" distB="0" distL="0" distR="0" wp14:anchorId="182A3B5E" wp14:editId="27343255">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52340FB8" w14:textId="77777777" w:rsidR="002F4591" w:rsidRDefault="00193533" w:rsidP="00C9656F">
      <w:pPr>
        <w:pStyle w:val="APVMACoverTitle"/>
        <w:spacing w:before="6000"/>
        <w:jc w:val="center"/>
      </w:pPr>
      <w:r w:rsidRPr="005D1A47">
        <w:rPr>
          <w:i/>
          <w:noProof/>
          <w:sz w:val="28"/>
          <w:szCs w:val="28"/>
          <w:lang w:eastAsia="en-AU"/>
        </w:rPr>
        <w:drawing>
          <wp:inline distT="0" distB="0" distL="0" distR="0" wp14:anchorId="187BAEAA" wp14:editId="5BE863AF">
            <wp:extent cx="2752725" cy="2676525"/>
            <wp:effectExtent l="0" t="0" r="9525" b="9525"/>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676525"/>
                    </a:xfrm>
                    <a:prstGeom prst="rect">
                      <a:avLst/>
                    </a:prstGeom>
                  </pic:spPr>
                </pic:pic>
              </a:graphicData>
            </a:graphic>
          </wp:inline>
        </w:drawing>
      </w:r>
    </w:p>
    <w:p w14:paraId="324BDDBC" w14:textId="77777777" w:rsidR="00193533" w:rsidRPr="00193533" w:rsidRDefault="0029069C" w:rsidP="002F4591">
      <w:pPr>
        <w:pStyle w:val="APVMACoverTitle"/>
        <w:spacing w:before="2640"/>
        <w:jc w:val="center"/>
      </w:pPr>
      <w:r>
        <w:t>Spray drift risk assessment manual</w:t>
      </w:r>
    </w:p>
    <w:p w14:paraId="2386519C" w14:textId="77777777" w:rsidR="003C0891" w:rsidRDefault="0029069C" w:rsidP="00193533">
      <w:pPr>
        <w:pStyle w:val="APVMACoverSubtitle"/>
        <w:jc w:val="center"/>
      </w:pPr>
      <w:r>
        <w:t>Stage one</w:t>
      </w:r>
    </w:p>
    <w:p w14:paraId="72F59F1E" w14:textId="65DB0E04" w:rsidR="00E41FED" w:rsidRDefault="00DC0550" w:rsidP="00193533">
      <w:pPr>
        <w:pStyle w:val="APVMACoverSubtitle"/>
        <w:jc w:val="center"/>
      </w:pPr>
      <w:r>
        <w:t>JULY</w:t>
      </w:r>
      <w:r w:rsidR="0029069C">
        <w:t xml:space="preserve"> 2019</w:t>
      </w:r>
    </w:p>
    <w:p w14:paraId="53E62CBF" w14:textId="77777777" w:rsidR="00193533" w:rsidRPr="00E41FED" w:rsidRDefault="00193533" w:rsidP="00E41FED">
      <w:pPr>
        <w:pStyle w:val="APVMACoverSubtitle"/>
        <w:jc w:val="left"/>
        <w:sectPr w:rsidR="00193533" w:rsidRPr="00E41FED" w:rsidSect="00CB58D6">
          <w:pgSz w:w="11906" w:h="16838" w:code="9"/>
          <w:pgMar w:top="2127" w:right="1134" w:bottom="1134" w:left="1134" w:header="1701" w:footer="450" w:gutter="0"/>
          <w:pgNumType w:fmt="lowerRoman"/>
          <w:cols w:space="708"/>
          <w:docGrid w:linePitch="360"/>
        </w:sectPr>
      </w:pPr>
    </w:p>
    <w:p w14:paraId="404F7620" w14:textId="77777777" w:rsidR="00862E63" w:rsidRPr="005C0ACC" w:rsidRDefault="00862E63" w:rsidP="00862E63">
      <w:pPr>
        <w:autoSpaceDE w:val="0"/>
        <w:autoSpaceDN w:val="0"/>
        <w:adjustRightInd w:val="0"/>
        <w:spacing w:after="120" w:line="240" w:lineRule="exact"/>
        <w:ind w:left="-284" w:right="-330"/>
        <w:rPr>
          <w:rFonts w:cs="Arial"/>
          <w:sz w:val="16"/>
          <w:szCs w:val="16"/>
          <w:lang w:eastAsia="en-AU"/>
        </w:rPr>
      </w:pPr>
      <w:r w:rsidRPr="005C0ACC">
        <w:rPr>
          <w:rFonts w:cs="Arial"/>
          <w:sz w:val="16"/>
          <w:szCs w:val="16"/>
          <w:lang w:eastAsia="en-AU"/>
        </w:rPr>
        <w:lastRenderedPageBreak/>
        <w:t>© Australian Pesticides and Veterinary Medicines Authority 201</w:t>
      </w:r>
      <w:r w:rsidR="00D23D6A">
        <w:rPr>
          <w:rFonts w:cs="Arial"/>
          <w:sz w:val="16"/>
          <w:szCs w:val="16"/>
          <w:lang w:eastAsia="en-AU"/>
        </w:rPr>
        <w:t>9</w:t>
      </w:r>
    </w:p>
    <w:p w14:paraId="43738231" w14:textId="77777777" w:rsidR="00862E63" w:rsidRPr="005C0ACC" w:rsidRDefault="00862E63" w:rsidP="00862E63">
      <w:pPr>
        <w:autoSpaceDE w:val="0"/>
        <w:autoSpaceDN w:val="0"/>
        <w:adjustRightInd w:val="0"/>
        <w:spacing w:before="240" w:line="240" w:lineRule="exact"/>
        <w:ind w:left="-284" w:right="-330"/>
        <w:rPr>
          <w:rFonts w:cs="Arial"/>
          <w:b/>
          <w:bCs/>
          <w:sz w:val="16"/>
          <w:szCs w:val="16"/>
          <w:lang w:eastAsia="en-AU"/>
        </w:rPr>
      </w:pPr>
      <w:r w:rsidRPr="005C0ACC">
        <w:rPr>
          <w:rFonts w:cs="Arial"/>
          <w:b/>
          <w:bCs/>
          <w:sz w:val="16"/>
          <w:szCs w:val="16"/>
          <w:lang w:eastAsia="en-AU"/>
        </w:rPr>
        <w:t>Ownership of intellectual property rights in this publication</w:t>
      </w:r>
    </w:p>
    <w:p w14:paraId="4156601A" w14:textId="77777777" w:rsidR="00862E63" w:rsidRPr="005C0ACC" w:rsidRDefault="00862E63" w:rsidP="00862E63">
      <w:pPr>
        <w:autoSpaceDE w:val="0"/>
        <w:autoSpaceDN w:val="0"/>
        <w:adjustRightInd w:val="0"/>
        <w:spacing w:before="60" w:after="240" w:line="240" w:lineRule="exact"/>
        <w:ind w:left="-284" w:right="-330"/>
        <w:rPr>
          <w:rFonts w:cs="Arial"/>
          <w:sz w:val="16"/>
          <w:szCs w:val="16"/>
          <w:lang w:eastAsia="en-AU"/>
        </w:rPr>
      </w:pPr>
      <w:r w:rsidRPr="005C0ACC">
        <w:rPr>
          <w:rFonts w:cs="Arial"/>
          <w:sz w:val="16"/>
          <w:szCs w:val="16"/>
          <w:lang w:eastAsia="en-AU"/>
        </w:rPr>
        <w:t>Unless otherwise noted, copyright (and any other intellectual property rights, if any) in this publication is owned by the Australian Pesticides and Veterinary Medicines Authority (APVMA).</w:t>
      </w:r>
    </w:p>
    <w:p w14:paraId="29B1982B" w14:textId="77777777" w:rsidR="008366A3" w:rsidRPr="005C0ACC" w:rsidRDefault="008366A3" w:rsidP="008366A3">
      <w:pPr>
        <w:autoSpaceDE w:val="0"/>
        <w:autoSpaceDN w:val="0"/>
        <w:adjustRightInd w:val="0"/>
        <w:spacing w:line="240" w:lineRule="exact"/>
        <w:ind w:left="-284" w:right="-330"/>
        <w:rPr>
          <w:rFonts w:cs="Arial"/>
          <w:b/>
          <w:bCs/>
          <w:sz w:val="16"/>
          <w:szCs w:val="16"/>
          <w:lang w:eastAsia="en-AU"/>
        </w:rPr>
      </w:pPr>
      <w:r w:rsidRPr="005C0ACC">
        <w:rPr>
          <w:rFonts w:cs="Arial"/>
          <w:b/>
          <w:bCs/>
          <w:sz w:val="16"/>
          <w:szCs w:val="16"/>
          <w:lang w:eastAsia="en-AU"/>
        </w:rPr>
        <w:t>Creative Commons licence</w:t>
      </w:r>
    </w:p>
    <w:p w14:paraId="1D27717B" w14:textId="77777777" w:rsidR="002F4591" w:rsidRDefault="008366A3" w:rsidP="002F4591">
      <w:pPr>
        <w:autoSpaceDE w:val="0"/>
        <w:autoSpaceDN w:val="0"/>
        <w:adjustRightInd w:val="0"/>
        <w:spacing w:before="60" w:after="240" w:line="240" w:lineRule="exact"/>
        <w:ind w:left="-284" w:right="-330"/>
        <w:rPr>
          <w:rFonts w:cs="Arial"/>
          <w:sz w:val="16"/>
          <w:szCs w:val="16"/>
          <w:lang w:eastAsia="en-AU"/>
        </w:rPr>
      </w:pPr>
      <w:r w:rsidRPr="005C0ACC">
        <w:rPr>
          <w:rFonts w:cs="Arial"/>
          <w:sz w:val="16"/>
          <w:szCs w:val="16"/>
          <w:lang w:eastAsia="en-AU"/>
        </w:rPr>
        <w:t xml:space="preserve">With the exception of the Coat of Arms and other elements specifically identified, this publication is licensed under a Creative Commons Attribution </w:t>
      </w:r>
      <w:r>
        <w:rPr>
          <w:rFonts w:cs="Arial"/>
          <w:sz w:val="16"/>
          <w:szCs w:val="16"/>
          <w:lang w:eastAsia="en-AU"/>
        </w:rPr>
        <w:t>4</w:t>
      </w:r>
      <w:r w:rsidRPr="005C0ACC">
        <w:rPr>
          <w:rFonts w:cs="Arial"/>
          <w:sz w:val="16"/>
          <w:szCs w:val="16"/>
          <w:lang w:eastAsia="en-AU"/>
        </w:rPr>
        <w:t>.0 Australia Licence. This is a standard form agreement that allows you to copy, distribute, transmit and adapt this publication provided that you attribute the work.</w:t>
      </w:r>
    </w:p>
    <w:p w14:paraId="0D393695" w14:textId="77777777" w:rsidR="002F4591" w:rsidRDefault="002F4591" w:rsidP="002F4591">
      <w:pPr>
        <w:autoSpaceDE w:val="0"/>
        <w:autoSpaceDN w:val="0"/>
        <w:adjustRightInd w:val="0"/>
        <w:spacing w:after="240"/>
        <w:ind w:left="-284" w:right="-329"/>
        <w:rPr>
          <w:rFonts w:cs="Arial"/>
          <w:sz w:val="16"/>
          <w:szCs w:val="16"/>
          <w:lang w:eastAsia="en-AU"/>
        </w:rPr>
      </w:pPr>
      <w:r w:rsidRPr="005C0ACC">
        <w:rPr>
          <w:rFonts w:ascii="Times New Roman" w:hAnsi="Times New Roman"/>
          <w:noProof/>
          <w:sz w:val="16"/>
          <w:szCs w:val="16"/>
          <w:lang w:eastAsia="en-AU"/>
        </w:rPr>
        <w:drawing>
          <wp:inline distT="0" distB="0" distL="0" distR="0" wp14:anchorId="7D4505B0" wp14:editId="5BF83E53">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 w:val="16"/>
          <w:szCs w:val="16"/>
          <w:lang w:eastAsia="en-AU"/>
        </w:rPr>
        <w:drawing>
          <wp:inline distT="0" distB="0" distL="0" distR="0" wp14:anchorId="5D7BED10" wp14:editId="764262C4">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66EF9CC3" w14:textId="77777777" w:rsidR="008366A3" w:rsidRPr="005C0ACC" w:rsidRDefault="008366A3" w:rsidP="008366A3">
      <w:pPr>
        <w:autoSpaceDE w:val="0"/>
        <w:autoSpaceDN w:val="0"/>
        <w:adjustRightInd w:val="0"/>
        <w:spacing w:before="120" w:line="240" w:lineRule="exact"/>
        <w:ind w:left="-284" w:right="-330"/>
        <w:rPr>
          <w:rFonts w:cs="Arial"/>
          <w:sz w:val="16"/>
          <w:szCs w:val="16"/>
          <w:lang w:eastAsia="en-AU"/>
        </w:rPr>
      </w:pPr>
      <w:r w:rsidRPr="005C0ACC">
        <w:rPr>
          <w:rFonts w:cs="Arial"/>
          <w:sz w:val="16"/>
          <w:szCs w:val="16"/>
          <w:lang w:eastAsia="en-AU"/>
        </w:rPr>
        <w:t xml:space="preserve">A summary of the licence terms is available from </w:t>
      </w:r>
      <w:hyperlink r:id="rId13" w:history="1">
        <w:r w:rsidR="009B6ACE" w:rsidRPr="009B6ACE">
          <w:rPr>
            <w:rFonts w:cs="Arial"/>
            <w:color w:val="0000FF"/>
            <w:sz w:val="16"/>
            <w:szCs w:val="16"/>
            <w:u w:val="single"/>
            <w:lang w:eastAsia="en-AU"/>
          </w:rPr>
          <w:t>www.creativecommons.org/licenses/by/3.0/au/deed.en</w:t>
        </w:r>
      </w:hyperlink>
      <w:r w:rsidR="00702B7D">
        <w:rPr>
          <w:rFonts w:cs="Arial"/>
          <w:sz w:val="16"/>
          <w:szCs w:val="16"/>
          <w:lang w:eastAsia="en-AU"/>
        </w:rPr>
        <w:t xml:space="preserve">. </w:t>
      </w:r>
      <w:r w:rsidRPr="005C0ACC">
        <w:rPr>
          <w:rFonts w:cs="Arial"/>
          <w:sz w:val="16"/>
          <w:szCs w:val="16"/>
          <w:lang w:eastAsia="en-AU"/>
        </w:rPr>
        <w:t xml:space="preserve">The full licence terms are available from </w:t>
      </w:r>
      <w:hyperlink r:id="rId14" w:history="1">
        <w:r w:rsidR="009B6ACE" w:rsidRPr="009B6ACE">
          <w:rPr>
            <w:rFonts w:cs="Arial"/>
            <w:color w:val="0000FF"/>
            <w:sz w:val="16"/>
            <w:szCs w:val="16"/>
            <w:u w:val="single"/>
            <w:lang w:eastAsia="en-AU"/>
          </w:rPr>
          <w:t>www.creativecommons.org/licenses/by/3.0/au/legalcode</w:t>
        </w:r>
      </w:hyperlink>
      <w:r w:rsidR="009B6ACE">
        <w:rPr>
          <w:rFonts w:cs="Arial"/>
          <w:sz w:val="16"/>
          <w:szCs w:val="16"/>
          <w:lang w:eastAsia="en-AU"/>
        </w:rPr>
        <w:t>.</w:t>
      </w:r>
    </w:p>
    <w:p w14:paraId="115DCC3E" w14:textId="77777777" w:rsidR="008366A3" w:rsidRPr="005C0ACC" w:rsidRDefault="008366A3" w:rsidP="008366A3">
      <w:pPr>
        <w:autoSpaceDE w:val="0"/>
        <w:autoSpaceDN w:val="0"/>
        <w:adjustRightInd w:val="0"/>
        <w:spacing w:before="120" w:line="240" w:lineRule="exact"/>
        <w:ind w:left="-284" w:right="-330"/>
        <w:rPr>
          <w:rFonts w:cs="Arial"/>
          <w:i/>
          <w:iCs/>
          <w:sz w:val="16"/>
          <w:szCs w:val="16"/>
          <w:lang w:eastAsia="en-AU"/>
        </w:rPr>
      </w:pPr>
      <w:r w:rsidRPr="005C0ACC">
        <w:rPr>
          <w:rFonts w:cs="Arial"/>
          <w:sz w:val="16"/>
          <w:szCs w:val="16"/>
          <w:lang w:eastAsia="en-AU"/>
        </w:rPr>
        <w:t>The APVMA’s preference is that you attribute this publication (and any approved material sourced from it) using the following wording:</w:t>
      </w:r>
    </w:p>
    <w:p w14:paraId="56713379" w14:textId="77777777" w:rsidR="008366A3" w:rsidRPr="005C0ACC" w:rsidRDefault="008366A3" w:rsidP="008366A3">
      <w:pPr>
        <w:autoSpaceDE w:val="0"/>
        <w:autoSpaceDN w:val="0"/>
        <w:adjustRightInd w:val="0"/>
        <w:spacing w:before="120" w:line="240" w:lineRule="exact"/>
        <w:ind w:left="-284" w:right="-330"/>
        <w:rPr>
          <w:rFonts w:cs="Arial"/>
          <w:i/>
          <w:iCs/>
          <w:sz w:val="16"/>
          <w:szCs w:val="16"/>
          <w:lang w:eastAsia="en-AU"/>
        </w:rPr>
      </w:pPr>
      <w:r w:rsidRPr="005C0ACC">
        <w:rPr>
          <w:rFonts w:cs="Arial"/>
          <w:i/>
          <w:iCs/>
          <w:sz w:val="16"/>
          <w:szCs w:val="16"/>
          <w:lang w:eastAsia="en-AU"/>
        </w:rPr>
        <w:t xml:space="preserve">Source: Licensed from the Australian Pesticides and Veterinary Medicines Authority (APVMA) under a Creative Commons Attribution </w:t>
      </w:r>
      <w:r>
        <w:rPr>
          <w:rFonts w:cs="Arial"/>
          <w:i/>
          <w:iCs/>
          <w:sz w:val="16"/>
          <w:szCs w:val="16"/>
          <w:lang w:eastAsia="en-AU"/>
        </w:rPr>
        <w:t>4</w:t>
      </w:r>
      <w:r w:rsidRPr="005C0ACC">
        <w:rPr>
          <w:rFonts w:cs="Arial"/>
          <w:i/>
          <w:iCs/>
          <w:sz w:val="16"/>
          <w:szCs w:val="16"/>
          <w:lang w:eastAsia="en-AU"/>
        </w:rPr>
        <w:t xml:space="preserve">.0 Australia Licence. </w:t>
      </w:r>
    </w:p>
    <w:p w14:paraId="4FD097B3" w14:textId="77777777" w:rsidR="008366A3" w:rsidRPr="005C0ACC" w:rsidRDefault="008366A3" w:rsidP="008366A3">
      <w:pPr>
        <w:autoSpaceDE w:val="0"/>
        <w:autoSpaceDN w:val="0"/>
        <w:adjustRightInd w:val="0"/>
        <w:spacing w:before="120" w:after="120" w:line="240" w:lineRule="exact"/>
        <w:ind w:left="-284" w:right="-330"/>
        <w:rPr>
          <w:rFonts w:cs="Arial"/>
          <w:sz w:val="16"/>
          <w:szCs w:val="16"/>
          <w:lang w:eastAsia="en-AU"/>
        </w:rPr>
      </w:pPr>
      <w:r w:rsidRPr="005C0ACC">
        <w:rPr>
          <w:rFonts w:cs="Arial"/>
          <w:sz w:val="16"/>
          <w:szCs w:val="16"/>
          <w:lang w:eastAsia="en-AU"/>
        </w:rPr>
        <w:t>In referencing this document the Australian Pesticides and Veterinary Medicines Authority should be cited as the author, publisher and copyright owner.</w:t>
      </w:r>
    </w:p>
    <w:p w14:paraId="105899B4" w14:textId="77777777" w:rsidR="00862E63" w:rsidRPr="005C0ACC" w:rsidRDefault="00862E63" w:rsidP="00862E63">
      <w:pPr>
        <w:autoSpaceDE w:val="0"/>
        <w:autoSpaceDN w:val="0"/>
        <w:adjustRightInd w:val="0"/>
        <w:spacing w:line="240" w:lineRule="exact"/>
        <w:ind w:left="-284" w:right="-330"/>
        <w:rPr>
          <w:rFonts w:cs="Arial"/>
          <w:bCs/>
          <w:sz w:val="16"/>
          <w:szCs w:val="16"/>
          <w:lang w:eastAsia="en-AU"/>
        </w:rPr>
      </w:pPr>
      <w:r w:rsidRPr="005C0ACC">
        <w:rPr>
          <w:rFonts w:cs="Arial"/>
          <w:bCs/>
          <w:sz w:val="16"/>
          <w:szCs w:val="16"/>
          <w:lang w:eastAsia="en-AU"/>
        </w:rPr>
        <w:t>Cover image: iStockphoto (www.istockphoto.com)</w:t>
      </w:r>
    </w:p>
    <w:p w14:paraId="320D428B" w14:textId="77777777" w:rsidR="00862E63" w:rsidRPr="005C0ACC" w:rsidRDefault="00862E63" w:rsidP="00862E63">
      <w:pPr>
        <w:autoSpaceDE w:val="0"/>
        <w:autoSpaceDN w:val="0"/>
        <w:adjustRightInd w:val="0"/>
        <w:spacing w:line="240" w:lineRule="exact"/>
        <w:ind w:left="-284" w:right="-330"/>
        <w:rPr>
          <w:rFonts w:cs="Arial"/>
          <w:bCs/>
          <w:sz w:val="16"/>
          <w:szCs w:val="16"/>
          <w:lang w:eastAsia="en-AU"/>
        </w:rPr>
      </w:pPr>
      <w:r w:rsidRPr="005C0ACC">
        <w:rPr>
          <w:rFonts w:cs="Arial"/>
          <w:bCs/>
          <w:sz w:val="16"/>
          <w:szCs w:val="16"/>
          <w:lang w:eastAsia="en-AU"/>
        </w:rPr>
        <w:t xml:space="preserve">iStockphoto images are not covered by this Creative Commons licence. </w:t>
      </w:r>
    </w:p>
    <w:p w14:paraId="41BE9228" w14:textId="77777777" w:rsidR="00862E63" w:rsidRPr="005C0ACC" w:rsidRDefault="00862E63" w:rsidP="00862E63">
      <w:pPr>
        <w:autoSpaceDE w:val="0"/>
        <w:autoSpaceDN w:val="0"/>
        <w:adjustRightInd w:val="0"/>
        <w:spacing w:before="120" w:line="240" w:lineRule="exact"/>
        <w:ind w:left="-284" w:right="-330"/>
        <w:rPr>
          <w:rFonts w:cs="Arial"/>
          <w:b/>
          <w:bCs/>
          <w:sz w:val="16"/>
          <w:szCs w:val="16"/>
          <w:lang w:eastAsia="en-AU"/>
        </w:rPr>
      </w:pPr>
      <w:r w:rsidRPr="005C0ACC">
        <w:rPr>
          <w:rFonts w:cs="Arial"/>
          <w:b/>
          <w:bCs/>
          <w:sz w:val="16"/>
          <w:szCs w:val="16"/>
          <w:lang w:eastAsia="en-AU"/>
        </w:rPr>
        <w:t>Use of the Coat of Arms</w:t>
      </w:r>
    </w:p>
    <w:p w14:paraId="46F9E332" w14:textId="77777777" w:rsidR="00862E63" w:rsidRPr="005C0ACC" w:rsidRDefault="00862E63" w:rsidP="00862E63">
      <w:pPr>
        <w:autoSpaceDE w:val="0"/>
        <w:autoSpaceDN w:val="0"/>
        <w:adjustRightInd w:val="0"/>
        <w:spacing w:before="60" w:line="240" w:lineRule="exact"/>
        <w:ind w:left="-284" w:right="-330"/>
        <w:rPr>
          <w:rFonts w:cs="Arial"/>
          <w:sz w:val="16"/>
          <w:szCs w:val="16"/>
          <w:lang w:eastAsia="en-AU"/>
        </w:rPr>
      </w:pPr>
      <w:r w:rsidRPr="005C0ACC">
        <w:rPr>
          <w:rFonts w:cs="Arial"/>
          <w:sz w:val="16"/>
          <w:szCs w:val="16"/>
          <w:lang w:eastAsia="en-AU"/>
        </w:rPr>
        <w:t xml:space="preserve">The terms under which the Coat of Arms can be used are set out on the </w:t>
      </w:r>
      <w:hyperlink r:id="rId15" w:history="1">
        <w:r w:rsidRPr="0029069C">
          <w:rPr>
            <w:rStyle w:val="Hyperlink"/>
            <w:rFonts w:cs="Arial"/>
            <w:sz w:val="16"/>
            <w:szCs w:val="16"/>
            <w:lang w:eastAsia="en-AU"/>
          </w:rPr>
          <w:t xml:space="preserve">Department of the Prime Minister and </w:t>
        </w:r>
        <w:r w:rsidR="0029069C" w:rsidRPr="0029069C">
          <w:rPr>
            <w:rStyle w:val="Hyperlink"/>
            <w:rFonts w:cs="Arial"/>
            <w:sz w:val="16"/>
            <w:szCs w:val="16"/>
            <w:lang w:eastAsia="en-AU"/>
          </w:rPr>
          <w:t>Cabinet website</w:t>
        </w:r>
      </w:hyperlink>
      <w:r w:rsidRPr="005C0ACC">
        <w:rPr>
          <w:rFonts w:cs="Arial"/>
          <w:sz w:val="16"/>
          <w:szCs w:val="16"/>
          <w:lang w:eastAsia="en-AU"/>
        </w:rPr>
        <w:t>.</w:t>
      </w:r>
    </w:p>
    <w:p w14:paraId="7B8DC6C2" w14:textId="77777777" w:rsidR="00862E63" w:rsidRPr="005C0ACC" w:rsidRDefault="00862E63" w:rsidP="00862E63">
      <w:pPr>
        <w:spacing w:before="120" w:line="240" w:lineRule="exact"/>
        <w:ind w:left="-284" w:right="-330"/>
        <w:rPr>
          <w:rFonts w:cs="Arial"/>
          <w:b/>
          <w:bCs/>
          <w:sz w:val="16"/>
          <w:szCs w:val="16"/>
          <w:lang w:eastAsia="en-AU"/>
        </w:rPr>
      </w:pPr>
      <w:r w:rsidRPr="005C0ACC">
        <w:rPr>
          <w:rFonts w:cs="Arial"/>
          <w:b/>
          <w:bCs/>
          <w:sz w:val="16"/>
          <w:szCs w:val="16"/>
          <w:lang w:eastAsia="en-AU"/>
        </w:rPr>
        <w:t>Disclaimer</w:t>
      </w:r>
    </w:p>
    <w:p w14:paraId="090EF944" w14:textId="77777777" w:rsidR="00862E63" w:rsidRPr="009A7614" w:rsidRDefault="00862E63" w:rsidP="009A7614">
      <w:pPr>
        <w:autoSpaceDE w:val="0"/>
        <w:autoSpaceDN w:val="0"/>
        <w:adjustRightInd w:val="0"/>
        <w:spacing w:before="60" w:line="240" w:lineRule="exact"/>
        <w:ind w:left="-284" w:right="-330"/>
        <w:rPr>
          <w:rFonts w:cs="Arial"/>
          <w:sz w:val="16"/>
          <w:szCs w:val="16"/>
          <w:lang w:eastAsia="en-AU"/>
        </w:rPr>
      </w:pPr>
      <w:r w:rsidRPr="005C0ACC">
        <w:rPr>
          <w:rFonts w:cs="Arial"/>
          <w:sz w:val="16"/>
          <w:szCs w:val="16"/>
          <w:lang w:eastAsia="en-AU"/>
        </w:rPr>
        <w:t xml:space="preserve">The material in or linking from this report may contain the views or recommendations of third parties. Third party material does not necessarily reflect the </w:t>
      </w:r>
      <w:r w:rsidR="00C95323">
        <w:rPr>
          <w:rFonts w:cs="Arial"/>
          <w:sz w:val="16"/>
          <w:szCs w:val="16"/>
          <w:lang w:eastAsia="en-AU"/>
        </w:rPr>
        <w:fldChar w:fldCharType="begin"/>
      </w:r>
      <w:r w:rsidR="00C95323">
        <w:rPr>
          <w:rFonts w:cs="Arial"/>
          <w:sz w:val="16"/>
          <w:szCs w:val="16"/>
          <w:lang w:eastAsia="en-AU"/>
        </w:rPr>
        <w:instrText xml:space="preserve"> TOC \o "1-3" \h \z \u </w:instrText>
      </w:r>
      <w:r w:rsidR="00C95323">
        <w:rPr>
          <w:rFonts w:cs="Arial"/>
          <w:sz w:val="16"/>
          <w:szCs w:val="16"/>
          <w:lang w:eastAsia="en-AU"/>
        </w:rPr>
        <w:fldChar w:fldCharType="end"/>
      </w:r>
      <w:r w:rsidRPr="005C0ACC">
        <w:rPr>
          <w:rFonts w:cs="Arial"/>
          <w:sz w:val="16"/>
          <w:szCs w:val="16"/>
          <w:lang w:eastAsia="en-AU"/>
        </w:rPr>
        <w:t>views of the APVMA, or indicate a commitment to</w:t>
      </w:r>
      <w:r w:rsidR="009A7614">
        <w:rPr>
          <w:rFonts w:cs="Arial"/>
          <w:sz w:val="16"/>
          <w:szCs w:val="16"/>
          <w:lang w:eastAsia="en-AU"/>
        </w:rPr>
        <w:t xml:space="preserve"> a particular course of action. </w:t>
      </w:r>
      <w:r w:rsidRPr="005C0ACC">
        <w:rPr>
          <w:rFonts w:cs="Arial"/>
          <w:bCs/>
          <w:sz w:val="16"/>
          <w:szCs w:val="16"/>
          <w:lang w:eastAsia="en-AU"/>
        </w:rPr>
        <w:t>There may be links in this document that will transfer you to external websites. The APVMA does not have responsibility for these websites, nor does linking to or from this document constitute any form of endorsement.</w:t>
      </w:r>
      <w:r w:rsidR="009A7614">
        <w:rPr>
          <w:rFonts w:cs="Arial"/>
          <w:sz w:val="16"/>
          <w:szCs w:val="16"/>
          <w:lang w:eastAsia="en-AU"/>
        </w:rPr>
        <w:t xml:space="preserve"> </w:t>
      </w:r>
      <w:r w:rsidRPr="005C0ACC">
        <w:rPr>
          <w:rFonts w:cs="Arial"/>
          <w:bCs/>
          <w:sz w:val="16"/>
          <w:szCs w:val="16"/>
          <w:lang w:eastAsia="en-AU"/>
        </w:rPr>
        <w:t>The APVMA is not responsible for any errors, omissions or matters of interpretation in any third-party information contained within this document.</w:t>
      </w:r>
    </w:p>
    <w:p w14:paraId="1E7D51B0" w14:textId="77777777" w:rsidR="00862E63" w:rsidRPr="005C0ACC" w:rsidRDefault="00862E63" w:rsidP="009A7614">
      <w:pPr>
        <w:autoSpaceDE w:val="0"/>
        <w:autoSpaceDN w:val="0"/>
        <w:adjustRightInd w:val="0"/>
        <w:spacing w:before="120" w:line="240" w:lineRule="exact"/>
        <w:ind w:left="-284" w:right="-330"/>
        <w:rPr>
          <w:rFonts w:cs="Arial"/>
          <w:b/>
          <w:bCs/>
          <w:sz w:val="16"/>
          <w:szCs w:val="16"/>
          <w:lang w:eastAsia="en-AU"/>
        </w:rPr>
      </w:pPr>
      <w:r w:rsidRPr="005C0ACC">
        <w:rPr>
          <w:rFonts w:cs="Arial"/>
          <w:b/>
          <w:bCs/>
          <w:sz w:val="16"/>
          <w:szCs w:val="16"/>
          <w:lang w:eastAsia="en-AU"/>
        </w:rPr>
        <w:t>Comments and enquiries regarding copyright:</w:t>
      </w:r>
    </w:p>
    <w:p w14:paraId="48B39851" w14:textId="77777777" w:rsidR="00862E63" w:rsidRPr="005C0ACC" w:rsidRDefault="00D23D6A" w:rsidP="00862E63">
      <w:pPr>
        <w:autoSpaceDE w:val="0"/>
        <w:autoSpaceDN w:val="0"/>
        <w:adjustRightInd w:val="0"/>
        <w:spacing w:before="60" w:line="240" w:lineRule="exact"/>
        <w:ind w:left="-284" w:right="-330"/>
        <w:rPr>
          <w:rFonts w:cs="Arial"/>
          <w:sz w:val="16"/>
          <w:szCs w:val="16"/>
          <w:lang w:eastAsia="en-AU"/>
        </w:rPr>
      </w:pPr>
      <w:r>
        <w:rPr>
          <w:rFonts w:cs="Arial"/>
          <w:sz w:val="16"/>
          <w:szCs w:val="16"/>
          <w:lang w:eastAsia="en-AU"/>
        </w:rPr>
        <w:t>Assistant Director, Communications</w:t>
      </w:r>
    </w:p>
    <w:p w14:paraId="2CE72AED" w14:textId="77777777" w:rsidR="00862E63" w:rsidRPr="005C0ACC" w:rsidRDefault="00862E63" w:rsidP="00862E63">
      <w:pPr>
        <w:autoSpaceDE w:val="0"/>
        <w:autoSpaceDN w:val="0"/>
        <w:adjustRightInd w:val="0"/>
        <w:spacing w:line="240" w:lineRule="exact"/>
        <w:ind w:left="-284" w:right="-330"/>
        <w:rPr>
          <w:rFonts w:cs="Arial"/>
          <w:sz w:val="16"/>
          <w:szCs w:val="16"/>
          <w:lang w:eastAsia="en-AU"/>
        </w:rPr>
      </w:pPr>
      <w:r w:rsidRPr="005C0ACC">
        <w:rPr>
          <w:rFonts w:cs="Arial"/>
          <w:sz w:val="16"/>
          <w:szCs w:val="16"/>
          <w:lang w:eastAsia="en-AU"/>
        </w:rPr>
        <w:t>Australian Pesticides and Veterinary Medicines Authority</w:t>
      </w:r>
    </w:p>
    <w:p w14:paraId="3B669539" w14:textId="77777777" w:rsidR="00862E63" w:rsidRPr="005C0ACC" w:rsidRDefault="00862E63" w:rsidP="00862E63">
      <w:pPr>
        <w:autoSpaceDE w:val="0"/>
        <w:autoSpaceDN w:val="0"/>
        <w:adjustRightInd w:val="0"/>
        <w:spacing w:line="240" w:lineRule="exact"/>
        <w:ind w:left="-284" w:right="-330"/>
        <w:rPr>
          <w:rFonts w:cs="Arial"/>
          <w:sz w:val="16"/>
          <w:szCs w:val="16"/>
          <w:lang w:eastAsia="en-AU"/>
        </w:rPr>
      </w:pPr>
      <w:r w:rsidRPr="005C0ACC">
        <w:rPr>
          <w:rFonts w:cs="Arial"/>
          <w:sz w:val="16"/>
          <w:szCs w:val="16"/>
          <w:lang w:eastAsia="en-AU"/>
        </w:rPr>
        <w:t>PO Box 6182</w:t>
      </w:r>
    </w:p>
    <w:p w14:paraId="69777E5A" w14:textId="77777777" w:rsidR="00862E63" w:rsidRPr="005C0ACC" w:rsidRDefault="00862E63" w:rsidP="00862E63">
      <w:pPr>
        <w:autoSpaceDE w:val="0"/>
        <w:autoSpaceDN w:val="0"/>
        <w:adjustRightInd w:val="0"/>
        <w:spacing w:line="240" w:lineRule="exact"/>
        <w:ind w:left="-284" w:right="-330"/>
        <w:rPr>
          <w:rFonts w:cs="Arial"/>
          <w:sz w:val="16"/>
          <w:szCs w:val="16"/>
          <w:lang w:eastAsia="en-AU"/>
        </w:rPr>
      </w:pPr>
      <w:r w:rsidRPr="005C0ACC">
        <w:rPr>
          <w:rFonts w:cs="Arial"/>
          <w:sz w:val="16"/>
          <w:szCs w:val="16"/>
          <w:lang w:eastAsia="en-AU"/>
        </w:rPr>
        <w:t>KINGSTON ACT 2604 Australia</w:t>
      </w:r>
    </w:p>
    <w:p w14:paraId="283729F3" w14:textId="72C3DDD3" w:rsidR="00862E63" w:rsidRPr="005C0ACC" w:rsidRDefault="006110AE" w:rsidP="00862E63">
      <w:pPr>
        <w:autoSpaceDE w:val="0"/>
        <w:autoSpaceDN w:val="0"/>
        <w:adjustRightInd w:val="0"/>
        <w:spacing w:before="120" w:line="240" w:lineRule="exact"/>
        <w:ind w:left="-284" w:right="-330"/>
        <w:rPr>
          <w:rFonts w:cs="Arial"/>
          <w:sz w:val="16"/>
          <w:szCs w:val="16"/>
          <w:lang w:eastAsia="en-AU"/>
        </w:rPr>
      </w:pPr>
      <w:r>
        <w:rPr>
          <w:rFonts w:cs="Arial"/>
          <w:sz w:val="16"/>
          <w:szCs w:val="16"/>
          <w:lang w:eastAsia="en-AU"/>
        </w:rPr>
        <w:t xml:space="preserve">Telephone: +61 2 </w:t>
      </w:r>
      <w:r w:rsidR="0080521C">
        <w:rPr>
          <w:rFonts w:cs="Arial"/>
          <w:sz w:val="16"/>
          <w:szCs w:val="16"/>
          <w:lang w:eastAsia="en-AU"/>
        </w:rPr>
        <w:t>6770 2300</w:t>
      </w:r>
    </w:p>
    <w:p w14:paraId="67510E4A" w14:textId="77777777" w:rsidR="00862E63" w:rsidRPr="005C0ACC" w:rsidRDefault="00862E63" w:rsidP="00862E63">
      <w:pPr>
        <w:autoSpaceDE w:val="0"/>
        <w:autoSpaceDN w:val="0"/>
        <w:adjustRightInd w:val="0"/>
        <w:spacing w:before="120" w:line="240" w:lineRule="exact"/>
        <w:ind w:left="-284" w:right="-330"/>
        <w:rPr>
          <w:rFonts w:cs="Arial"/>
          <w:color w:val="0000FF"/>
          <w:sz w:val="16"/>
          <w:szCs w:val="16"/>
          <w:u w:val="single"/>
          <w:lang w:eastAsia="en-AU"/>
        </w:rPr>
      </w:pPr>
      <w:r w:rsidRPr="005C0ACC">
        <w:rPr>
          <w:rFonts w:cs="Arial"/>
          <w:sz w:val="16"/>
          <w:szCs w:val="16"/>
          <w:lang w:eastAsia="en-AU"/>
        </w:rPr>
        <w:t xml:space="preserve">Email: </w:t>
      </w:r>
      <w:hyperlink r:id="rId16" w:history="1">
        <w:r w:rsidRPr="005C0ACC">
          <w:rPr>
            <w:rFonts w:cs="Arial"/>
            <w:color w:val="0000FF"/>
            <w:sz w:val="16"/>
            <w:szCs w:val="16"/>
            <w:u w:val="single"/>
            <w:lang w:eastAsia="en-AU"/>
          </w:rPr>
          <w:t>communications@apvma.gov.au</w:t>
        </w:r>
      </w:hyperlink>
      <w:r>
        <w:rPr>
          <w:rFonts w:cs="Arial"/>
          <w:color w:val="0000FF"/>
          <w:sz w:val="16"/>
          <w:szCs w:val="16"/>
          <w:u w:val="single"/>
          <w:lang w:eastAsia="en-AU"/>
        </w:rPr>
        <w:t>.</w:t>
      </w:r>
    </w:p>
    <w:p w14:paraId="2B9E23DF" w14:textId="77777777" w:rsidR="002E20AC" w:rsidRPr="002F4591" w:rsidRDefault="00862E63" w:rsidP="002F4591">
      <w:pPr>
        <w:pStyle w:val="APVMAImprintText"/>
        <w:ind w:left="-284" w:right="-330"/>
        <w:rPr>
          <w:szCs w:val="16"/>
        </w:rPr>
      </w:pPr>
      <w:r w:rsidRPr="005C0ACC">
        <w:rPr>
          <w:spacing w:val="0"/>
          <w:szCs w:val="16"/>
          <w:lang w:eastAsia="en-AU"/>
        </w:rPr>
        <w:t xml:space="preserve">This publication is available from the </w:t>
      </w:r>
      <w:hyperlink r:id="rId17" w:history="1">
        <w:r w:rsidRPr="00D23D6A">
          <w:rPr>
            <w:rStyle w:val="Hyperlink"/>
            <w:spacing w:val="0"/>
            <w:szCs w:val="16"/>
            <w:lang w:eastAsia="en-AU"/>
          </w:rPr>
          <w:t>APVMA website</w:t>
        </w:r>
      </w:hyperlink>
      <w:r w:rsidRPr="005C0ACC">
        <w:rPr>
          <w:spacing w:val="0"/>
          <w:szCs w:val="16"/>
          <w:lang w:eastAsia="en-AU"/>
        </w:rPr>
        <w:t>.</w:t>
      </w:r>
      <w:bookmarkEnd w:id="0"/>
    </w:p>
    <w:p w14:paraId="6CD2E692" w14:textId="77777777" w:rsidR="002E20AC" w:rsidRDefault="002E20AC">
      <w:pPr>
        <w:pStyle w:val="APVMAImprintText"/>
        <w:sectPr w:rsidR="002E20AC" w:rsidSect="00CB58D6">
          <w:pgSz w:w="11906" w:h="16838" w:code="9"/>
          <w:pgMar w:top="2127" w:right="1134" w:bottom="1134" w:left="1134" w:header="1701" w:footer="450" w:gutter="0"/>
          <w:pgNumType w:fmt="lowerRoman"/>
          <w:cols w:space="708"/>
          <w:docGrid w:linePitch="360"/>
        </w:sectPr>
      </w:pPr>
    </w:p>
    <w:p w14:paraId="71E45098" w14:textId="77777777" w:rsidR="002E20AC" w:rsidRDefault="002E20AC" w:rsidP="00D23D6A">
      <w:pPr>
        <w:pStyle w:val="TOAHeading"/>
      </w:pPr>
      <w:r>
        <w:lastRenderedPageBreak/>
        <w:t>Contents</w:t>
      </w:r>
    </w:p>
    <w:p w14:paraId="53B0C4F8" w14:textId="77777777" w:rsidR="00454836" w:rsidRDefault="005064D5">
      <w:pPr>
        <w:pStyle w:val="TOC1"/>
        <w:rPr>
          <w:rFonts w:asciiTheme="minorHAnsi" w:eastAsiaTheme="minorEastAsia" w:hAnsiTheme="minorHAnsi" w:cstheme="minorBidi"/>
          <w:b w:val="0"/>
          <w:bCs w:val="0"/>
          <w:caps w:val="0"/>
          <w:color w:val="auto"/>
          <w:kern w:val="0"/>
          <w:sz w:val="22"/>
          <w:szCs w:val="22"/>
          <w:lang w:eastAsia="en-AU"/>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14340823" w:history="1">
        <w:r w:rsidR="00454836" w:rsidRPr="00E720FE">
          <w:rPr>
            <w:rStyle w:val="Hyperlink"/>
          </w:rPr>
          <w:t>Background</w:t>
        </w:r>
        <w:r w:rsidR="00454836">
          <w:rPr>
            <w:webHidden/>
          </w:rPr>
          <w:tab/>
        </w:r>
        <w:r w:rsidR="00454836">
          <w:rPr>
            <w:webHidden/>
          </w:rPr>
          <w:fldChar w:fldCharType="begin"/>
        </w:r>
        <w:r w:rsidR="00454836">
          <w:rPr>
            <w:webHidden/>
          </w:rPr>
          <w:instrText xml:space="preserve"> PAGEREF _Toc14340823 \h </w:instrText>
        </w:r>
        <w:r w:rsidR="00454836">
          <w:rPr>
            <w:webHidden/>
          </w:rPr>
        </w:r>
        <w:r w:rsidR="00454836">
          <w:rPr>
            <w:webHidden/>
          </w:rPr>
          <w:fldChar w:fldCharType="separate"/>
        </w:r>
        <w:r w:rsidR="00454836">
          <w:rPr>
            <w:webHidden/>
          </w:rPr>
          <w:t>6</w:t>
        </w:r>
        <w:r w:rsidR="00454836">
          <w:rPr>
            <w:webHidden/>
          </w:rPr>
          <w:fldChar w:fldCharType="end"/>
        </w:r>
      </w:hyperlink>
    </w:p>
    <w:p w14:paraId="3F8132D7" w14:textId="77777777" w:rsidR="00454836" w:rsidRDefault="00454836">
      <w:pPr>
        <w:pStyle w:val="TOC1"/>
        <w:rPr>
          <w:rFonts w:asciiTheme="minorHAnsi" w:eastAsiaTheme="minorEastAsia" w:hAnsiTheme="minorHAnsi" w:cstheme="minorBidi"/>
          <w:b w:val="0"/>
          <w:bCs w:val="0"/>
          <w:caps w:val="0"/>
          <w:color w:val="auto"/>
          <w:kern w:val="0"/>
          <w:sz w:val="22"/>
          <w:szCs w:val="22"/>
          <w:lang w:eastAsia="en-AU"/>
        </w:rPr>
      </w:pPr>
      <w:hyperlink w:anchor="_Toc14340824" w:history="1">
        <w:r w:rsidRPr="00E720FE">
          <w:rPr>
            <w:rStyle w:val="Hyperlink"/>
          </w:rPr>
          <w:t>1</w:t>
        </w:r>
        <w:r>
          <w:rPr>
            <w:rFonts w:asciiTheme="minorHAnsi" w:eastAsiaTheme="minorEastAsia" w:hAnsiTheme="minorHAnsi" w:cstheme="minorBidi"/>
            <w:b w:val="0"/>
            <w:bCs w:val="0"/>
            <w:caps w:val="0"/>
            <w:color w:val="auto"/>
            <w:kern w:val="0"/>
            <w:sz w:val="22"/>
            <w:szCs w:val="22"/>
            <w:lang w:eastAsia="en-AU"/>
          </w:rPr>
          <w:tab/>
        </w:r>
        <w:r w:rsidRPr="00E720FE">
          <w:rPr>
            <w:rStyle w:val="Hyperlink"/>
          </w:rPr>
          <w:t>General information</w:t>
        </w:r>
        <w:r>
          <w:rPr>
            <w:webHidden/>
          </w:rPr>
          <w:tab/>
        </w:r>
        <w:r>
          <w:rPr>
            <w:webHidden/>
          </w:rPr>
          <w:fldChar w:fldCharType="begin"/>
        </w:r>
        <w:r>
          <w:rPr>
            <w:webHidden/>
          </w:rPr>
          <w:instrText xml:space="preserve"> PAGEREF _Toc14340824 \h </w:instrText>
        </w:r>
        <w:r>
          <w:rPr>
            <w:webHidden/>
          </w:rPr>
        </w:r>
        <w:r>
          <w:rPr>
            <w:webHidden/>
          </w:rPr>
          <w:fldChar w:fldCharType="separate"/>
        </w:r>
        <w:r>
          <w:rPr>
            <w:webHidden/>
          </w:rPr>
          <w:t>9</w:t>
        </w:r>
        <w:r>
          <w:rPr>
            <w:webHidden/>
          </w:rPr>
          <w:fldChar w:fldCharType="end"/>
        </w:r>
      </w:hyperlink>
    </w:p>
    <w:p w14:paraId="5A88264A" w14:textId="77777777" w:rsidR="00454836" w:rsidRDefault="00454836">
      <w:pPr>
        <w:pStyle w:val="TOC2"/>
        <w:rPr>
          <w:rFonts w:asciiTheme="minorHAnsi" w:eastAsiaTheme="minorEastAsia" w:hAnsiTheme="minorHAnsi" w:cstheme="minorBidi"/>
          <w:b w:val="0"/>
          <w:color w:val="auto"/>
          <w:sz w:val="22"/>
          <w:szCs w:val="22"/>
          <w:lang w:eastAsia="en-AU"/>
        </w:rPr>
      </w:pPr>
      <w:hyperlink w:anchor="_Toc14340825" w:history="1">
        <w:r w:rsidRPr="00E720FE">
          <w:rPr>
            <w:rStyle w:val="Hyperlink"/>
            <w:rFonts w:ascii="Trebuchet MS" w:hAnsi="Trebuchet MS"/>
          </w:rPr>
          <w:t>1.1</w:t>
        </w:r>
        <w:r>
          <w:rPr>
            <w:rFonts w:asciiTheme="minorHAnsi" w:eastAsiaTheme="minorEastAsia" w:hAnsiTheme="minorHAnsi" w:cstheme="minorBidi"/>
            <w:b w:val="0"/>
            <w:color w:val="auto"/>
            <w:sz w:val="22"/>
            <w:szCs w:val="22"/>
            <w:lang w:eastAsia="en-AU"/>
          </w:rPr>
          <w:tab/>
        </w:r>
        <w:r w:rsidRPr="00E720FE">
          <w:rPr>
            <w:rStyle w:val="Hyperlink"/>
          </w:rPr>
          <w:t>Introduction</w:t>
        </w:r>
        <w:r>
          <w:rPr>
            <w:webHidden/>
          </w:rPr>
          <w:tab/>
        </w:r>
        <w:r>
          <w:rPr>
            <w:webHidden/>
          </w:rPr>
          <w:fldChar w:fldCharType="begin"/>
        </w:r>
        <w:r>
          <w:rPr>
            <w:webHidden/>
          </w:rPr>
          <w:instrText xml:space="preserve"> PAGEREF _Toc14340825 \h </w:instrText>
        </w:r>
        <w:r>
          <w:rPr>
            <w:webHidden/>
          </w:rPr>
        </w:r>
        <w:r>
          <w:rPr>
            <w:webHidden/>
          </w:rPr>
          <w:fldChar w:fldCharType="separate"/>
        </w:r>
        <w:r>
          <w:rPr>
            <w:webHidden/>
          </w:rPr>
          <w:t>9</w:t>
        </w:r>
        <w:r>
          <w:rPr>
            <w:webHidden/>
          </w:rPr>
          <w:fldChar w:fldCharType="end"/>
        </w:r>
      </w:hyperlink>
    </w:p>
    <w:p w14:paraId="3431C9F6" w14:textId="77777777" w:rsidR="00454836" w:rsidRDefault="00454836">
      <w:pPr>
        <w:pStyle w:val="TOC2"/>
        <w:rPr>
          <w:rFonts w:asciiTheme="minorHAnsi" w:eastAsiaTheme="minorEastAsia" w:hAnsiTheme="minorHAnsi" w:cstheme="minorBidi"/>
          <w:b w:val="0"/>
          <w:color w:val="auto"/>
          <w:sz w:val="22"/>
          <w:szCs w:val="22"/>
          <w:lang w:eastAsia="en-AU"/>
        </w:rPr>
      </w:pPr>
      <w:hyperlink w:anchor="_Toc14340826" w:history="1">
        <w:r w:rsidRPr="00E720FE">
          <w:rPr>
            <w:rStyle w:val="Hyperlink"/>
            <w:rFonts w:ascii="Trebuchet MS" w:hAnsi="Trebuchet MS"/>
          </w:rPr>
          <w:t>1.2</w:t>
        </w:r>
        <w:r>
          <w:rPr>
            <w:rFonts w:asciiTheme="minorHAnsi" w:eastAsiaTheme="minorEastAsia" w:hAnsiTheme="minorHAnsi" w:cstheme="minorBidi"/>
            <w:b w:val="0"/>
            <w:color w:val="auto"/>
            <w:sz w:val="22"/>
            <w:szCs w:val="22"/>
            <w:lang w:eastAsia="en-AU"/>
          </w:rPr>
          <w:tab/>
        </w:r>
        <w:r w:rsidRPr="00E720FE">
          <w:rPr>
            <w:rStyle w:val="Hyperlink"/>
          </w:rPr>
          <w:t>Legislative basis</w:t>
        </w:r>
        <w:r>
          <w:rPr>
            <w:webHidden/>
          </w:rPr>
          <w:tab/>
        </w:r>
        <w:r>
          <w:rPr>
            <w:webHidden/>
          </w:rPr>
          <w:fldChar w:fldCharType="begin"/>
        </w:r>
        <w:r>
          <w:rPr>
            <w:webHidden/>
          </w:rPr>
          <w:instrText xml:space="preserve"> PAGEREF _Toc14340826 \h </w:instrText>
        </w:r>
        <w:r>
          <w:rPr>
            <w:webHidden/>
          </w:rPr>
        </w:r>
        <w:r>
          <w:rPr>
            <w:webHidden/>
          </w:rPr>
          <w:fldChar w:fldCharType="separate"/>
        </w:r>
        <w:r>
          <w:rPr>
            <w:webHidden/>
          </w:rPr>
          <w:t>9</w:t>
        </w:r>
        <w:r>
          <w:rPr>
            <w:webHidden/>
          </w:rPr>
          <w:fldChar w:fldCharType="end"/>
        </w:r>
      </w:hyperlink>
    </w:p>
    <w:p w14:paraId="751DBD7A" w14:textId="77777777" w:rsidR="00454836" w:rsidRDefault="00454836">
      <w:pPr>
        <w:pStyle w:val="TOC1"/>
        <w:rPr>
          <w:rFonts w:asciiTheme="minorHAnsi" w:eastAsiaTheme="minorEastAsia" w:hAnsiTheme="minorHAnsi" w:cstheme="minorBidi"/>
          <w:b w:val="0"/>
          <w:bCs w:val="0"/>
          <w:caps w:val="0"/>
          <w:color w:val="auto"/>
          <w:kern w:val="0"/>
          <w:sz w:val="22"/>
          <w:szCs w:val="22"/>
          <w:lang w:eastAsia="en-AU"/>
        </w:rPr>
      </w:pPr>
      <w:hyperlink w:anchor="_Toc14340827" w:history="1">
        <w:r w:rsidRPr="00E720FE">
          <w:rPr>
            <w:rStyle w:val="Hyperlink"/>
          </w:rPr>
          <w:t>2</w:t>
        </w:r>
        <w:r>
          <w:rPr>
            <w:rFonts w:asciiTheme="minorHAnsi" w:eastAsiaTheme="minorEastAsia" w:hAnsiTheme="minorHAnsi" w:cstheme="minorBidi"/>
            <w:b w:val="0"/>
            <w:bCs w:val="0"/>
            <w:caps w:val="0"/>
            <w:color w:val="auto"/>
            <w:kern w:val="0"/>
            <w:sz w:val="22"/>
            <w:szCs w:val="22"/>
            <w:lang w:eastAsia="en-AU"/>
          </w:rPr>
          <w:tab/>
        </w:r>
        <w:r w:rsidRPr="00E720FE">
          <w:rPr>
            <w:rStyle w:val="Hyperlink"/>
          </w:rPr>
          <w:t>spray drift risk assessment overview</w:t>
        </w:r>
        <w:r>
          <w:rPr>
            <w:webHidden/>
          </w:rPr>
          <w:tab/>
        </w:r>
        <w:r>
          <w:rPr>
            <w:webHidden/>
          </w:rPr>
          <w:fldChar w:fldCharType="begin"/>
        </w:r>
        <w:r>
          <w:rPr>
            <w:webHidden/>
          </w:rPr>
          <w:instrText xml:space="preserve"> PAGEREF _Toc14340827 \h </w:instrText>
        </w:r>
        <w:r>
          <w:rPr>
            <w:webHidden/>
          </w:rPr>
        </w:r>
        <w:r>
          <w:rPr>
            <w:webHidden/>
          </w:rPr>
          <w:fldChar w:fldCharType="separate"/>
        </w:r>
        <w:r>
          <w:rPr>
            <w:webHidden/>
          </w:rPr>
          <w:t>10</w:t>
        </w:r>
        <w:r>
          <w:rPr>
            <w:webHidden/>
          </w:rPr>
          <w:fldChar w:fldCharType="end"/>
        </w:r>
      </w:hyperlink>
    </w:p>
    <w:p w14:paraId="10FAECBB" w14:textId="77777777" w:rsidR="00454836" w:rsidRDefault="00454836">
      <w:pPr>
        <w:pStyle w:val="TOC2"/>
        <w:rPr>
          <w:rFonts w:asciiTheme="minorHAnsi" w:eastAsiaTheme="minorEastAsia" w:hAnsiTheme="minorHAnsi" w:cstheme="minorBidi"/>
          <w:b w:val="0"/>
          <w:color w:val="auto"/>
          <w:sz w:val="22"/>
          <w:szCs w:val="22"/>
          <w:lang w:eastAsia="en-AU"/>
        </w:rPr>
      </w:pPr>
      <w:hyperlink w:anchor="_Toc14340828" w:history="1">
        <w:r w:rsidRPr="00E720FE">
          <w:rPr>
            <w:rStyle w:val="Hyperlink"/>
            <w:rFonts w:ascii="Trebuchet MS" w:hAnsi="Trebuchet MS"/>
          </w:rPr>
          <w:t>2.1</w:t>
        </w:r>
        <w:r>
          <w:rPr>
            <w:rFonts w:asciiTheme="minorHAnsi" w:eastAsiaTheme="minorEastAsia" w:hAnsiTheme="minorHAnsi" w:cstheme="minorBidi"/>
            <w:b w:val="0"/>
            <w:color w:val="auto"/>
            <w:sz w:val="22"/>
            <w:szCs w:val="22"/>
            <w:lang w:eastAsia="en-AU"/>
          </w:rPr>
          <w:tab/>
        </w:r>
        <w:r w:rsidRPr="00E720FE">
          <w:rPr>
            <w:rStyle w:val="Hyperlink"/>
          </w:rPr>
          <w:t>Buffer zones</w:t>
        </w:r>
        <w:r>
          <w:rPr>
            <w:webHidden/>
          </w:rPr>
          <w:tab/>
        </w:r>
        <w:r>
          <w:rPr>
            <w:webHidden/>
          </w:rPr>
          <w:fldChar w:fldCharType="begin"/>
        </w:r>
        <w:r>
          <w:rPr>
            <w:webHidden/>
          </w:rPr>
          <w:instrText xml:space="preserve"> PAGEREF _Toc14340828 \h </w:instrText>
        </w:r>
        <w:r>
          <w:rPr>
            <w:webHidden/>
          </w:rPr>
        </w:r>
        <w:r>
          <w:rPr>
            <w:webHidden/>
          </w:rPr>
          <w:fldChar w:fldCharType="separate"/>
        </w:r>
        <w:r>
          <w:rPr>
            <w:webHidden/>
          </w:rPr>
          <w:t>12</w:t>
        </w:r>
        <w:r>
          <w:rPr>
            <w:webHidden/>
          </w:rPr>
          <w:fldChar w:fldCharType="end"/>
        </w:r>
      </w:hyperlink>
    </w:p>
    <w:p w14:paraId="05587BB5" w14:textId="77777777" w:rsidR="00454836" w:rsidRDefault="00454836">
      <w:pPr>
        <w:pStyle w:val="TOC3"/>
        <w:rPr>
          <w:rFonts w:asciiTheme="minorHAnsi" w:eastAsiaTheme="minorEastAsia" w:hAnsiTheme="minorHAnsi" w:cstheme="minorBidi"/>
          <w:sz w:val="22"/>
          <w:szCs w:val="22"/>
          <w:lang w:eastAsia="en-AU"/>
        </w:rPr>
      </w:pPr>
      <w:hyperlink w:anchor="_Toc14340829" w:history="1">
        <w:r w:rsidRPr="00E720FE">
          <w:rPr>
            <w:rStyle w:val="Hyperlink"/>
          </w:rPr>
          <w:t>Calculating buffer zone distances</w:t>
        </w:r>
        <w:r>
          <w:rPr>
            <w:webHidden/>
          </w:rPr>
          <w:tab/>
        </w:r>
        <w:r>
          <w:rPr>
            <w:webHidden/>
          </w:rPr>
          <w:fldChar w:fldCharType="begin"/>
        </w:r>
        <w:r>
          <w:rPr>
            <w:webHidden/>
          </w:rPr>
          <w:instrText xml:space="preserve"> PAGEREF _Toc14340829 \h </w:instrText>
        </w:r>
        <w:r>
          <w:rPr>
            <w:webHidden/>
          </w:rPr>
        </w:r>
        <w:r>
          <w:rPr>
            <w:webHidden/>
          </w:rPr>
          <w:fldChar w:fldCharType="separate"/>
        </w:r>
        <w:r>
          <w:rPr>
            <w:webHidden/>
          </w:rPr>
          <w:t>12</w:t>
        </w:r>
        <w:r>
          <w:rPr>
            <w:webHidden/>
          </w:rPr>
          <w:fldChar w:fldCharType="end"/>
        </w:r>
      </w:hyperlink>
    </w:p>
    <w:p w14:paraId="2E8E83F4" w14:textId="77777777" w:rsidR="00454836" w:rsidRDefault="00454836">
      <w:pPr>
        <w:pStyle w:val="TOC3"/>
        <w:rPr>
          <w:rFonts w:asciiTheme="minorHAnsi" w:eastAsiaTheme="minorEastAsia" w:hAnsiTheme="minorHAnsi" w:cstheme="minorBidi"/>
          <w:sz w:val="22"/>
          <w:szCs w:val="22"/>
          <w:lang w:eastAsia="en-AU"/>
        </w:rPr>
      </w:pPr>
      <w:hyperlink w:anchor="_Toc14340830" w:history="1">
        <w:r w:rsidRPr="00E720FE">
          <w:rPr>
            <w:rStyle w:val="Hyperlink"/>
          </w:rPr>
          <w:t>Buffer zones and sensitive areas</w:t>
        </w:r>
        <w:r>
          <w:rPr>
            <w:webHidden/>
          </w:rPr>
          <w:tab/>
        </w:r>
        <w:r>
          <w:rPr>
            <w:webHidden/>
          </w:rPr>
          <w:fldChar w:fldCharType="begin"/>
        </w:r>
        <w:r>
          <w:rPr>
            <w:webHidden/>
          </w:rPr>
          <w:instrText xml:space="preserve"> PAGEREF _Toc14340830 \h </w:instrText>
        </w:r>
        <w:r>
          <w:rPr>
            <w:webHidden/>
          </w:rPr>
        </w:r>
        <w:r>
          <w:rPr>
            <w:webHidden/>
          </w:rPr>
          <w:fldChar w:fldCharType="separate"/>
        </w:r>
        <w:r>
          <w:rPr>
            <w:webHidden/>
          </w:rPr>
          <w:t>13</w:t>
        </w:r>
        <w:r>
          <w:rPr>
            <w:webHidden/>
          </w:rPr>
          <w:fldChar w:fldCharType="end"/>
        </w:r>
      </w:hyperlink>
    </w:p>
    <w:p w14:paraId="2C690022" w14:textId="77777777" w:rsidR="00454836" w:rsidRDefault="00454836">
      <w:pPr>
        <w:pStyle w:val="TOC2"/>
        <w:rPr>
          <w:rFonts w:asciiTheme="minorHAnsi" w:eastAsiaTheme="minorEastAsia" w:hAnsiTheme="minorHAnsi" w:cstheme="minorBidi"/>
          <w:b w:val="0"/>
          <w:color w:val="auto"/>
          <w:sz w:val="22"/>
          <w:szCs w:val="22"/>
          <w:lang w:eastAsia="en-AU"/>
        </w:rPr>
      </w:pPr>
      <w:hyperlink w:anchor="_Toc14340831" w:history="1">
        <w:r w:rsidRPr="00E720FE">
          <w:rPr>
            <w:rStyle w:val="Hyperlink"/>
            <w:rFonts w:ascii="Trebuchet MS" w:hAnsi="Trebuchet MS"/>
          </w:rPr>
          <w:t>2.2</w:t>
        </w:r>
        <w:r>
          <w:rPr>
            <w:rFonts w:asciiTheme="minorHAnsi" w:eastAsiaTheme="minorEastAsia" w:hAnsiTheme="minorHAnsi" w:cstheme="minorBidi"/>
            <w:b w:val="0"/>
            <w:color w:val="auto"/>
            <w:sz w:val="22"/>
            <w:szCs w:val="22"/>
            <w:lang w:eastAsia="en-AU"/>
          </w:rPr>
          <w:tab/>
        </w:r>
        <w:r w:rsidRPr="00E720FE">
          <w:rPr>
            <w:rStyle w:val="Hyperlink"/>
          </w:rPr>
          <w:t>Products and use patterns not requiring a spray drift risk assessment</w:t>
        </w:r>
        <w:r>
          <w:rPr>
            <w:webHidden/>
          </w:rPr>
          <w:tab/>
        </w:r>
        <w:r>
          <w:rPr>
            <w:webHidden/>
          </w:rPr>
          <w:fldChar w:fldCharType="begin"/>
        </w:r>
        <w:r>
          <w:rPr>
            <w:webHidden/>
          </w:rPr>
          <w:instrText xml:space="preserve"> PAGEREF _Toc14340831 \h </w:instrText>
        </w:r>
        <w:r>
          <w:rPr>
            <w:webHidden/>
          </w:rPr>
        </w:r>
        <w:r>
          <w:rPr>
            <w:webHidden/>
          </w:rPr>
          <w:fldChar w:fldCharType="separate"/>
        </w:r>
        <w:r>
          <w:rPr>
            <w:webHidden/>
          </w:rPr>
          <w:t>15</w:t>
        </w:r>
        <w:r>
          <w:rPr>
            <w:webHidden/>
          </w:rPr>
          <w:fldChar w:fldCharType="end"/>
        </w:r>
      </w:hyperlink>
    </w:p>
    <w:p w14:paraId="5336DFAF" w14:textId="77777777" w:rsidR="00454836" w:rsidRDefault="00454836">
      <w:pPr>
        <w:pStyle w:val="TOC1"/>
        <w:rPr>
          <w:rFonts w:asciiTheme="minorHAnsi" w:eastAsiaTheme="minorEastAsia" w:hAnsiTheme="minorHAnsi" w:cstheme="minorBidi"/>
          <w:b w:val="0"/>
          <w:bCs w:val="0"/>
          <w:caps w:val="0"/>
          <w:color w:val="auto"/>
          <w:kern w:val="0"/>
          <w:sz w:val="22"/>
          <w:szCs w:val="22"/>
          <w:lang w:eastAsia="en-AU"/>
        </w:rPr>
      </w:pPr>
      <w:hyperlink w:anchor="_Toc14340832" w:history="1">
        <w:r w:rsidRPr="00E720FE">
          <w:rPr>
            <w:rStyle w:val="Hyperlink"/>
          </w:rPr>
          <w:t>3</w:t>
        </w:r>
        <w:r>
          <w:rPr>
            <w:rFonts w:asciiTheme="minorHAnsi" w:eastAsiaTheme="minorEastAsia" w:hAnsiTheme="minorHAnsi" w:cstheme="minorBidi"/>
            <w:b w:val="0"/>
            <w:bCs w:val="0"/>
            <w:caps w:val="0"/>
            <w:color w:val="auto"/>
            <w:kern w:val="0"/>
            <w:sz w:val="22"/>
            <w:szCs w:val="22"/>
            <w:lang w:eastAsia="en-AU"/>
          </w:rPr>
          <w:tab/>
        </w:r>
        <w:r w:rsidRPr="00E720FE">
          <w:rPr>
            <w:rStyle w:val="Hyperlink"/>
          </w:rPr>
          <w:t>Regulatory acceptable levels</w:t>
        </w:r>
        <w:r>
          <w:rPr>
            <w:webHidden/>
          </w:rPr>
          <w:tab/>
        </w:r>
        <w:r>
          <w:rPr>
            <w:webHidden/>
          </w:rPr>
          <w:fldChar w:fldCharType="begin"/>
        </w:r>
        <w:r>
          <w:rPr>
            <w:webHidden/>
          </w:rPr>
          <w:instrText xml:space="preserve"> PAGEREF _Toc14340832 \h </w:instrText>
        </w:r>
        <w:r>
          <w:rPr>
            <w:webHidden/>
          </w:rPr>
        </w:r>
        <w:r>
          <w:rPr>
            <w:webHidden/>
          </w:rPr>
          <w:fldChar w:fldCharType="separate"/>
        </w:r>
        <w:r>
          <w:rPr>
            <w:webHidden/>
          </w:rPr>
          <w:t>17</w:t>
        </w:r>
        <w:r>
          <w:rPr>
            <w:webHidden/>
          </w:rPr>
          <w:fldChar w:fldCharType="end"/>
        </w:r>
      </w:hyperlink>
    </w:p>
    <w:p w14:paraId="7B30136A" w14:textId="77777777" w:rsidR="00454836" w:rsidRDefault="00454836">
      <w:pPr>
        <w:pStyle w:val="TOC2"/>
        <w:rPr>
          <w:rFonts w:asciiTheme="minorHAnsi" w:eastAsiaTheme="minorEastAsia" w:hAnsiTheme="minorHAnsi" w:cstheme="minorBidi"/>
          <w:b w:val="0"/>
          <w:color w:val="auto"/>
          <w:sz w:val="22"/>
          <w:szCs w:val="22"/>
          <w:lang w:eastAsia="en-AU"/>
        </w:rPr>
      </w:pPr>
      <w:hyperlink w:anchor="_Toc14340833" w:history="1">
        <w:r w:rsidRPr="00E720FE">
          <w:rPr>
            <w:rStyle w:val="Hyperlink"/>
            <w:rFonts w:ascii="Trebuchet MS" w:hAnsi="Trebuchet MS"/>
          </w:rPr>
          <w:t>3.1</w:t>
        </w:r>
        <w:r>
          <w:rPr>
            <w:rFonts w:asciiTheme="minorHAnsi" w:eastAsiaTheme="minorEastAsia" w:hAnsiTheme="minorHAnsi" w:cstheme="minorBidi"/>
            <w:b w:val="0"/>
            <w:color w:val="auto"/>
            <w:sz w:val="22"/>
            <w:szCs w:val="22"/>
            <w:lang w:eastAsia="en-AU"/>
          </w:rPr>
          <w:tab/>
        </w:r>
        <w:r w:rsidRPr="00E720FE">
          <w:rPr>
            <w:rStyle w:val="Hyperlink"/>
          </w:rPr>
          <w:t>Establishment of RALs</w:t>
        </w:r>
        <w:r>
          <w:rPr>
            <w:webHidden/>
          </w:rPr>
          <w:tab/>
        </w:r>
        <w:r>
          <w:rPr>
            <w:webHidden/>
          </w:rPr>
          <w:fldChar w:fldCharType="begin"/>
        </w:r>
        <w:r>
          <w:rPr>
            <w:webHidden/>
          </w:rPr>
          <w:instrText xml:space="preserve"> PAGEREF _Toc14340833 \h </w:instrText>
        </w:r>
        <w:r>
          <w:rPr>
            <w:webHidden/>
          </w:rPr>
        </w:r>
        <w:r>
          <w:rPr>
            <w:webHidden/>
          </w:rPr>
          <w:fldChar w:fldCharType="separate"/>
        </w:r>
        <w:r>
          <w:rPr>
            <w:webHidden/>
          </w:rPr>
          <w:t>17</w:t>
        </w:r>
        <w:r>
          <w:rPr>
            <w:webHidden/>
          </w:rPr>
          <w:fldChar w:fldCharType="end"/>
        </w:r>
      </w:hyperlink>
    </w:p>
    <w:p w14:paraId="7E65B759" w14:textId="77777777" w:rsidR="00454836" w:rsidRDefault="00454836">
      <w:pPr>
        <w:pStyle w:val="TOC3"/>
        <w:rPr>
          <w:rFonts w:asciiTheme="minorHAnsi" w:eastAsiaTheme="minorEastAsia" w:hAnsiTheme="minorHAnsi" w:cstheme="minorBidi"/>
          <w:sz w:val="22"/>
          <w:szCs w:val="22"/>
          <w:lang w:eastAsia="en-AU"/>
        </w:rPr>
      </w:pPr>
      <w:hyperlink w:anchor="_Toc14340834" w:history="1">
        <w:r w:rsidRPr="00E720FE">
          <w:rPr>
            <w:rStyle w:val="Hyperlink"/>
          </w:rPr>
          <w:t>Bystander areas</w:t>
        </w:r>
        <w:r>
          <w:rPr>
            <w:webHidden/>
          </w:rPr>
          <w:tab/>
        </w:r>
        <w:r>
          <w:rPr>
            <w:webHidden/>
          </w:rPr>
          <w:fldChar w:fldCharType="begin"/>
        </w:r>
        <w:r>
          <w:rPr>
            <w:webHidden/>
          </w:rPr>
          <w:instrText xml:space="preserve"> PAGEREF _Toc14340834 \h </w:instrText>
        </w:r>
        <w:r>
          <w:rPr>
            <w:webHidden/>
          </w:rPr>
        </w:r>
        <w:r>
          <w:rPr>
            <w:webHidden/>
          </w:rPr>
          <w:fldChar w:fldCharType="separate"/>
        </w:r>
        <w:r>
          <w:rPr>
            <w:webHidden/>
          </w:rPr>
          <w:t>18</w:t>
        </w:r>
        <w:r>
          <w:rPr>
            <w:webHidden/>
          </w:rPr>
          <w:fldChar w:fldCharType="end"/>
        </w:r>
      </w:hyperlink>
    </w:p>
    <w:p w14:paraId="1F37DCA0" w14:textId="77777777" w:rsidR="00454836" w:rsidRDefault="00454836">
      <w:pPr>
        <w:pStyle w:val="TOC3"/>
        <w:rPr>
          <w:rFonts w:asciiTheme="minorHAnsi" w:eastAsiaTheme="minorEastAsia" w:hAnsiTheme="minorHAnsi" w:cstheme="minorBidi"/>
          <w:sz w:val="22"/>
          <w:szCs w:val="22"/>
          <w:lang w:eastAsia="en-AU"/>
        </w:rPr>
      </w:pPr>
      <w:hyperlink w:anchor="_Toc14340835" w:history="1">
        <w:r w:rsidRPr="00E720FE">
          <w:rPr>
            <w:rStyle w:val="Hyperlink"/>
          </w:rPr>
          <w:t>Natural aquatic areas</w:t>
        </w:r>
        <w:r>
          <w:rPr>
            <w:webHidden/>
          </w:rPr>
          <w:tab/>
        </w:r>
        <w:r>
          <w:rPr>
            <w:webHidden/>
          </w:rPr>
          <w:fldChar w:fldCharType="begin"/>
        </w:r>
        <w:r>
          <w:rPr>
            <w:webHidden/>
          </w:rPr>
          <w:instrText xml:space="preserve"> PAGEREF _Toc14340835 \h </w:instrText>
        </w:r>
        <w:r>
          <w:rPr>
            <w:webHidden/>
          </w:rPr>
        </w:r>
        <w:r>
          <w:rPr>
            <w:webHidden/>
          </w:rPr>
          <w:fldChar w:fldCharType="separate"/>
        </w:r>
        <w:r>
          <w:rPr>
            <w:webHidden/>
          </w:rPr>
          <w:t>22</w:t>
        </w:r>
        <w:r>
          <w:rPr>
            <w:webHidden/>
          </w:rPr>
          <w:fldChar w:fldCharType="end"/>
        </w:r>
      </w:hyperlink>
    </w:p>
    <w:p w14:paraId="3D17B360" w14:textId="77777777" w:rsidR="00454836" w:rsidRDefault="00454836">
      <w:pPr>
        <w:pStyle w:val="TOC3"/>
        <w:rPr>
          <w:rFonts w:asciiTheme="minorHAnsi" w:eastAsiaTheme="minorEastAsia" w:hAnsiTheme="minorHAnsi" w:cstheme="minorBidi"/>
          <w:sz w:val="22"/>
          <w:szCs w:val="22"/>
          <w:lang w:eastAsia="en-AU"/>
        </w:rPr>
      </w:pPr>
      <w:hyperlink w:anchor="_Toc14340836" w:history="1">
        <w:r w:rsidRPr="00E720FE">
          <w:rPr>
            <w:rStyle w:val="Hyperlink"/>
          </w:rPr>
          <w:t>Pollinator areas</w:t>
        </w:r>
        <w:r>
          <w:rPr>
            <w:webHidden/>
          </w:rPr>
          <w:tab/>
        </w:r>
        <w:r>
          <w:rPr>
            <w:webHidden/>
          </w:rPr>
          <w:fldChar w:fldCharType="begin"/>
        </w:r>
        <w:r>
          <w:rPr>
            <w:webHidden/>
          </w:rPr>
          <w:instrText xml:space="preserve"> PAGEREF _Toc14340836 \h </w:instrText>
        </w:r>
        <w:r>
          <w:rPr>
            <w:webHidden/>
          </w:rPr>
        </w:r>
        <w:r>
          <w:rPr>
            <w:webHidden/>
          </w:rPr>
          <w:fldChar w:fldCharType="separate"/>
        </w:r>
        <w:r>
          <w:rPr>
            <w:webHidden/>
          </w:rPr>
          <w:t>22</w:t>
        </w:r>
        <w:r>
          <w:rPr>
            <w:webHidden/>
          </w:rPr>
          <w:fldChar w:fldCharType="end"/>
        </w:r>
      </w:hyperlink>
    </w:p>
    <w:p w14:paraId="51494E21" w14:textId="77777777" w:rsidR="00454836" w:rsidRDefault="00454836">
      <w:pPr>
        <w:pStyle w:val="TOC3"/>
        <w:rPr>
          <w:rFonts w:asciiTheme="minorHAnsi" w:eastAsiaTheme="minorEastAsia" w:hAnsiTheme="minorHAnsi" w:cstheme="minorBidi"/>
          <w:sz w:val="22"/>
          <w:szCs w:val="22"/>
          <w:lang w:eastAsia="en-AU"/>
        </w:rPr>
      </w:pPr>
      <w:hyperlink w:anchor="_Toc14340837" w:history="1">
        <w:r w:rsidRPr="00E720FE">
          <w:rPr>
            <w:rStyle w:val="Hyperlink"/>
          </w:rPr>
          <w:t>Vegetation areas</w:t>
        </w:r>
        <w:r>
          <w:rPr>
            <w:webHidden/>
          </w:rPr>
          <w:tab/>
        </w:r>
        <w:r>
          <w:rPr>
            <w:webHidden/>
          </w:rPr>
          <w:fldChar w:fldCharType="begin"/>
        </w:r>
        <w:r>
          <w:rPr>
            <w:webHidden/>
          </w:rPr>
          <w:instrText xml:space="preserve"> PAGEREF _Toc14340837 \h </w:instrText>
        </w:r>
        <w:r>
          <w:rPr>
            <w:webHidden/>
          </w:rPr>
        </w:r>
        <w:r>
          <w:rPr>
            <w:webHidden/>
          </w:rPr>
          <w:fldChar w:fldCharType="separate"/>
        </w:r>
        <w:r>
          <w:rPr>
            <w:webHidden/>
          </w:rPr>
          <w:t>23</w:t>
        </w:r>
        <w:r>
          <w:rPr>
            <w:webHidden/>
          </w:rPr>
          <w:fldChar w:fldCharType="end"/>
        </w:r>
      </w:hyperlink>
    </w:p>
    <w:p w14:paraId="0447232E" w14:textId="77777777" w:rsidR="00454836" w:rsidRDefault="00454836">
      <w:pPr>
        <w:pStyle w:val="TOC3"/>
        <w:rPr>
          <w:rFonts w:asciiTheme="minorHAnsi" w:eastAsiaTheme="minorEastAsia" w:hAnsiTheme="minorHAnsi" w:cstheme="minorBidi"/>
          <w:sz w:val="22"/>
          <w:szCs w:val="22"/>
          <w:lang w:eastAsia="en-AU"/>
        </w:rPr>
      </w:pPr>
      <w:hyperlink w:anchor="_Toc14340838" w:history="1">
        <w:r w:rsidRPr="00E720FE">
          <w:rPr>
            <w:rStyle w:val="Hyperlink"/>
          </w:rPr>
          <w:t>Determination of livestock area RAL</w:t>
        </w:r>
        <w:r>
          <w:rPr>
            <w:webHidden/>
          </w:rPr>
          <w:tab/>
        </w:r>
        <w:r>
          <w:rPr>
            <w:webHidden/>
          </w:rPr>
          <w:fldChar w:fldCharType="begin"/>
        </w:r>
        <w:r>
          <w:rPr>
            <w:webHidden/>
          </w:rPr>
          <w:instrText xml:space="preserve"> PAGEREF _Toc14340838 \h </w:instrText>
        </w:r>
        <w:r>
          <w:rPr>
            <w:webHidden/>
          </w:rPr>
        </w:r>
        <w:r>
          <w:rPr>
            <w:webHidden/>
          </w:rPr>
          <w:fldChar w:fldCharType="separate"/>
        </w:r>
        <w:r>
          <w:rPr>
            <w:webHidden/>
          </w:rPr>
          <w:t>24</w:t>
        </w:r>
        <w:r>
          <w:rPr>
            <w:webHidden/>
          </w:rPr>
          <w:fldChar w:fldCharType="end"/>
        </w:r>
      </w:hyperlink>
    </w:p>
    <w:p w14:paraId="381D515C" w14:textId="77777777" w:rsidR="00454836" w:rsidRDefault="00454836">
      <w:pPr>
        <w:pStyle w:val="TOC2"/>
        <w:rPr>
          <w:rFonts w:asciiTheme="minorHAnsi" w:eastAsiaTheme="minorEastAsia" w:hAnsiTheme="minorHAnsi" w:cstheme="minorBidi"/>
          <w:b w:val="0"/>
          <w:color w:val="auto"/>
          <w:sz w:val="22"/>
          <w:szCs w:val="22"/>
          <w:lang w:eastAsia="en-AU"/>
        </w:rPr>
      </w:pPr>
      <w:hyperlink w:anchor="_Toc14340839" w:history="1">
        <w:r w:rsidRPr="00E720FE">
          <w:rPr>
            <w:rStyle w:val="Hyperlink"/>
            <w:rFonts w:ascii="Trebuchet MS" w:hAnsi="Trebuchet MS"/>
          </w:rPr>
          <w:t>3.2</w:t>
        </w:r>
        <w:r>
          <w:rPr>
            <w:rFonts w:asciiTheme="minorHAnsi" w:eastAsiaTheme="minorEastAsia" w:hAnsiTheme="minorHAnsi" w:cstheme="minorBidi"/>
            <w:b w:val="0"/>
            <w:color w:val="auto"/>
            <w:sz w:val="22"/>
            <w:szCs w:val="22"/>
            <w:lang w:eastAsia="en-AU"/>
          </w:rPr>
          <w:tab/>
        </w:r>
        <w:r w:rsidRPr="00E720FE">
          <w:rPr>
            <w:rStyle w:val="Hyperlink"/>
          </w:rPr>
          <w:t>Expression of RALs as fraction of applied rate</w:t>
        </w:r>
        <w:r>
          <w:rPr>
            <w:webHidden/>
          </w:rPr>
          <w:tab/>
        </w:r>
        <w:r>
          <w:rPr>
            <w:webHidden/>
          </w:rPr>
          <w:fldChar w:fldCharType="begin"/>
        </w:r>
        <w:r>
          <w:rPr>
            <w:webHidden/>
          </w:rPr>
          <w:instrText xml:space="preserve"> PAGEREF _Toc14340839 \h </w:instrText>
        </w:r>
        <w:r>
          <w:rPr>
            <w:webHidden/>
          </w:rPr>
        </w:r>
        <w:r>
          <w:rPr>
            <w:webHidden/>
          </w:rPr>
          <w:fldChar w:fldCharType="separate"/>
        </w:r>
        <w:r>
          <w:rPr>
            <w:webHidden/>
          </w:rPr>
          <w:t>24</w:t>
        </w:r>
        <w:r>
          <w:rPr>
            <w:webHidden/>
          </w:rPr>
          <w:fldChar w:fldCharType="end"/>
        </w:r>
      </w:hyperlink>
    </w:p>
    <w:p w14:paraId="57C7125C" w14:textId="77777777" w:rsidR="00454836" w:rsidRDefault="00454836">
      <w:pPr>
        <w:pStyle w:val="TOC2"/>
        <w:rPr>
          <w:rFonts w:asciiTheme="minorHAnsi" w:eastAsiaTheme="minorEastAsia" w:hAnsiTheme="minorHAnsi" w:cstheme="minorBidi"/>
          <w:b w:val="0"/>
          <w:color w:val="auto"/>
          <w:sz w:val="22"/>
          <w:szCs w:val="22"/>
          <w:lang w:eastAsia="en-AU"/>
        </w:rPr>
      </w:pPr>
      <w:hyperlink w:anchor="_Toc14340840" w:history="1">
        <w:r w:rsidRPr="00E720FE">
          <w:rPr>
            <w:rStyle w:val="Hyperlink"/>
            <w:rFonts w:ascii="Trebuchet MS" w:hAnsi="Trebuchet MS"/>
          </w:rPr>
          <w:t>3.3</w:t>
        </w:r>
        <w:r>
          <w:rPr>
            <w:rFonts w:asciiTheme="minorHAnsi" w:eastAsiaTheme="minorEastAsia" w:hAnsiTheme="minorHAnsi" w:cstheme="minorBidi"/>
            <w:b w:val="0"/>
            <w:color w:val="auto"/>
            <w:sz w:val="22"/>
            <w:szCs w:val="22"/>
            <w:lang w:eastAsia="en-AU"/>
          </w:rPr>
          <w:tab/>
        </w:r>
        <w:r w:rsidRPr="00E720FE">
          <w:rPr>
            <w:rStyle w:val="Hyperlink"/>
          </w:rPr>
          <w:t>RALs for combination products and mandatory tank-mixes</w:t>
        </w:r>
        <w:r>
          <w:rPr>
            <w:webHidden/>
          </w:rPr>
          <w:tab/>
        </w:r>
        <w:r>
          <w:rPr>
            <w:webHidden/>
          </w:rPr>
          <w:fldChar w:fldCharType="begin"/>
        </w:r>
        <w:r>
          <w:rPr>
            <w:webHidden/>
          </w:rPr>
          <w:instrText xml:space="preserve"> PAGEREF _Toc14340840 \h </w:instrText>
        </w:r>
        <w:r>
          <w:rPr>
            <w:webHidden/>
          </w:rPr>
        </w:r>
        <w:r>
          <w:rPr>
            <w:webHidden/>
          </w:rPr>
          <w:fldChar w:fldCharType="separate"/>
        </w:r>
        <w:r>
          <w:rPr>
            <w:webHidden/>
          </w:rPr>
          <w:t>25</w:t>
        </w:r>
        <w:r>
          <w:rPr>
            <w:webHidden/>
          </w:rPr>
          <w:fldChar w:fldCharType="end"/>
        </w:r>
      </w:hyperlink>
    </w:p>
    <w:p w14:paraId="0B182865" w14:textId="77777777" w:rsidR="00454836" w:rsidRDefault="00454836">
      <w:pPr>
        <w:pStyle w:val="TOC1"/>
        <w:rPr>
          <w:rFonts w:asciiTheme="minorHAnsi" w:eastAsiaTheme="minorEastAsia" w:hAnsiTheme="minorHAnsi" w:cstheme="minorBidi"/>
          <w:b w:val="0"/>
          <w:bCs w:val="0"/>
          <w:caps w:val="0"/>
          <w:color w:val="auto"/>
          <w:kern w:val="0"/>
          <w:sz w:val="22"/>
          <w:szCs w:val="22"/>
          <w:lang w:eastAsia="en-AU"/>
        </w:rPr>
      </w:pPr>
      <w:hyperlink w:anchor="_Toc14340841" w:history="1">
        <w:r w:rsidRPr="00E720FE">
          <w:rPr>
            <w:rStyle w:val="Hyperlink"/>
          </w:rPr>
          <w:t>4</w:t>
        </w:r>
        <w:r>
          <w:rPr>
            <w:rFonts w:asciiTheme="minorHAnsi" w:eastAsiaTheme="minorEastAsia" w:hAnsiTheme="minorHAnsi" w:cstheme="minorBidi"/>
            <w:b w:val="0"/>
            <w:bCs w:val="0"/>
            <w:caps w:val="0"/>
            <w:color w:val="auto"/>
            <w:kern w:val="0"/>
            <w:sz w:val="22"/>
            <w:szCs w:val="22"/>
            <w:lang w:eastAsia="en-AU"/>
          </w:rPr>
          <w:tab/>
        </w:r>
        <w:r w:rsidRPr="00E720FE">
          <w:rPr>
            <w:rStyle w:val="Hyperlink"/>
          </w:rPr>
          <w:t>Deposition curves</w:t>
        </w:r>
        <w:r>
          <w:rPr>
            <w:webHidden/>
          </w:rPr>
          <w:tab/>
        </w:r>
        <w:r>
          <w:rPr>
            <w:webHidden/>
          </w:rPr>
          <w:fldChar w:fldCharType="begin"/>
        </w:r>
        <w:r>
          <w:rPr>
            <w:webHidden/>
          </w:rPr>
          <w:instrText xml:space="preserve"> PAGEREF _Toc14340841 \h </w:instrText>
        </w:r>
        <w:r>
          <w:rPr>
            <w:webHidden/>
          </w:rPr>
        </w:r>
        <w:r>
          <w:rPr>
            <w:webHidden/>
          </w:rPr>
          <w:fldChar w:fldCharType="separate"/>
        </w:r>
        <w:r>
          <w:rPr>
            <w:webHidden/>
          </w:rPr>
          <w:t>28</w:t>
        </w:r>
        <w:r>
          <w:rPr>
            <w:webHidden/>
          </w:rPr>
          <w:fldChar w:fldCharType="end"/>
        </w:r>
      </w:hyperlink>
    </w:p>
    <w:p w14:paraId="38D25D6B" w14:textId="77777777" w:rsidR="00454836" w:rsidRDefault="00454836">
      <w:pPr>
        <w:pStyle w:val="TOC2"/>
        <w:rPr>
          <w:rFonts w:asciiTheme="minorHAnsi" w:eastAsiaTheme="minorEastAsia" w:hAnsiTheme="minorHAnsi" w:cstheme="minorBidi"/>
          <w:b w:val="0"/>
          <w:color w:val="auto"/>
          <w:sz w:val="22"/>
          <w:szCs w:val="22"/>
          <w:lang w:eastAsia="en-AU"/>
        </w:rPr>
      </w:pPr>
      <w:hyperlink w:anchor="_Toc14340842" w:history="1">
        <w:r w:rsidRPr="00E720FE">
          <w:rPr>
            <w:rStyle w:val="Hyperlink"/>
            <w:rFonts w:ascii="Trebuchet MS" w:hAnsi="Trebuchet MS"/>
          </w:rPr>
          <w:t>4.1</w:t>
        </w:r>
        <w:r>
          <w:rPr>
            <w:rFonts w:asciiTheme="minorHAnsi" w:eastAsiaTheme="minorEastAsia" w:hAnsiTheme="minorHAnsi" w:cstheme="minorBidi"/>
            <w:b w:val="0"/>
            <w:color w:val="auto"/>
            <w:sz w:val="22"/>
            <w:szCs w:val="22"/>
            <w:lang w:eastAsia="en-AU"/>
          </w:rPr>
          <w:tab/>
        </w:r>
        <w:r w:rsidRPr="00E720FE">
          <w:rPr>
            <w:rStyle w:val="Hyperlink"/>
          </w:rPr>
          <w:t>Standard deposition curves</w:t>
        </w:r>
        <w:r>
          <w:rPr>
            <w:webHidden/>
          </w:rPr>
          <w:tab/>
        </w:r>
        <w:r>
          <w:rPr>
            <w:webHidden/>
          </w:rPr>
          <w:fldChar w:fldCharType="begin"/>
        </w:r>
        <w:r>
          <w:rPr>
            <w:webHidden/>
          </w:rPr>
          <w:instrText xml:space="preserve"> PAGEREF _Toc14340842 \h </w:instrText>
        </w:r>
        <w:r>
          <w:rPr>
            <w:webHidden/>
          </w:rPr>
        </w:r>
        <w:r>
          <w:rPr>
            <w:webHidden/>
          </w:rPr>
          <w:fldChar w:fldCharType="separate"/>
        </w:r>
        <w:r>
          <w:rPr>
            <w:webHidden/>
          </w:rPr>
          <w:t>28</w:t>
        </w:r>
        <w:r>
          <w:rPr>
            <w:webHidden/>
          </w:rPr>
          <w:fldChar w:fldCharType="end"/>
        </w:r>
      </w:hyperlink>
    </w:p>
    <w:p w14:paraId="7956AA95" w14:textId="77777777" w:rsidR="00454836" w:rsidRDefault="00454836">
      <w:pPr>
        <w:pStyle w:val="TOC3"/>
        <w:rPr>
          <w:rFonts w:asciiTheme="minorHAnsi" w:eastAsiaTheme="minorEastAsia" w:hAnsiTheme="minorHAnsi" w:cstheme="minorBidi"/>
          <w:sz w:val="22"/>
          <w:szCs w:val="22"/>
          <w:lang w:eastAsia="en-AU"/>
        </w:rPr>
      </w:pPr>
      <w:hyperlink w:anchor="_Toc14340843" w:history="1">
        <w:r w:rsidRPr="00E720FE">
          <w:rPr>
            <w:rStyle w:val="Hyperlink"/>
          </w:rPr>
          <w:t>Boom sprayers</w:t>
        </w:r>
        <w:r>
          <w:rPr>
            <w:webHidden/>
          </w:rPr>
          <w:tab/>
        </w:r>
        <w:r>
          <w:rPr>
            <w:webHidden/>
          </w:rPr>
          <w:fldChar w:fldCharType="begin"/>
        </w:r>
        <w:r>
          <w:rPr>
            <w:webHidden/>
          </w:rPr>
          <w:instrText xml:space="preserve"> PAGEREF _Toc14340843 \h </w:instrText>
        </w:r>
        <w:r>
          <w:rPr>
            <w:webHidden/>
          </w:rPr>
        </w:r>
        <w:r>
          <w:rPr>
            <w:webHidden/>
          </w:rPr>
          <w:fldChar w:fldCharType="separate"/>
        </w:r>
        <w:r>
          <w:rPr>
            <w:webHidden/>
          </w:rPr>
          <w:t>28</w:t>
        </w:r>
        <w:r>
          <w:rPr>
            <w:webHidden/>
          </w:rPr>
          <w:fldChar w:fldCharType="end"/>
        </w:r>
      </w:hyperlink>
    </w:p>
    <w:p w14:paraId="0CDB18BB" w14:textId="77777777" w:rsidR="00454836" w:rsidRDefault="00454836">
      <w:pPr>
        <w:pStyle w:val="TOC3"/>
        <w:rPr>
          <w:rFonts w:asciiTheme="minorHAnsi" w:eastAsiaTheme="minorEastAsia" w:hAnsiTheme="minorHAnsi" w:cstheme="minorBidi"/>
          <w:sz w:val="22"/>
          <w:szCs w:val="22"/>
          <w:lang w:eastAsia="en-AU"/>
        </w:rPr>
      </w:pPr>
      <w:hyperlink w:anchor="_Toc14340844" w:history="1">
        <w:r w:rsidRPr="00E720FE">
          <w:rPr>
            <w:rStyle w:val="Hyperlink"/>
          </w:rPr>
          <w:t>Vertical sprayers</w:t>
        </w:r>
        <w:r>
          <w:rPr>
            <w:webHidden/>
          </w:rPr>
          <w:tab/>
        </w:r>
        <w:r>
          <w:rPr>
            <w:webHidden/>
          </w:rPr>
          <w:fldChar w:fldCharType="begin"/>
        </w:r>
        <w:r>
          <w:rPr>
            <w:webHidden/>
          </w:rPr>
          <w:instrText xml:space="preserve"> PAGEREF _Toc14340844 \h </w:instrText>
        </w:r>
        <w:r>
          <w:rPr>
            <w:webHidden/>
          </w:rPr>
        </w:r>
        <w:r>
          <w:rPr>
            <w:webHidden/>
          </w:rPr>
          <w:fldChar w:fldCharType="separate"/>
        </w:r>
        <w:r>
          <w:rPr>
            <w:webHidden/>
          </w:rPr>
          <w:t>30</w:t>
        </w:r>
        <w:r>
          <w:rPr>
            <w:webHidden/>
          </w:rPr>
          <w:fldChar w:fldCharType="end"/>
        </w:r>
      </w:hyperlink>
    </w:p>
    <w:p w14:paraId="4C50887D" w14:textId="77777777" w:rsidR="00454836" w:rsidRDefault="00454836">
      <w:pPr>
        <w:pStyle w:val="TOC3"/>
        <w:rPr>
          <w:rFonts w:asciiTheme="minorHAnsi" w:eastAsiaTheme="minorEastAsia" w:hAnsiTheme="minorHAnsi" w:cstheme="minorBidi"/>
          <w:sz w:val="22"/>
          <w:szCs w:val="22"/>
          <w:lang w:eastAsia="en-AU"/>
        </w:rPr>
      </w:pPr>
      <w:hyperlink w:anchor="_Toc14340845" w:history="1">
        <w:r w:rsidRPr="00E720FE">
          <w:rPr>
            <w:rStyle w:val="Hyperlink"/>
          </w:rPr>
          <w:t>Aircraft</w:t>
        </w:r>
        <w:r>
          <w:rPr>
            <w:webHidden/>
          </w:rPr>
          <w:tab/>
        </w:r>
        <w:r>
          <w:rPr>
            <w:webHidden/>
          </w:rPr>
          <w:fldChar w:fldCharType="begin"/>
        </w:r>
        <w:r>
          <w:rPr>
            <w:webHidden/>
          </w:rPr>
          <w:instrText xml:space="preserve"> PAGEREF _Toc14340845 \h </w:instrText>
        </w:r>
        <w:r>
          <w:rPr>
            <w:webHidden/>
          </w:rPr>
        </w:r>
        <w:r>
          <w:rPr>
            <w:webHidden/>
          </w:rPr>
          <w:fldChar w:fldCharType="separate"/>
        </w:r>
        <w:r>
          <w:rPr>
            <w:webHidden/>
          </w:rPr>
          <w:t>31</w:t>
        </w:r>
        <w:r>
          <w:rPr>
            <w:webHidden/>
          </w:rPr>
          <w:fldChar w:fldCharType="end"/>
        </w:r>
      </w:hyperlink>
    </w:p>
    <w:p w14:paraId="4890F2FC" w14:textId="77777777" w:rsidR="00454836" w:rsidRDefault="00454836">
      <w:pPr>
        <w:pStyle w:val="TOC2"/>
        <w:rPr>
          <w:rFonts w:asciiTheme="minorHAnsi" w:eastAsiaTheme="minorEastAsia" w:hAnsiTheme="minorHAnsi" w:cstheme="minorBidi"/>
          <w:b w:val="0"/>
          <w:color w:val="auto"/>
          <w:sz w:val="22"/>
          <w:szCs w:val="22"/>
          <w:lang w:eastAsia="en-AU"/>
        </w:rPr>
      </w:pPr>
      <w:hyperlink w:anchor="_Toc14340846" w:history="1">
        <w:r w:rsidRPr="00E720FE">
          <w:rPr>
            <w:rStyle w:val="Hyperlink"/>
            <w:rFonts w:ascii="Trebuchet MS" w:hAnsi="Trebuchet MS"/>
          </w:rPr>
          <w:t>4.2</w:t>
        </w:r>
        <w:r>
          <w:rPr>
            <w:rFonts w:asciiTheme="minorHAnsi" w:eastAsiaTheme="minorEastAsia" w:hAnsiTheme="minorHAnsi" w:cstheme="minorBidi"/>
            <w:b w:val="0"/>
            <w:color w:val="auto"/>
            <w:sz w:val="22"/>
            <w:szCs w:val="22"/>
            <w:lang w:eastAsia="en-AU"/>
          </w:rPr>
          <w:tab/>
        </w:r>
        <w:r w:rsidRPr="00E720FE">
          <w:rPr>
            <w:rStyle w:val="Hyperlink"/>
          </w:rPr>
          <w:t>Custom deposition curves</w:t>
        </w:r>
        <w:r>
          <w:rPr>
            <w:webHidden/>
          </w:rPr>
          <w:tab/>
        </w:r>
        <w:r>
          <w:rPr>
            <w:webHidden/>
          </w:rPr>
          <w:fldChar w:fldCharType="begin"/>
        </w:r>
        <w:r>
          <w:rPr>
            <w:webHidden/>
          </w:rPr>
          <w:instrText xml:space="preserve"> PAGEREF _Toc14340846 \h </w:instrText>
        </w:r>
        <w:r>
          <w:rPr>
            <w:webHidden/>
          </w:rPr>
        </w:r>
        <w:r>
          <w:rPr>
            <w:webHidden/>
          </w:rPr>
          <w:fldChar w:fldCharType="separate"/>
        </w:r>
        <w:r>
          <w:rPr>
            <w:webHidden/>
          </w:rPr>
          <w:t>33</w:t>
        </w:r>
        <w:r>
          <w:rPr>
            <w:webHidden/>
          </w:rPr>
          <w:fldChar w:fldCharType="end"/>
        </w:r>
      </w:hyperlink>
    </w:p>
    <w:p w14:paraId="7BC683A3" w14:textId="77777777" w:rsidR="00454836" w:rsidRDefault="00454836">
      <w:pPr>
        <w:pStyle w:val="TOC3"/>
        <w:rPr>
          <w:rFonts w:asciiTheme="minorHAnsi" w:eastAsiaTheme="minorEastAsia" w:hAnsiTheme="minorHAnsi" w:cstheme="minorBidi"/>
          <w:sz w:val="22"/>
          <w:szCs w:val="22"/>
          <w:lang w:eastAsia="en-AU"/>
        </w:rPr>
      </w:pPr>
      <w:hyperlink w:anchor="_Toc14340847" w:history="1">
        <w:r w:rsidRPr="00E720FE">
          <w:rPr>
            <w:rStyle w:val="Hyperlink"/>
          </w:rPr>
          <w:t>Field trials</w:t>
        </w:r>
        <w:r>
          <w:rPr>
            <w:webHidden/>
          </w:rPr>
          <w:tab/>
        </w:r>
        <w:r>
          <w:rPr>
            <w:webHidden/>
          </w:rPr>
          <w:fldChar w:fldCharType="begin"/>
        </w:r>
        <w:r>
          <w:rPr>
            <w:webHidden/>
          </w:rPr>
          <w:instrText xml:space="preserve"> PAGEREF _Toc14340847 \h </w:instrText>
        </w:r>
        <w:r>
          <w:rPr>
            <w:webHidden/>
          </w:rPr>
        </w:r>
        <w:r>
          <w:rPr>
            <w:webHidden/>
          </w:rPr>
          <w:fldChar w:fldCharType="separate"/>
        </w:r>
        <w:r>
          <w:rPr>
            <w:webHidden/>
          </w:rPr>
          <w:t>33</w:t>
        </w:r>
        <w:r>
          <w:rPr>
            <w:webHidden/>
          </w:rPr>
          <w:fldChar w:fldCharType="end"/>
        </w:r>
      </w:hyperlink>
    </w:p>
    <w:p w14:paraId="09B4F91B" w14:textId="77777777" w:rsidR="00454836" w:rsidRDefault="00454836">
      <w:pPr>
        <w:pStyle w:val="TOC3"/>
        <w:rPr>
          <w:rFonts w:asciiTheme="minorHAnsi" w:eastAsiaTheme="minorEastAsia" w:hAnsiTheme="minorHAnsi" w:cstheme="minorBidi"/>
          <w:sz w:val="22"/>
          <w:szCs w:val="22"/>
          <w:lang w:eastAsia="en-AU"/>
        </w:rPr>
      </w:pPr>
      <w:hyperlink w:anchor="_Toc14340848" w:history="1">
        <w:r w:rsidRPr="00E720FE">
          <w:rPr>
            <w:rStyle w:val="Hyperlink"/>
          </w:rPr>
          <w:t>Modelling</w:t>
        </w:r>
        <w:r>
          <w:rPr>
            <w:webHidden/>
          </w:rPr>
          <w:tab/>
        </w:r>
        <w:r>
          <w:rPr>
            <w:webHidden/>
          </w:rPr>
          <w:fldChar w:fldCharType="begin"/>
        </w:r>
        <w:r>
          <w:rPr>
            <w:webHidden/>
          </w:rPr>
          <w:instrText xml:space="preserve"> PAGEREF _Toc14340848 \h </w:instrText>
        </w:r>
        <w:r>
          <w:rPr>
            <w:webHidden/>
          </w:rPr>
        </w:r>
        <w:r>
          <w:rPr>
            <w:webHidden/>
          </w:rPr>
          <w:fldChar w:fldCharType="separate"/>
        </w:r>
        <w:r>
          <w:rPr>
            <w:webHidden/>
          </w:rPr>
          <w:t>34</w:t>
        </w:r>
        <w:r>
          <w:rPr>
            <w:webHidden/>
          </w:rPr>
          <w:fldChar w:fldCharType="end"/>
        </w:r>
      </w:hyperlink>
    </w:p>
    <w:p w14:paraId="7EC54211" w14:textId="77777777" w:rsidR="00454836" w:rsidRDefault="00454836">
      <w:pPr>
        <w:pStyle w:val="TOC2"/>
        <w:rPr>
          <w:rFonts w:asciiTheme="minorHAnsi" w:eastAsiaTheme="minorEastAsia" w:hAnsiTheme="minorHAnsi" w:cstheme="minorBidi"/>
          <w:b w:val="0"/>
          <w:color w:val="auto"/>
          <w:sz w:val="22"/>
          <w:szCs w:val="22"/>
          <w:lang w:eastAsia="en-AU"/>
        </w:rPr>
      </w:pPr>
      <w:hyperlink w:anchor="_Toc14340849" w:history="1">
        <w:r w:rsidRPr="00E720FE">
          <w:rPr>
            <w:rStyle w:val="Hyperlink"/>
            <w:rFonts w:ascii="Trebuchet MS" w:hAnsi="Trebuchet MS"/>
          </w:rPr>
          <w:t>4.3</w:t>
        </w:r>
        <w:r>
          <w:rPr>
            <w:rFonts w:asciiTheme="minorHAnsi" w:eastAsiaTheme="minorEastAsia" w:hAnsiTheme="minorHAnsi" w:cstheme="minorBidi"/>
            <w:b w:val="0"/>
            <w:color w:val="auto"/>
            <w:sz w:val="22"/>
            <w:szCs w:val="22"/>
            <w:lang w:eastAsia="en-AU"/>
          </w:rPr>
          <w:tab/>
        </w:r>
        <w:r w:rsidRPr="00E720FE">
          <w:rPr>
            <w:rStyle w:val="Hyperlink"/>
          </w:rPr>
          <w:t>Averaged deposition curves</w:t>
        </w:r>
        <w:r>
          <w:rPr>
            <w:webHidden/>
          </w:rPr>
          <w:tab/>
        </w:r>
        <w:r>
          <w:rPr>
            <w:webHidden/>
          </w:rPr>
          <w:fldChar w:fldCharType="begin"/>
        </w:r>
        <w:r>
          <w:rPr>
            <w:webHidden/>
          </w:rPr>
          <w:instrText xml:space="preserve"> PAGEREF _Toc14340849 \h </w:instrText>
        </w:r>
        <w:r>
          <w:rPr>
            <w:webHidden/>
          </w:rPr>
        </w:r>
        <w:r>
          <w:rPr>
            <w:webHidden/>
          </w:rPr>
          <w:fldChar w:fldCharType="separate"/>
        </w:r>
        <w:r>
          <w:rPr>
            <w:webHidden/>
          </w:rPr>
          <w:t>35</w:t>
        </w:r>
        <w:r>
          <w:rPr>
            <w:webHidden/>
          </w:rPr>
          <w:fldChar w:fldCharType="end"/>
        </w:r>
      </w:hyperlink>
    </w:p>
    <w:p w14:paraId="70848E65" w14:textId="77777777" w:rsidR="00454836" w:rsidRDefault="00454836">
      <w:pPr>
        <w:pStyle w:val="TOC1"/>
        <w:rPr>
          <w:rFonts w:asciiTheme="minorHAnsi" w:eastAsiaTheme="minorEastAsia" w:hAnsiTheme="minorHAnsi" w:cstheme="minorBidi"/>
          <w:b w:val="0"/>
          <w:bCs w:val="0"/>
          <w:caps w:val="0"/>
          <w:color w:val="auto"/>
          <w:kern w:val="0"/>
          <w:sz w:val="22"/>
          <w:szCs w:val="22"/>
          <w:lang w:eastAsia="en-AU"/>
        </w:rPr>
      </w:pPr>
      <w:hyperlink w:anchor="_Toc14340850" w:history="1">
        <w:r w:rsidRPr="00E720FE">
          <w:rPr>
            <w:rStyle w:val="Hyperlink"/>
          </w:rPr>
          <w:t>5</w:t>
        </w:r>
        <w:r>
          <w:rPr>
            <w:rFonts w:asciiTheme="minorHAnsi" w:eastAsiaTheme="minorEastAsia" w:hAnsiTheme="minorHAnsi" w:cstheme="minorBidi"/>
            <w:b w:val="0"/>
            <w:bCs w:val="0"/>
            <w:caps w:val="0"/>
            <w:color w:val="auto"/>
            <w:kern w:val="0"/>
            <w:sz w:val="22"/>
            <w:szCs w:val="22"/>
            <w:lang w:eastAsia="en-AU"/>
          </w:rPr>
          <w:tab/>
        </w:r>
        <w:r w:rsidRPr="00E720FE">
          <w:rPr>
            <w:rStyle w:val="Hyperlink"/>
          </w:rPr>
          <w:t>Use instructions</w:t>
        </w:r>
        <w:r>
          <w:rPr>
            <w:webHidden/>
          </w:rPr>
          <w:tab/>
        </w:r>
        <w:r>
          <w:rPr>
            <w:webHidden/>
          </w:rPr>
          <w:fldChar w:fldCharType="begin"/>
        </w:r>
        <w:r>
          <w:rPr>
            <w:webHidden/>
          </w:rPr>
          <w:instrText xml:space="preserve"> PAGEREF _Toc14340850 \h </w:instrText>
        </w:r>
        <w:r>
          <w:rPr>
            <w:webHidden/>
          </w:rPr>
        </w:r>
        <w:r>
          <w:rPr>
            <w:webHidden/>
          </w:rPr>
          <w:fldChar w:fldCharType="separate"/>
        </w:r>
        <w:r>
          <w:rPr>
            <w:webHidden/>
          </w:rPr>
          <w:t>36</w:t>
        </w:r>
        <w:r>
          <w:rPr>
            <w:webHidden/>
          </w:rPr>
          <w:fldChar w:fldCharType="end"/>
        </w:r>
      </w:hyperlink>
    </w:p>
    <w:p w14:paraId="28579B39" w14:textId="77777777" w:rsidR="00454836" w:rsidRDefault="00454836">
      <w:pPr>
        <w:pStyle w:val="TOC2"/>
        <w:rPr>
          <w:rFonts w:asciiTheme="minorHAnsi" w:eastAsiaTheme="minorEastAsia" w:hAnsiTheme="minorHAnsi" w:cstheme="minorBidi"/>
          <w:b w:val="0"/>
          <w:color w:val="auto"/>
          <w:sz w:val="22"/>
          <w:szCs w:val="22"/>
          <w:lang w:eastAsia="en-AU"/>
        </w:rPr>
      </w:pPr>
      <w:hyperlink w:anchor="_Toc14340851" w:history="1">
        <w:r w:rsidRPr="00E720FE">
          <w:rPr>
            <w:rStyle w:val="Hyperlink"/>
            <w:rFonts w:ascii="Trebuchet MS" w:hAnsi="Trebuchet MS"/>
          </w:rPr>
          <w:t>5.1</w:t>
        </w:r>
        <w:r>
          <w:rPr>
            <w:rFonts w:asciiTheme="minorHAnsi" w:eastAsiaTheme="minorEastAsia" w:hAnsiTheme="minorHAnsi" w:cstheme="minorBidi"/>
            <w:b w:val="0"/>
            <w:color w:val="auto"/>
            <w:sz w:val="22"/>
            <w:szCs w:val="22"/>
            <w:lang w:eastAsia="en-AU"/>
          </w:rPr>
          <w:tab/>
        </w:r>
        <w:r w:rsidRPr="00E720FE">
          <w:rPr>
            <w:rStyle w:val="Hyperlink"/>
          </w:rPr>
          <w:t>Standard instructions</w:t>
        </w:r>
        <w:r>
          <w:rPr>
            <w:webHidden/>
          </w:rPr>
          <w:tab/>
        </w:r>
        <w:r>
          <w:rPr>
            <w:webHidden/>
          </w:rPr>
          <w:fldChar w:fldCharType="begin"/>
        </w:r>
        <w:r>
          <w:rPr>
            <w:webHidden/>
          </w:rPr>
          <w:instrText xml:space="preserve"> PAGEREF _Toc14340851 \h </w:instrText>
        </w:r>
        <w:r>
          <w:rPr>
            <w:webHidden/>
          </w:rPr>
        </w:r>
        <w:r>
          <w:rPr>
            <w:webHidden/>
          </w:rPr>
          <w:fldChar w:fldCharType="separate"/>
        </w:r>
        <w:r>
          <w:rPr>
            <w:webHidden/>
          </w:rPr>
          <w:t>36</w:t>
        </w:r>
        <w:r>
          <w:rPr>
            <w:webHidden/>
          </w:rPr>
          <w:fldChar w:fldCharType="end"/>
        </w:r>
      </w:hyperlink>
    </w:p>
    <w:p w14:paraId="43EAAE27" w14:textId="77777777" w:rsidR="00454836" w:rsidRDefault="00454836">
      <w:pPr>
        <w:pStyle w:val="TOC3"/>
        <w:rPr>
          <w:rFonts w:asciiTheme="minorHAnsi" w:eastAsiaTheme="minorEastAsia" w:hAnsiTheme="minorHAnsi" w:cstheme="minorBidi"/>
          <w:sz w:val="22"/>
          <w:szCs w:val="22"/>
          <w:lang w:eastAsia="en-AU"/>
        </w:rPr>
      </w:pPr>
      <w:hyperlink w:anchor="_Toc14340852" w:history="1">
        <w:r w:rsidRPr="00E720FE">
          <w:rPr>
            <w:rStyle w:val="Hyperlink"/>
          </w:rPr>
          <w:t>General instructions</w:t>
        </w:r>
        <w:r>
          <w:rPr>
            <w:webHidden/>
          </w:rPr>
          <w:tab/>
        </w:r>
        <w:r>
          <w:rPr>
            <w:webHidden/>
          </w:rPr>
          <w:fldChar w:fldCharType="begin"/>
        </w:r>
        <w:r>
          <w:rPr>
            <w:webHidden/>
          </w:rPr>
          <w:instrText xml:space="preserve"> PAGEREF _Toc14340852 \h </w:instrText>
        </w:r>
        <w:r>
          <w:rPr>
            <w:webHidden/>
          </w:rPr>
        </w:r>
        <w:r>
          <w:rPr>
            <w:webHidden/>
          </w:rPr>
          <w:fldChar w:fldCharType="separate"/>
        </w:r>
        <w:r>
          <w:rPr>
            <w:webHidden/>
          </w:rPr>
          <w:t>37</w:t>
        </w:r>
        <w:r>
          <w:rPr>
            <w:webHidden/>
          </w:rPr>
          <w:fldChar w:fldCharType="end"/>
        </w:r>
      </w:hyperlink>
    </w:p>
    <w:p w14:paraId="1D27DCD8" w14:textId="77777777" w:rsidR="00454836" w:rsidRDefault="00454836">
      <w:pPr>
        <w:pStyle w:val="TOC3"/>
        <w:rPr>
          <w:rFonts w:asciiTheme="minorHAnsi" w:eastAsiaTheme="minorEastAsia" w:hAnsiTheme="minorHAnsi" w:cstheme="minorBidi"/>
          <w:sz w:val="22"/>
          <w:szCs w:val="22"/>
          <w:lang w:eastAsia="en-AU"/>
        </w:rPr>
      </w:pPr>
      <w:hyperlink w:anchor="_Toc14340853" w:history="1">
        <w:r w:rsidRPr="00E720FE">
          <w:rPr>
            <w:rStyle w:val="Hyperlink"/>
          </w:rPr>
          <w:t>Boom sprayers</w:t>
        </w:r>
        <w:r>
          <w:rPr>
            <w:webHidden/>
          </w:rPr>
          <w:tab/>
        </w:r>
        <w:r>
          <w:rPr>
            <w:webHidden/>
          </w:rPr>
          <w:fldChar w:fldCharType="begin"/>
        </w:r>
        <w:r>
          <w:rPr>
            <w:webHidden/>
          </w:rPr>
          <w:instrText xml:space="preserve"> PAGEREF _Toc14340853 \h </w:instrText>
        </w:r>
        <w:r>
          <w:rPr>
            <w:webHidden/>
          </w:rPr>
        </w:r>
        <w:r>
          <w:rPr>
            <w:webHidden/>
          </w:rPr>
          <w:fldChar w:fldCharType="separate"/>
        </w:r>
        <w:r>
          <w:rPr>
            <w:webHidden/>
          </w:rPr>
          <w:t>37</w:t>
        </w:r>
        <w:r>
          <w:rPr>
            <w:webHidden/>
          </w:rPr>
          <w:fldChar w:fldCharType="end"/>
        </w:r>
      </w:hyperlink>
    </w:p>
    <w:p w14:paraId="1D5019AC" w14:textId="77777777" w:rsidR="00454836" w:rsidRDefault="00454836">
      <w:pPr>
        <w:pStyle w:val="TOC3"/>
        <w:rPr>
          <w:rFonts w:asciiTheme="minorHAnsi" w:eastAsiaTheme="minorEastAsia" w:hAnsiTheme="minorHAnsi" w:cstheme="minorBidi"/>
          <w:sz w:val="22"/>
          <w:szCs w:val="22"/>
          <w:lang w:eastAsia="en-AU"/>
        </w:rPr>
      </w:pPr>
      <w:hyperlink w:anchor="_Toc14340854" w:history="1">
        <w:r w:rsidRPr="00E720FE">
          <w:rPr>
            <w:rStyle w:val="Hyperlink"/>
          </w:rPr>
          <w:t>Vertical sprayers</w:t>
        </w:r>
        <w:r>
          <w:rPr>
            <w:webHidden/>
          </w:rPr>
          <w:tab/>
        </w:r>
        <w:r>
          <w:rPr>
            <w:webHidden/>
          </w:rPr>
          <w:fldChar w:fldCharType="begin"/>
        </w:r>
        <w:r>
          <w:rPr>
            <w:webHidden/>
          </w:rPr>
          <w:instrText xml:space="preserve"> PAGEREF _Toc14340854 \h </w:instrText>
        </w:r>
        <w:r>
          <w:rPr>
            <w:webHidden/>
          </w:rPr>
        </w:r>
        <w:r>
          <w:rPr>
            <w:webHidden/>
          </w:rPr>
          <w:fldChar w:fldCharType="separate"/>
        </w:r>
        <w:r>
          <w:rPr>
            <w:webHidden/>
          </w:rPr>
          <w:t>38</w:t>
        </w:r>
        <w:r>
          <w:rPr>
            <w:webHidden/>
          </w:rPr>
          <w:fldChar w:fldCharType="end"/>
        </w:r>
      </w:hyperlink>
    </w:p>
    <w:p w14:paraId="24F58EBD" w14:textId="77777777" w:rsidR="00454836" w:rsidRDefault="00454836">
      <w:pPr>
        <w:pStyle w:val="TOC3"/>
        <w:rPr>
          <w:rFonts w:asciiTheme="minorHAnsi" w:eastAsiaTheme="minorEastAsia" w:hAnsiTheme="minorHAnsi" w:cstheme="minorBidi"/>
          <w:sz w:val="22"/>
          <w:szCs w:val="22"/>
          <w:lang w:eastAsia="en-AU"/>
        </w:rPr>
      </w:pPr>
      <w:hyperlink w:anchor="_Toc14340855" w:history="1">
        <w:r w:rsidRPr="00E720FE">
          <w:rPr>
            <w:rStyle w:val="Hyperlink"/>
          </w:rPr>
          <w:t>Aircraft</w:t>
        </w:r>
        <w:r>
          <w:rPr>
            <w:webHidden/>
          </w:rPr>
          <w:tab/>
        </w:r>
        <w:r>
          <w:rPr>
            <w:webHidden/>
          </w:rPr>
          <w:fldChar w:fldCharType="begin"/>
        </w:r>
        <w:r>
          <w:rPr>
            <w:webHidden/>
          </w:rPr>
          <w:instrText xml:space="preserve"> PAGEREF _Toc14340855 \h </w:instrText>
        </w:r>
        <w:r>
          <w:rPr>
            <w:webHidden/>
          </w:rPr>
        </w:r>
        <w:r>
          <w:rPr>
            <w:webHidden/>
          </w:rPr>
          <w:fldChar w:fldCharType="separate"/>
        </w:r>
        <w:r>
          <w:rPr>
            <w:webHidden/>
          </w:rPr>
          <w:t>38</w:t>
        </w:r>
        <w:r>
          <w:rPr>
            <w:webHidden/>
          </w:rPr>
          <w:fldChar w:fldCharType="end"/>
        </w:r>
      </w:hyperlink>
    </w:p>
    <w:p w14:paraId="7B71A56C" w14:textId="77777777" w:rsidR="00454836" w:rsidRDefault="00454836">
      <w:pPr>
        <w:pStyle w:val="TOC3"/>
        <w:rPr>
          <w:rFonts w:asciiTheme="minorHAnsi" w:eastAsiaTheme="minorEastAsia" w:hAnsiTheme="minorHAnsi" w:cstheme="minorBidi"/>
          <w:sz w:val="22"/>
          <w:szCs w:val="22"/>
          <w:lang w:eastAsia="en-AU"/>
        </w:rPr>
      </w:pPr>
      <w:hyperlink w:anchor="_Toc14340856" w:history="1">
        <w:r w:rsidRPr="00E720FE">
          <w:rPr>
            <w:rStyle w:val="Hyperlink"/>
          </w:rPr>
          <w:t>Different application equipment types for different crop/situation use patterns</w:t>
        </w:r>
        <w:r>
          <w:rPr>
            <w:webHidden/>
          </w:rPr>
          <w:tab/>
        </w:r>
        <w:r>
          <w:rPr>
            <w:webHidden/>
          </w:rPr>
          <w:fldChar w:fldCharType="begin"/>
        </w:r>
        <w:r>
          <w:rPr>
            <w:webHidden/>
          </w:rPr>
          <w:instrText xml:space="preserve"> PAGEREF _Toc14340856 \h </w:instrText>
        </w:r>
        <w:r>
          <w:rPr>
            <w:webHidden/>
          </w:rPr>
        </w:r>
        <w:r>
          <w:rPr>
            <w:webHidden/>
          </w:rPr>
          <w:fldChar w:fldCharType="separate"/>
        </w:r>
        <w:r>
          <w:rPr>
            <w:webHidden/>
          </w:rPr>
          <w:t>39</w:t>
        </w:r>
        <w:r>
          <w:rPr>
            <w:webHidden/>
          </w:rPr>
          <w:fldChar w:fldCharType="end"/>
        </w:r>
      </w:hyperlink>
    </w:p>
    <w:p w14:paraId="51E42C59" w14:textId="77777777" w:rsidR="00454836" w:rsidRDefault="00454836">
      <w:pPr>
        <w:pStyle w:val="TOC2"/>
        <w:rPr>
          <w:rFonts w:asciiTheme="minorHAnsi" w:eastAsiaTheme="minorEastAsia" w:hAnsiTheme="minorHAnsi" w:cstheme="minorBidi"/>
          <w:b w:val="0"/>
          <w:color w:val="auto"/>
          <w:sz w:val="22"/>
          <w:szCs w:val="22"/>
          <w:lang w:eastAsia="en-AU"/>
        </w:rPr>
      </w:pPr>
      <w:hyperlink w:anchor="_Toc14340857" w:history="1">
        <w:r w:rsidRPr="00E720FE">
          <w:rPr>
            <w:rStyle w:val="Hyperlink"/>
            <w:rFonts w:ascii="Trebuchet MS" w:hAnsi="Trebuchet MS"/>
          </w:rPr>
          <w:t>5.2</w:t>
        </w:r>
        <w:r>
          <w:rPr>
            <w:rFonts w:asciiTheme="minorHAnsi" w:eastAsiaTheme="minorEastAsia" w:hAnsiTheme="minorHAnsi" w:cstheme="minorBidi"/>
            <w:b w:val="0"/>
            <w:color w:val="auto"/>
            <w:sz w:val="22"/>
            <w:szCs w:val="22"/>
            <w:lang w:eastAsia="en-AU"/>
          </w:rPr>
          <w:tab/>
        </w:r>
        <w:r w:rsidRPr="00E720FE">
          <w:rPr>
            <w:rStyle w:val="Hyperlink"/>
          </w:rPr>
          <w:t>Custom instructions</w:t>
        </w:r>
        <w:r>
          <w:rPr>
            <w:webHidden/>
          </w:rPr>
          <w:tab/>
        </w:r>
        <w:r>
          <w:rPr>
            <w:webHidden/>
          </w:rPr>
          <w:fldChar w:fldCharType="begin"/>
        </w:r>
        <w:r>
          <w:rPr>
            <w:webHidden/>
          </w:rPr>
          <w:instrText xml:space="preserve"> PAGEREF _Toc14340857 \h </w:instrText>
        </w:r>
        <w:r>
          <w:rPr>
            <w:webHidden/>
          </w:rPr>
        </w:r>
        <w:r>
          <w:rPr>
            <w:webHidden/>
          </w:rPr>
          <w:fldChar w:fldCharType="separate"/>
        </w:r>
        <w:r>
          <w:rPr>
            <w:webHidden/>
          </w:rPr>
          <w:t>40</w:t>
        </w:r>
        <w:r>
          <w:rPr>
            <w:webHidden/>
          </w:rPr>
          <w:fldChar w:fldCharType="end"/>
        </w:r>
      </w:hyperlink>
    </w:p>
    <w:p w14:paraId="398645F2" w14:textId="77777777" w:rsidR="00454836" w:rsidRDefault="00454836">
      <w:pPr>
        <w:pStyle w:val="TOC1"/>
        <w:rPr>
          <w:rFonts w:asciiTheme="minorHAnsi" w:eastAsiaTheme="minorEastAsia" w:hAnsiTheme="minorHAnsi" w:cstheme="minorBidi"/>
          <w:b w:val="0"/>
          <w:bCs w:val="0"/>
          <w:caps w:val="0"/>
          <w:color w:val="auto"/>
          <w:kern w:val="0"/>
          <w:sz w:val="22"/>
          <w:szCs w:val="22"/>
          <w:lang w:eastAsia="en-AU"/>
        </w:rPr>
      </w:pPr>
      <w:hyperlink w:anchor="_Toc14340858" w:history="1">
        <w:r w:rsidRPr="00E720FE">
          <w:rPr>
            <w:rStyle w:val="Hyperlink"/>
          </w:rPr>
          <w:t>6</w:t>
        </w:r>
        <w:r>
          <w:rPr>
            <w:rFonts w:asciiTheme="minorHAnsi" w:eastAsiaTheme="minorEastAsia" w:hAnsiTheme="minorHAnsi" w:cstheme="minorBidi"/>
            <w:b w:val="0"/>
            <w:bCs w:val="0"/>
            <w:caps w:val="0"/>
            <w:color w:val="auto"/>
            <w:kern w:val="0"/>
            <w:sz w:val="22"/>
            <w:szCs w:val="22"/>
            <w:lang w:eastAsia="en-AU"/>
          </w:rPr>
          <w:tab/>
        </w:r>
        <w:r w:rsidRPr="00E720FE">
          <w:rPr>
            <w:rStyle w:val="Hyperlink"/>
          </w:rPr>
          <w:t>Spray drift risk assessment tool (SDRAT)</w:t>
        </w:r>
        <w:r>
          <w:rPr>
            <w:webHidden/>
          </w:rPr>
          <w:tab/>
        </w:r>
        <w:r>
          <w:rPr>
            <w:webHidden/>
          </w:rPr>
          <w:fldChar w:fldCharType="begin"/>
        </w:r>
        <w:r>
          <w:rPr>
            <w:webHidden/>
          </w:rPr>
          <w:instrText xml:space="preserve"> PAGEREF _Toc14340858 \h </w:instrText>
        </w:r>
        <w:r>
          <w:rPr>
            <w:webHidden/>
          </w:rPr>
        </w:r>
        <w:r>
          <w:rPr>
            <w:webHidden/>
          </w:rPr>
          <w:fldChar w:fldCharType="separate"/>
        </w:r>
        <w:r>
          <w:rPr>
            <w:webHidden/>
          </w:rPr>
          <w:t>41</w:t>
        </w:r>
        <w:r>
          <w:rPr>
            <w:webHidden/>
          </w:rPr>
          <w:fldChar w:fldCharType="end"/>
        </w:r>
      </w:hyperlink>
    </w:p>
    <w:p w14:paraId="6F36392A" w14:textId="77777777" w:rsidR="00454836" w:rsidRDefault="00454836">
      <w:pPr>
        <w:pStyle w:val="TOC2"/>
        <w:rPr>
          <w:rFonts w:asciiTheme="minorHAnsi" w:eastAsiaTheme="minorEastAsia" w:hAnsiTheme="minorHAnsi" w:cstheme="minorBidi"/>
          <w:b w:val="0"/>
          <w:color w:val="auto"/>
          <w:sz w:val="22"/>
          <w:szCs w:val="22"/>
          <w:lang w:eastAsia="en-AU"/>
        </w:rPr>
      </w:pPr>
      <w:hyperlink w:anchor="_Toc14340859" w:history="1">
        <w:r w:rsidRPr="00E720FE">
          <w:rPr>
            <w:rStyle w:val="Hyperlink"/>
            <w:rFonts w:ascii="Trebuchet MS" w:hAnsi="Trebuchet MS"/>
          </w:rPr>
          <w:t>6.1</w:t>
        </w:r>
        <w:r>
          <w:rPr>
            <w:rFonts w:asciiTheme="minorHAnsi" w:eastAsiaTheme="minorEastAsia" w:hAnsiTheme="minorHAnsi" w:cstheme="minorBidi"/>
            <w:b w:val="0"/>
            <w:color w:val="auto"/>
            <w:sz w:val="22"/>
            <w:szCs w:val="22"/>
            <w:lang w:eastAsia="en-AU"/>
          </w:rPr>
          <w:tab/>
        </w:r>
        <w:r w:rsidRPr="00E720FE">
          <w:rPr>
            <w:rStyle w:val="Hyperlink"/>
          </w:rPr>
          <w:t>Buffer zone rounding</w:t>
        </w:r>
        <w:r>
          <w:rPr>
            <w:webHidden/>
          </w:rPr>
          <w:tab/>
        </w:r>
        <w:r>
          <w:rPr>
            <w:webHidden/>
          </w:rPr>
          <w:fldChar w:fldCharType="begin"/>
        </w:r>
        <w:r>
          <w:rPr>
            <w:webHidden/>
          </w:rPr>
          <w:instrText xml:space="preserve"> PAGEREF _Toc14340859 \h </w:instrText>
        </w:r>
        <w:r>
          <w:rPr>
            <w:webHidden/>
          </w:rPr>
        </w:r>
        <w:r>
          <w:rPr>
            <w:webHidden/>
          </w:rPr>
          <w:fldChar w:fldCharType="separate"/>
        </w:r>
        <w:r>
          <w:rPr>
            <w:webHidden/>
          </w:rPr>
          <w:t>41</w:t>
        </w:r>
        <w:r>
          <w:rPr>
            <w:webHidden/>
          </w:rPr>
          <w:fldChar w:fldCharType="end"/>
        </w:r>
      </w:hyperlink>
    </w:p>
    <w:p w14:paraId="0E3C01D0" w14:textId="77777777" w:rsidR="00454836" w:rsidRDefault="00454836">
      <w:pPr>
        <w:pStyle w:val="TOC2"/>
        <w:rPr>
          <w:rFonts w:asciiTheme="minorHAnsi" w:eastAsiaTheme="minorEastAsia" w:hAnsiTheme="minorHAnsi" w:cstheme="minorBidi"/>
          <w:b w:val="0"/>
          <w:color w:val="auto"/>
          <w:sz w:val="22"/>
          <w:szCs w:val="22"/>
          <w:lang w:eastAsia="en-AU"/>
        </w:rPr>
      </w:pPr>
      <w:hyperlink w:anchor="_Toc14340860" w:history="1">
        <w:r w:rsidRPr="00E720FE">
          <w:rPr>
            <w:rStyle w:val="Hyperlink"/>
            <w:rFonts w:ascii="Trebuchet MS" w:hAnsi="Trebuchet MS"/>
          </w:rPr>
          <w:t>6.2</w:t>
        </w:r>
        <w:r>
          <w:rPr>
            <w:rFonts w:asciiTheme="minorHAnsi" w:eastAsiaTheme="minorEastAsia" w:hAnsiTheme="minorHAnsi" w:cstheme="minorBidi"/>
            <w:b w:val="0"/>
            <w:color w:val="auto"/>
            <w:sz w:val="22"/>
            <w:szCs w:val="22"/>
            <w:lang w:eastAsia="en-AU"/>
          </w:rPr>
          <w:tab/>
        </w:r>
        <w:r w:rsidRPr="00E720FE">
          <w:rPr>
            <w:rStyle w:val="Hyperlink"/>
          </w:rPr>
          <w:t>Mandatory tank mixes</w:t>
        </w:r>
        <w:r>
          <w:rPr>
            <w:webHidden/>
          </w:rPr>
          <w:tab/>
        </w:r>
        <w:r>
          <w:rPr>
            <w:webHidden/>
          </w:rPr>
          <w:fldChar w:fldCharType="begin"/>
        </w:r>
        <w:r>
          <w:rPr>
            <w:webHidden/>
          </w:rPr>
          <w:instrText xml:space="preserve"> PAGEREF _Toc14340860 \h </w:instrText>
        </w:r>
        <w:r>
          <w:rPr>
            <w:webHidden/>
          </w:rPr>
        </w:r>
        <w:r>
          <w:rPr>
            <w:webHidden/>
          </w:rPr>
          <w:fldChar w:fldCharType="separate"/>
        </w:r>
        <w:r>
          <w:rPr>
            <w:webHidden/>
          </w:rPr>
          <w:t>41</w:t>
        </w:r>
        <w:r>
          <w:rPr>
            <w:webHidden/>
          </w:rPr>
          <w:fldChar w:fldCharType="end"/>
        </w:r>
      </w:hyperlink>
    </w:p>
    <w:p w14:paraId="2F1E3E4A" w14:textId="77777777" w:rsidR="00454836" w:rsidRDefault="00454836">
      <w:pPr>
        <w:pStyle w:val="TOC1"/>
        <w:rPr>
          <w:rFonts w:asciiTheme="minorHAnsi" w:eastAsiaTheme="minorEastAsia" w:hAnsiTheme="minorHAnsi" w:cstheme="minorBidi"/>
          <w:b w:val="0"/>
          <w:bCs w:val="0"/>
          <w:caps w:val="0"/>
          <w:color w:val="auto"/>
          <w:kern w:val="0"/>
          <w:sz w:val="22"/>
          <w:szCs w:val="22"/>
          <w:lang w:eastAsia="en-AU"/>
        </w:rPr>
      </w:pPr>
      <w:hyperlink w:anchor="_Toc14340861" w:history="1">
        <w:r w:rsidRPr="00E720FE">
          <w:rPr>
            <w:rStyle w:val="Hyperlink"/>
          </w:rPr>
          <w:t>7</w:t>
        </w:r>
        <w:r>
          <w:rPr>
            <w:rFonts w:asciiTheme="minorHAnsi" w:eastAsiaTheme="minorEastAsia" w:hAnsiTheme="minorHAnsi" w:cstheme="minorBidi"/>
            <w:b w:val="0"/>
            <w:bCs w:val="0"/>
            <w:caps w:val="0"/>
            <w:color w:val="auto"/>
            <w:kern w:val="0"/>
            <w:sz w:val="22"/>
            <w:szCs w:val="22"/>
            <w:lang w:eastAsia="en-AU"/>
          </w:rPr>
          <w:tab/>
        </w:r>
        <w:r w:rsidRPr="00E720FE">
          <w:rPr>
            <w:rStyle w:val="Hyperlink"/>
          </w:rPr>
          <w:t>Spray drift management tool (SDMT)</w:t>
        </w:r>
        <w:r>
          <w:rPr>
            <w:webHidden/>
          </w:rPr>
          <w:tab/>
        </w:r>
        <w:r>
          <w:rPr>
            <w:webHidden/>
          </w:rPr>
          <w:fldChar w:fldCharType="begin"/>
        </w:r>
        <w:r>
          <w:rPr>
            <w:webHidden/>
          </w:rPr>
          <w:instrText xml:space="preserve"> PAGEREF _Toc14340861 \h </w:instrText>
        </w:r>
        <w:r>
          <w:rPr>
            <w:webHidden/>
          </w:rPr>
        </w:r>
        <w:r>
          <w:rPr>
            <w:webHidden/>
          </w:rPr>
          <w:fldChar w:fldCharType="separate"/>
        </w:r>
        <w:r>
          <w:rPr>
            <w:webHidden/>
          </w:rPr>
          <w:t>43</w:t>
        </w:r>
        <w:r>
          <w:rPr>
            <w:webHidden/>
          </w:rPr>
          <w:fldChar w:fldCharType="end"/>
        </w:r>
      </w:hyperlink>
    </w:p>
    <w:p w14:paraId="3648596D" w14:textId="77777777" w:rsidR="00454836" w:rsidRDefault="00454836">
      <w:pPr>
        <w:pStyle w:val="TOC2"/>
        <w:rPr>
          <w:rFonts w:asciiTheme="minorHAnsi" w:eastAsiaTheme="minorEastAsia" w:hAnsiTheme="minorHAnsi" w:cstheme="minorBidi"/>
          <w:b w:val="0"/>
          <w:color w:val="auto"/>
          <w:sz w:val="22"/>
          <w:szCs w:val="22"/>
          <w:lang w:eastAsia="en-AU"/>
        </w:rPr>
      </w:pPr>
      <w:hyperlink w:anchor="_Toc14340862" w:history="1">
        <w:r w:rsidRPr="00E720FE">
          <w:rPr>
            <w:rStyle w:val="Hyperlink"/>
            <w:rFonts w:ascii="Trebuchet MS" w:hAnsi="Trebuchet MS"/>
          </w:rPr>
          <w:t>7.1</w:t>
        </w:r>
        <w:r>
          <w:rPr>
            <w:rFonts w:asciiTheme="minorHAnsi" w:eastAsiaTheme="minorEastAsia" w:hAnsiTheme="minorHAnsi" w:cstheme="minorBidi"/>
            <w:b w:val="0"/>
            <w:color w:val="auto"/>
            <w:sz w:val="22"/>
            <w:szCs w:val="22"/>
            <w:lang w:eastAsia="en-AU"/>
          </w:rPr>
          <w:tab/>
        </w:r>
        <w:r w:rsidRPr="00E720FE">
          <w:rPr>
            <w:rStyle w:val="Hyperlink"/>
          </w:rPr>
          <w:t>SDMT overview</w:t>
        </w:r>
        <w:r>
          <w:rPr>
            <w:webHidden/>
          </w:rPr>
          <w:tab/>
        </w:r>
        <w:r>
          <w:rPr>
            <w:webHidden/>
          </w:rPr>
          <w:fldChar w:fldCharType="begin"/>
        </w:r>
        <w:r>
          <w:rPr>
            <w:webHidden/>
          </w:rPr>
          <w:instrText xml:space="preserve"> PAGEREF _Toc14340862 \h </w:instrText>
        </w:r>
        <w:r>
          <w:rPr>
            <w:webHidden/>
          </w:rPr>
        </w:r>
        <w:r>
          <w:rPr>
            <w:webHidden/>
          </w:rPr>
          <w:fldChar w:fldCharType="separate"/>
        </w:r>
        <w:r>
          <w:rPr>
            <w:webHidden/>
          </w:rPr>
          <w:t>43</w:t>
        </w:r>
        <w:r>
          <w:rPr>
            <w:webHidden/>
          </w:rPr>
          <w:fldChar w:fldCharType="end"/>
        </w:r>
      </w:hyperlink>
    </w:p>
    <w:p w14:paraId="109B7B73" w14:textId="77777777" w:rsidR="00454836" w:rsidRDefault="00454836">
      <w:pPr>
        <w:pStyle w:val="TOC3"/>
        <w:rPr>
          <w:rFonts w:asciiTheme="minorHAnsi" w:eastAsiaTheme="minorEastAsia" w:hAnsiTheme="minorHAnsi" w:cstheme="minorBidi"/>
          <w:sz w:val="22"/>
          <w:szCs w:val="22"/>
          <w:lang w:eastAsia="en-AU"/>
        </w:rPr>
      </w:pPr>
      <w:hyperlink w:anchor="_Toc14340863" w:history="1">
        <w:r w:rsidRPr="00E720FE">
          <w:rPr>
            <w:rStyle w:val="Hyperlink"/>
          </w:rPr>
          <w:t>Tank-mixing</w:t>
        </w:r>
        <w:r>
          <w:rPr>
            <w:webHidden/>
          </w:rPr>
          <w:tab/>
        </w:r>
        <w:r>
          <w:rPr>
            <w:webHidden/>
          </w:rPr>
          <w:fldChar w:fldCharType="begin"/>
        </w:r>
        <w:r>
          <w:rPr>
            <w:webHidden/>
          </w:rPr>
          <w:instrText xml:space="preserve"> PAGEREF _Toc14340863 \h </w:instrText>
        </w:r>
        <w:r>
          <w:rPr>
            <w:webHidden/>
          </w:rPr>
        </w:r>
        <w:r>
          <w:rPr>
            <w:webHidden/>
          </w:rPr>
          <w:fldChar w:fldCharType="separate"/>
        </w:r>
        <w:r>
          <w:rPr>
            <w:webHidden/>
          </w:rPr>
          <w:t>45</w:t>
        </w:r>
        <w:r>
          <w:rPr>
            <w:webHidden/>
          </w:rPr>
          <w:fldChar w:fldCharType="end"/>
        </w:r>
      </w:hyperlink>
    </w:p>
    <w:p w14:paraId="37DB9DE1" w14:textId="77777777" w:rsidR="00454836" w:rsidRDefault="00454836">
      <w:pPr>
        <w:pStyle w:val="TOC2"/>
        <w:rPr>
          <w:rFonts w:asciiTheme="minorHAnsi" w:eastAsiaTheme="minorEastAsia" w:hAnsiTheme="minorHAnsi" w:cstheme="minorBidi"/>
          <w:b w:val="0"/>
          <w:color w:val="auto"/>
          <w:sz w:val="22"/>
          <w:szCs w:val="22"/>
          <w:lang w:eastAsia="en-AU"/>
        </w:rPr>
      </w:pPr>
      <w:hyperlink w:anchor="_Toc14340864" w:history="1">
        <w:r w:rsidRPr="00E720FE">
          <w:rPr>
            <w:rStyle w:val="Hyperlink"/>
            <w:rFonts w:ascii="Trebuchet MS" w:hAnsi="Trebuchet MS"/>
          </w:rPr>
          <w:t>7.2</w:t>
        </w:r>
        <w:r>
          <w:rPr>
            <w:rFonts w:asciiTheme="minorHAnsi" w:eastAsiaTheme="minorEastAsia" w:hAnsiTheme="minorHAnsi" w:cstheme="minorBidi"/>
            <w:b w:val="0"/>
            <w:color w:val="auto"/>
            <w:sz w:val="22"/>
            <w:szCs w:val="22"/>
            <w:lang w:eastAsia="en-AU"/>
          </w:rPr>
          <w:tab/>
        </w:r>
        <w:r w:rsidRPr="00E720FE">
          <w:rPr>
            <w:rStyle w:val="Hyperlink"/>
          </w:rPr>
          <w:t>Fraction of applied rate factors</w:t>
        </w:r>
        <w:r>
          <w:rPr>
            <w:webHidden/>
          </w:rPr>
          <w:tab/>
        </w:r>
        <w:r>
          <w:rPr>
            <w:webHidden/>
          </w:rPr>
          <w:fldChar w:fldCharType="begin"/>
        </w:r>
        <w:r>
          <w:rPr>
            <w:webHidden/>
          </w:rPr>
          <w:instrText xml:space="preserve"> PAGEREF _Toc14340864 \h </w:instrText>
        </w:r>
        <w:r>
          <w:rPr>
            <w:webHidden/>
          </w:rPr>
        </w:r>
        <w:r>
          <w:rPr>
            <w:webHidden/>
          </w:rPr>
          <w:fldChar w:fldCharType="separate"/>
        </w:r>
        <w:r>
          <w:rPr>
            <w:webHidden/>
          </w:rPr>
          <w:t>45</w:t>
        </w:r>
        <w:r>
          <w:rPr>
            <w:webHidden/>
          </w:rPr>
          <w:fldChar w:fldCharType="end"/>
        </w:r>
      </w:hyperlink>
    </w:p>
    <w:p w14:paraId="7F4495EE" w14:textId="77777777" w:rsidR="00454836" w:rsidRDefault="00454836">
      <w:pPr>
        <w:pStyle w:val="TOC3"/>
        <w:rPr>
          <w:rFonts w:asciiTheme="minorHAnsi" w:eastAsiaTheme="minorEastAsia" w:hAnsiTheme="minorHAnsi" w:cstheme="minorBidi"/>
          <w:sz w:val="22"/>
          <w:szCs w:val="22"/>
          <w:lang w:eastAsia="en-AU"/>
        </w:rPr>
      </w:pPr>
      <w:hyperlink w:anchor="_Toc14340865" w:history="1">
        <w:r w:rsidRPr="00E720FE">
          <w:rPr>
            <w:rStyle w:val="Hyperlink"/>
          </w:rPr>
          <w:t>Application rate</w:t>
        </w:r>
        <w:r>
          <w:rPr>
            <w:webHidden/>
          </w:rPr>
          <w:tab/>
        </w:r>
        <w:r>
          <w:rPr>
            <w:webHidden/>
          </w:rPr>
          <w:fldChar w:fldCharType="begin"/>
        </w:r>
        <w:r>
          <w:rPr>
            <w:webHidden/>
          </w:rPr>
          <w:instrText xml:space="preserve"> PAGEREF _Toc14340865 \h </w:instrText>
        </w:r>
        <w:r>
          <w:rPr>
            <w:webHidden/>
          </w:rPr>
        </w:r>
        <w:r>
          <w:rPr>
            <w:webHidden/>
          </w:rPr>
          <w:fldChar w:fldCharType="separate"/>
        </w:r>
        <w:r>
          <w:rPr>
            <w:webHidden/>
          </w:rPr>
          <w:t>46</w:t>
        </w:r>
        <w:r>
          <w:rPr>
            <w:webHidden/>
          </w:rPr>
          <w:fldChar w:fldCharType="end"/>
        </w:r>
      </w:hyperlink>
    </w:p>
    <w:p w14:paraId="0538B976" w14:textId="77777777" w:rsidR="00454836" w:rsidRDefault="00454836">
      <w:pPr>
        <w:pStyle w:val="TOC3"/>
        <w:rPr>
          <w:rFonts w:asciiTheme="minorHAnsi" w:eastAsiaTheme="minorEastAsia" w:hAnsiTheme="minorHAnsi" w:cstheme="minorBidi"/>
          <w:sz w:val="22"/>
          <w:szCs w:val="22"/>
          <w:lang w:eastAsia="en-AU"/>
        </w:rPr>
      </w:pPr>
      <w:hyperlink w:anchor="_Toc14340866" w:history="1">
        <w:r w:rsidRPr="00E720FE">
          <w:rPr>
            <w:rStyle w:val="Hyperlink"/>
          </w:rPr>
          <w:t>Water depth</w:t>
        </w:r>
        <w:r>
          <w:rPr>
            <w:webHidden/>
          </w:rPr>
          <w:tab/>
        </w:r>
        <w:r>
          <w:rPr>
            <w:webHidden/>
          </w:rPr>
          <w:fldChar w:fldCharType="begin"/>
        </w:r>
        <w:r>
          <w:rPr>
            <w:webHidden/>
          </w:rPr>
          <w:instrText xml:space="preserve"> PAGEREF _Toc14340866 \h </w:instrText>
        </w:r>
        <w:r>
          <w:rPr>
            <w:webHidden/>
          </w:rPr>
        </w:r>
        <w:r>
          <w:rPr>
            <w:webHidden/>
          </w:rPr>
          <w:fldChar w:fldCharType="separate"/>
        </w:r>
        <w:r>
          <w:rPr>
            <w:webHidden/>
          </w:rPr>
          <w:t>46</w:t>
        </w:r>
        <w:r>
          <w:rPr>
            <w:webHidden/>
          </w:rPr>
          <w:fldChar w:fldCharType="end"/>
        </w:r>
      </w:hyperlink>
    </w:p>
    <w:p w14:paraId="6C2F89DA" w14:textId="77777777" w:rsidR="00454836" w:rsidRDefault="00454836">
      <w:pPr>
        <w:pStyle w:val="TOC3"/>
        <w:rPr>
          <w:rFonts w:asciiTheme="minorHAnsi" w:eastAsiaTheme="minorEastAsia" w:hAnsiTheme="minorHAnsi" w:cstheme="minorBidi"/>
          <w:sz w:val="22"/>
          <w:szCs w:val="22"/>
          <w:lang w:eastAsia="en-AU"/>
        </w:rPr>
      </w:pPr>
      <w:hyperlink w:anchor="_Toc14340867" w:history="1">
        <w:r w:rsidRPr="00E720FE">
          <w:rPr>
            <w:rStyle w:val="Hyperlink"/>
          </w:rPr>
          <w:t>Optical spot spraying technologies</w:t>
        </w:r>
        <w:r>
          <w:rPr>
            <w:webHidden/>
          </w:rPr>
          <w:tab/>
        </w:r>
        <w:r>
          <w:rPr>
            <w:webHidden/>
          </w:rPr>
          <w:fldChar w:fldCharType="begin"/>
        </w:r>
        <w:r>
          <w:rPr>
            <w:webHidden/>
          </w:rPr>
          <w:instrText xml:space="preserve"> PAGEREF _Toc14340867 \h </w:instrText>
        </w:r>
        <w:r>
          <w:rPr>
            <w:webHidden/>
          </w:rPr>
        </w:r>
        <w:r>
          <w:rPr>
            <w:webHidden/>
          </w:rPr>
          <w:fldChar w:fldCharType="separate"/>
        </w:r>
        <w:r>
          <w:rPr>
            <w:webHidden/>
          </w:rPr>
          <w:t>46</w:t>
        </w:r>
        <w:r>
          <w:rPr>
            <w:webHidden/>
          </w:rPr>
          <w:fldChar w:fldCharType="end"/>
        </w:r>
      </w:hyperlink>
    </w:p>
    <w:p w14:paraId="76C873EB" w14:textId="77777777" w:rsidR="00454836" w:rsidRDefault="00454836">
      <w:pPr>
        <w:pStyle w:val="TOC3"/>
        <w:rPr>
          <w:rFonts w:asciiTheme="minorHAnsi" w:eastAsiaTheme="minorEastAsia" w:hAnsiTheme="minorHAnsi" w:cstheme="minorBidi"/>
          <w:sz w:val="22"/>
          <w:szCs w:val="22"/>
          <w:lang w:eastAsia="en-AU"/>
        </w:rPr>
      </w:pPr>
      <w:hyperlink w:anchor="_Toc14340868" w:history="1">
        <w:r w:rsidRPr="00E720FE">
          <w:rPr>
            <w:rStyle w:val="Hyperlink"/>
          </w:rPr>
          <w:t>Vegetative and artificial spray drift barriers</w:t>
        </w:r>
        <w:r>
          <w:rPr>
            <w:webHidden/>
          </w:rPr>
          <w:tab/>
        </w:r>
        <w:r>
          <w:rPr>
            <w:webHidden/>
          </w:rPr>
          <w:fldChar w:fldCharType="begin"/>
        </w:r>
        <w:r>
          <w:rPr>
            <w:webHidden/>
          </w:rPr>
          <w:instrText xml:space="preserve"> PAGEREF _Toc14340868 \h </w:instrText>
        </w:r>
        <w:r>
          <w:rPr>
            <w:webHidden/>
          </w:rPr>
        </w:r>
        <w:r>
          <w:rPr>
            <w:webHidden/>
          </w:rPr>
          <w:fldChar w:fldCharType="separate"/>
        </w:r>
        <w:r>
          <w:rPr>
            <w:webHidden/>
          </w:rPr>
          <w:t>46</w:t>
        </w:r>
        <w:r>
          <w:rPr>
            <w:webHidden/>
          </w:rPr>
          <w:fldChar w:fldCharType="end"/>
        </w:r>
      </w:hyperlink>
    </w:p>
    <w:p w14:paraId="0313E4CD" w14:textId="77777777" w:rsidR="00454836" w:rsidRDefault="00454836">
      <w:pPr>
        <w:pStyle w:val="TOC2"/>
        <w:rPr>
          <w:rFonts w:asciiTheme="minorHAnsi" w:eastAsiaTheme="minorEastAsia" w:hAnsiTheme="minorHAnsi" w:cstheme="minorBidi"/>
          <w:b w:val="0"/>
          <w:color w:val="auto"/>
          <w:sz w:val="22"/>
          <w:szCs w:val="22"/>
          <w:lang w:eastAsia="en-AU"/>
        </w:rPr>
      </w:pPr>
      <w:hyperlink w:anchor="_Toc14340869" w:history="1">
        <w:r w:rsidRPr="00E720FE">
          <w:rPr>
            <w:rStyle w:val="Hyperlink"/>
            <w:rFonts w:ascii="Trebuchet MS" w:hAnsi="Trebuchet MS"/>
          </w:rPr>
          <w:t>7.3</w:t>
        </w:r>
        <w:r>
          <w:rPr>
            <w:rFonts w:asciiTheme="minorHAnsi" w:eastAsiaTheme="minorEastAsia" w:hAnsiTheme="minorHAnsi" w:cstheme="minorBidi"/>
            <w:b w:val="0"/>
            <w:color w:val="auto"/>
            <w:sz w:val="22"/>
            <w:szCs w:val="22"/>
            <w:lang w:eastAsia="en-AU"/>
          </w:rPr>
          <w:tab/>
        </w:r>
        <w:r w:rsidRPr="00E720FE">
          <w:rPr>
            <w:rStyle w:val="Hyperlink"/>
          </w:rPr>
          <w:t>Alternative deposition curves</w:t>
        </w:r>
        <w:r>
          <w:rPr>
            <w:webHidden/>
          </w:rPr>
          <w:tab/>
        </w:r>
        <w:r>
          <w:rPr>
            <w:webHidden/>
          </w:rPr>
          <w:fldChar w:fldCharType="begin"/>
        </w:r>
        <w:r>
          <w:rPr>
            <w:webHidden/>
          </w:rPr>
          <w:instrText xml:space="preserve"> PAGEREF _Toc14340869 \h </w:instrText>
        </w:r>
        <w:r>
          <w:rPr>
            <w:webHidden/>
          </w:rPr>
        </w:r>
        <w:r>
          <w:rPr>
            <w:webHidden/>
          </w:rPr>
          <w:fldChar w:fldCharType="separate"/>
        </w:r>
        <w:r>
          <w:rPr>
            <w:webHidden/>
          </w:rPr>
          <w:t>47</w:t>
        </w:r>
        <w:r>
          <w:rPr>
            <w:webHidden/>
          </w:rPr>
          <w:fldChar w:fldCharType="end"/>
        </w:r>
      </w:hyperlink>
    </w:p>
    <w:p w14:paraId="2D3D4BA4" w14:textId="77777777" w:rsidR="00454836" w:rsidRDefault="00454836">
      <w:pPr>
        <w:pStyle w:val="TOC3"/>
        <w:rPr>
          <w:rFonts w:asciiTheme="minorHAnsi" w:eastAsiaTheme="minorEastAsia" w:hAnsiTheme="minorHAnsi" w:cstheme="minorBidi"/>
          <w:sz w:val="22"/>
          <w:szCs w:val="22"/>
          <w:lang w:eastAsia="en-AU"/>
        </w:rPr>
      </w:pPr>
      <w:hyperlink w:anchor="_Toc14340870" w:history="1">
        <w:r w:rsidRPr="00E720FE">
          <w:rPr>
            <w:rStyle w:val="Hyperlink"/>
          </w:rPr>
          <w:t>Addition of custom deposition curves</w:t>
        </w:r>
        <w:r>
          <w:rPr>
            <w:webHidden/>
          </w:rPr>
          <w:tab/>
        </w:r>
        <w:r>
          <w:rPr>
            <w:webHidden/>
          </w:rPr>
          <w:fldChar w:fldCharType="begin"/>
        </w:r>
        <w:r>
          <w:rPr>
            <w:webHidden/>
          </w:rPr>
          <w:instrText xml:space="preserve"> PAGEREF _Toc14340870 \h </w:instrText>
        </w:r>
        <w:r>
          <w:rPr>
            <w:webHidden/>
          </w:rPr>
        </w:r>
        <w:r>
          <w:rPr>
            <w:webHidden/>
          </w:rPr>
          <w:fldChar w:fldCharType="separate"/>
        </w:r>
        <w:r>
          <w:rPr>
            <w:webHidden/>
          </w:rPr>
          <w:t>47</w:t>
        </w:r>
        <w:r>
          <w:rPr>
            <w:webHidden/>
          </w:rPr>
          <w:fldChar w:fldCharType="end"/>
        </w:r>
      </w:hyperlink>
    </w:p>
    <w:p w14:paraId="238B8AC7" w14:textId="77777777" w:rsidR="00454836" w:rsidRDefault="00454836">
      <w:pPr>
        <w:pStyle w:val="TOC3"/>
        <w:rPr>
          <w:rFonts w:asciiTheme="minorHAnsi" w:eastAsiaTheme="minorEastAsia" w:hAnsiTheme="minorHAnsi" w:cstheme="minorBidi"/>
          <w:sz w:val="22"/>
          <w:szCs w:val="22"/>
          <w:lang w:eastAsia="en-AU"/>
        </w:rPr>
      </w:pPr>
      <w:hyperlink w:anchor="_Toc14340871" w:history="1">
        <w:r w:rsidRPr="00E720FE">
          <w:rPr>
            <w:rStyle w:val="Hyperlink"/>
          </w:rPr>
          <w:t>Additional SDMT deposition curves</w:t>
        </w:r>
        <w:r>
          <w:rPr>
            <w:webHidden/>
          </w:rPr>
          <w:tab/>
        </w:r>
        <w:r>
          <w:rPr>
            <w:webHidden/>
          </w:rPr>
          <w:fldChar w:fldCharType="begin"/>
        </w:r>
        <w:r>
          <w:rPr>
            <w:webHidden/>
          </w:rPr>
          <w:instrText xml:space="preserve"> PAGEREF _Toc14340871 \h </w:instrText>
        </w:r>
        <w:r>
          <w:rPr>
            <w:webHidden/>
          </w:rPr>
        </w:r>
        <w:r>
          <w:rPr>
            <w:webHidden/>
          </w:rPr>
          <w:fldChar w:fldCharType="separate"/>
        </w:r>
        <w:r>
          <w:rPr>
            <w:webHidden/>
          </w:rPr>
          <w:t>47</w:t>
        </w:r>
        <w:r>
          <w:rPr>
            <w:webHidden/>
          </w:rPr>
          <w:fldChar w:fldCharType="end"/>
        </w:r>
      </w:hyperlink>
    </w:p>
    <w:p w14:paraId="3B57C79D" w14:textId="77777777" w:rsidR="00454836" w:rsidRDefault="00454836">
      <w:pPr>
        <w:pStyle w:val="TOC1"/>
        <w:rPr>
          <w:rFonts w:asciiTheme="minorHAnsi" w:eastAsiaTheme="minorEastAsia" w:hAnsiTheme="minorHAnsi" w:cstheme="minorBidi"/>
          <w:b w:val="0"/>
          <w:bCs w:val="0"/>
          <w:caps w:val="0"/>
          <w:color w:val="auto"/>
          <w:kern w:val="0"/>
          <w:sz w:val="22"/>
          <w:szCs w:val="22"/>
          <w:lang w:eastAsia="en-AU"/>
        </w:rPr>
      </w:pPr>
      <w:hyperlink w:anchor="_Toc14340872" w:history="1">
        <w:r w:rsidRPr="00E720FE">
          <w:rPr>
            <w:rStyle w:val="Hyperlink"/>
          </w:rPr>
          <w:t>8</w:t>
        </w:r>
        <w:r>
          <w:rPr>
            <w:rFonts w:asciiTheme="minorHAnsi" w:eastAsiaTheme="minorEastAsia" w:hAnsiTheme="minorHAnsi" w:cstheme="minorBidi"/>
            <w:b w:val="0"/>
            <w:bCs w:val="0"/>
            <w:caps w:val="0"/>
            <w:color w:val="auto"/>
            <w:kern w:val="0"/>
            <w:sz w:val="22"/>
            <w:szCs w:val="22"/>
            <w:lang w:eastAsia="en-AU"/>
          </w:rPr>
          <w:tab/>
        </w:r>
        <w:r w:rsidRPr="00E720FE">
          <w:rPr>
            <w:rStyle w:val="Hyperlink"/>
          </w:rPr>
          <w:t>Case studies</w:t>
        </w:r>
        <w:r>
          <w:rPr>
            <w:webHidden/>
          </w:rPr>
          <w:tab/>
        </w:r>
        <w:r>
          <w:rPr>
            <w:webHidden/>
          </w:rPr>
          <w:fldChar w:fldCharType="begin"/>
        </w:r>
        <w:r>
          <w:rPr>
            <w:webHidden/>
          </w:rPr>
          <w:instrText xml:space="preserve"> PAGEREF _Toc14340872 \h </w:instrText>
        </w:r>
        <w:r>
          <w:rPr>
            <w:webHidden/>
          </w:rPr>
        </w:r>
        <w:r>
          <w:rPr>
            <w:webHidden/>
          </w:rPr>
          <w:fldChar w:fldCharType="separate"/>
        </w:r>
        <w:r>
          <w:rPr>
            <w:webHidden/>
          </w:rPr>
          <w:t>49</w:t>
        </w:r>
        <w:r>
          <w:rPr>
            <w:webHidden/>
          </w:rPr>
          <w:fldChar w:fldCharType="end"/>
        </w:r>
      </w:hyperlink>
    </w:p>
    <w:p w14:paraId="3191AB47" w14:textId="77777777" w:rsidR="00454836" w:rsidRDefault="00454836">
      <w:pPr>
        <w:pStyle w:val="TOC2"/>
        <w:rPr>
          <w:rFonts w:asciiTheme="minorHAnsi" w:eastAsiaTheme="minorEastAsia" w:hAnsiTheme="minorHAnsi" w:cstheme="minorBidi"/>
          <w:b w:val="0"/>
          <w:color w:val="auto"/>
          <w:sz w:val="22"/>
          <w:szCs w:val="22"/>
          <w:lang w:eastAsia="en-AU"/>
        </w:rPr>
      </w:pPr>
      <w:hyperlink w:anchor="_Toc14340873" w:history="1">
        <w:r w:rsidRPr="00E720FE">
          <w:rPr>
            <w:rStyle w:val="Hyperlink"/>
            <w:rFonts w:ascii="Trebuchet MS" w:hAnsi="Trebuchet MS"/>
          </w:rPr>
          <w:t>8.1</w:t>
        </w:r>
        <w:r>
          <w:rPr>
            <w:rFonts w:asciiTheme="minorHAnsi" w:eastAsiaTheme="minorEastAsia" w:hAnsiTheme="minorHAnsi" w:cstheme="minorBidi"/>
            <w:b w:val="0"/>
            <w:color w:val="auto"/>
            <w:sz w:val="22"/>
            <w:szCs w:val="22"/>
            <w:lang w:eastAsia="en-AU"/>
          </w:rPr>
          <w:tab/>
        </w:r>
        <w:r w:rsidRPr="00E720FE">
          <w:rPr>
            <w:rStyle w:val="Hyperlink"/>
          </w:rPr>
          <w:t>Case study one: Herbicide applied by air and ground boom</w:t>
        </w:r>
        <w:r>
          <w:rPr>
            <w:webHidden/>
          </w:rPr>
          <w:tab/>
        </w:r>
        <w:r>
          <w:rPr>
            <w:webHidden/>
          </w:rPr>
          <w:fldChar w:fldCharType="begin"/>
        </w:r>
        <w:r>
          <w:rPr>
            <w:webHidden/>
          </w:rPr>
          <w:instrText xml:space="preserve"> PAGEREF _Toc14340873 \h </w:instrText>
        </w:r>
        <w:r>
          <w:rPr>
            <w:webHidden/>
          </w:rPr>
        </w:r>
        <w:r>
          <w:rPr>
            <w:webHidden/>
          </w:rPr>
          <w:fldChar w:fldCharType="separate"/>
        </w:r>
        <w:r>
          <w:rPr>
            <w:webHidden/>
          </w:rPr>
          <w:t>49</w:t>
        </w:r>
        <w:r>
          <w:rPr>
            <w:webHidden/>
          </w:rPr>
          <w:fldChar w:fldCharType="end"/>
        </w:r>
      </w:hyperlink>
    </w:p>
    <w:p w14:paraId="3C648315" w14:textId="77777777" w:rsidR="00454836" w:rsidRDefault="00454836">
      <w:pPr>
        <w:pStyle w:val="TOC2"/>
        <w:rPr>
          <w:rFonts w:asciiTheme="minorHAnsi" w:eastAsiaTheme="minorEastAsia" w:hAnsiTheme="minorHAnsi" w:cstheme="minorBidi"/>
          <w:b w:val="0"/>
          <w:color w:val="auto"/>
          <w:sz w:val="22"/>
          <w:szCs w:val="22"/>
          <w:lang w:eastAsia="en-AU"/>
        </w:rPr>
      </w:pPr>
      <w:hyperlink w:anchor="_Toc14340874" w:history="1">
        <w:r w:rsidRPr="00E720FE">
          <w:rPr>
            <w:rStyle w:val="Hyperlink"/>
            <w:rFonts w:ascii="Trebuchet MS" w:eastAsia="Calibri" w:hAnsi="Trebuchet MS"/>
          </w:rPr>
          <w:t>8.2</w:t>
        </w:r>
        <w:r>
          <w:rPr>
            <w:rFonts w:asciiTheme="minorHAnsi" w:eastAsiaTheme="minorEastAsia" w:hAnsiTheme="minorHAnsi" w:cstheme="minorBidi"/>
            <w:b w:val="0"/>
            <w:color w:val="auto"/>
            <w:sz w:val="22"/>
            <w:szCs w:val="22"/>
            <w:lang w:eastAsia="en-AU"/>
          </w:rPr>
          <w:tab/>
        </w:r>
        <w:r w:rsidRPr="00E720FE">
          <w:rPr>
            <w:rStyle w:val="Hyperlink"/>
            <w:rFonts w:eastAsia="Calibri"/>
          </w:rPr>
          <w:t>Case study two: Insecticide applied by vertical sprayer and ground boom</w:t>
        </w:r>
        <w:r>
          <w:rPr>
            <w:webHidden/>
          </w:rPr>
          <w:tab/>
        </w:r>
        <w:r>
          <w:rPr>
            <w:webHidden/>
          </w:rPr>
          <w:fldChar w:fldCharType="begin"/>
        </w:r>
        <w:r>
          <w:rPr>
            <w:webHidden/>
          </w:rPr>
          <w:instrText xml:space="preserve"> PAGEREF _Toc14340874 \h </w:instrText>
        </w:r>
        <w:r>
          <w:rPr>
            <w:webHidden/>
          </w:rPr>
        </w:r>
        <w:r>
          <w:rPr>
            <w:webHidden/>
          </w:rPr>
          <w:fldChar w:fldCharType="separate"/>
        </w:r>
        <w:r>
          <w:rPr>
            <w:webHidden/>
          </w:rPr>
          <w:t>51</w:t>
        </w:r>
        <w:r>
          <w:rPr>
            <w:webHidden/>
          </w:rPr>
          <w:fldChar w:fldCharType="end"/>
        </w:r>
      </w:hyperlink>
    </w:p>
    <w:p w14:paraId="7705909F" w14:textId="77777777" w:rsidR="00454836" w:rsidRDefault="00454836">
      <w:pPr>
        <w:pStyle w:val="TOC1"/>
        <w:rPr>
          <w:rFonts w:asciiTheme="minorHAnsi" w:eastAsiaTheme="minorEastAsia" w:hAnsiTheme="minorHAnsi" w:cstheme="minorBidi"/>
          <w:b w:val="0"/>
          <w:bCs w:val="0"/>
          <w:caps w:val="0"/>
          <w:color w:val="auto"/>
          <w:kern w:val="0"/>
          <w:sz w:val="22"/>
          <w:szCs w:val="22"/>
          <w:lang w:eastAsia="en-AU"/>
        </w:rPr>
      </w:pPr>
      <w:hyperlink w:anchor="_Toc14340875" w:history="1">
        <w:r w:rsidRPr="00E720FE">
          <w:rPr>
            <w:rStyle w:val="Hyperlink"/>
          </w:rPr>
          <w:t>Appendix A: Droplet size distributions (DSDS)</w:t>
        </w:r>
        <w:r>
          <w:rPr>
            <w:webHidden/>
          </w:rPr>
          <w:tab/>
        </w:r>
        <w:r>
          <w:rPr>
            <w:webHidden/>
          </w:rPr>
          <w:fldChar w:fldCharType="begin"/>
        </w:r>
        <w:r>
          <w:rPr>
            <w:webHidden/>
          </w:rPr>
          <w:instrText xml:space="preserve"> PAGEREF _Toc14340875 \h </w:instrText>
        </w:r>
        <w:r>
          <w:rPr>
            <w:webHidden/>
          </w:rPr>
        </w:r>
        <w:r>
          <w:rPr>
            <w:webHidden/>
          </w:rPr>
          <w:fldChar w:fldCharType="separate"/>
        </w:r>
        <w:r>
          <w:rPr>
            <w:webHidden/>
          </w:rPr>
          <w:t>54</w:t>
        </w:r>
        <w:r>
          <w:rPr>
            <w:webHidden/>
          </w:rPr>
          <w:fldChar w:fldCharType="end"/>
        </w:r>
      </w:hyperlink>
    </w:p>
    <w:p w14:paraId="2B8A155B" w14:textId="77777777" w:rsidR="00454836" w:rsidRDefault="00454836">
      <w:pPr>
        <w:pStyle w:val="TOC1"/>
        <w:rPr>
          <w:rFonts w:asciiTheme="minorHAnsi" w:eastAsiaTheme="minorEastAsia" w:hAnsiTheme="minorHAnsi" w:cstheme="minorBidi"/>
          <w:b w:val="0"/>
          <w:bCs w:val="0"/>
          <w:caps w:val="0"/>
          <w:color w:val="auto"/>
          <w:kern w:val="0"/>
          <w:sz w:val="22"/>
          <w:szCs w:val="22"/>
          <w:lang w:eastAsia="en-AU"/>
        </w:rPr>
      </w:pPr>
      <w:hyperlink w:anchor="_Toc14340876" w:history="1">
        <w:r w:rsidRPr="00E720FE">
          <w:rPr>
            <w:rStyle w:val="Hyperlink"/>
          </w:rPr>
          <w:t>Appendix B: Evaluation of AGDISP ground model</w:t>
        </w:r>
        <w:r>
          <w:rPr>
            <w:webHidden/>
          </w:rPr>
          <w:tab/>
        </w:r>
        <w:r>
          <w:rPr>
            <w:webHidden/>
          </w:rPr>
          <w:fldChar w:fldCharType="begin"/>
        </w:r>
        <w:r>
          <w:rPr>
            <w:webHidden/>
          </w:rPr>
          <w:instrText xml:space="preserve"> PAGEREF _Toc14340876 \h </w:instrText>
        </w:r>
        <w:r>
          <w:rPr>
            <w:webHidden/>
          </w:rPr>
        </w:r>
        <w:r>
          <w:rPr>
            <w:webHidden/>
          </w:rPr>
          <w:fldChar w:fldCharType="separate"/>
        </w:r>
        <w:r>
          <w:rPr>
            <w:webHidden/>
          </w:rPr>
          <w:t>56</w:t>
        </w:r>
        <w:r>
          <w:rPr>
            <w:webHidden/>
          </w:rPr>
          <w:fldChar w:fldCharType="end"/>
        </w:r>
      </w:hyperlink>
    </w:p>
    <w:p w14:paraId="6B62059E" w14:textId="77777777" w:rsidR="00454836" w:rsidRDefault="00454836">
      <w:pPr>
        <w:pStyle w:val="TOC1"/>
        <w:rPr>
          <w:rFonts w:asciiTheme="minorHAnsi" w:eastAsiaTheme="minorEastAsia" w:hAnsiTheme="minorHAnsi" w:cstheme="minorBidi"/>
          <w:b w:val="0"/>
          <w:bCs w:val="0"/>
          <w:caps w:val="0"/>
          <w:color w:val="auto"/>
          <w:kern w:val="0"/>
          <w:sz w:val="22"/>
          <w:szCs w:val="22"/>
          <w:lang w:eastAsia="en-AU"/>
        </w:rPr>
      </w:pPr>
      <w:hyperlink w:anchor="_Toc14340877" w:history="1">
        <w:r w:rsidRPr="00E720FE">
          <w:rPr>
            <w:rStyle w:val="Hyperlink"/>
          </w:rPr>
          <w:t>Abbreviations</w:t>
        </w:r>
        <w:r>
          <w:rPr>
            <w:webHidden/>
          </w:rPr>
          <w:tab/>
        </w:r>
        <w:r>
          <w:rPr>
            <w:webHidden/>
          </w:rPr>
          <w:fldChar w:fldCharType="begin"/>
        </w:r>
        <w:r>
          <w:rPr>
            <w:webHidden/>
          </w:rPr>
          <w:instrText xml:space="preserve"> PAGEREF _Toc14340877 \h </w:instrText>
        </w:r>
        <w:r>
          <w:rPr>
            <w:webHidden/>
          </w:rPr>
        </w:r>
        <w:r>
          <w:rPr>
            <w:webHidden/>
          </w:rPr>
          <w:fldChar w:fldCharType="separate"/>
        </w:r>
        <w:r>
          <w:rPr>
            <w:webHidden/>
          </w:rPr>
          <w:t>58</w:t>
        </w:r>
        <w:r>
          <w:rPr>
            <w:webHidden/>
          </w:rPr>
          <w:fldChar w:fldCharType="end"/>
        </w:r>
      </w:hyperlink>
    </w:p>
    <w:p w14:paraId="2A7E7C21" w14:textId="77777777" w:rsidR="00454836" w:rsidRDefault="00454836">
      <w:pPr>
        <w:pStyle w:val="TOC1"/>
        <w:rPr>
          <w:rFonts w:asciiTheme="minorHAnsi" w:eastAsiaTheme="minorEastAsia" w:hAnsiTheme="minorHAnsi" w:cstheme="minorBidi"/>
          <w:b w:val="0"/>
          <w:bCs w:val="0"/>
          <w:caps w:val="0"/>
          <w:color w:val="auto"/>
          <w:kern w:val="0"/>
          <w:sz w:val="22"/>
          <w:szCs w:val="22"/>
          <w:lang w:eastAsia="en-AU"/>
        </w:rPr>
      </w:pPr>
      <w:hyperlink w:anchor="_Toc14340878" w:history="1">
        <w:r w:rsidRPr="00E720FE">
          <w:rPr>
            <w:rStyle w:val="Hyperlink"/>
          </w:rPr>
          <w:t>Glossary</w:t>
        </w:r>
        <w:r>
          <w:rPr>
            <w:webHidden/>
          </w:rPr>
          <w:tab/>
        </w:r>
        <w:r>
          <w:rPr>
            <w:webHidden/>
          </w:rPr>
          <w:fldChar w:fldCharType="begin"/>
        </w:r>
        <w:r>
          <w:rPr>
            <w:webHidden/>
          </w:rPr>
          <w:instrText xml:space="preserve"> PAGEREF _Toc14340878 \h </w:instrText>
        </w:r>
        <w:r>
          <w:rPr>
            <w:webHidden/>
          </w:rPr>
        </w:r>
        <w:r>
          <w:rPr>
            <w:webHidden/>
          </w:rPr>
          <w:fldChar w:fldCharType="separate"/>
        </w:r>
        <w:r>
          <w:rPr>
            <w:webHidden/>
          </w:rPr>
          <w:t>59</w:t>
        </w:r>
        <w:r>
          <w:rPr>
            <w:webHidden/>
          </w:rPr>
          <w:fldChar w:fldCharType="end"/>
        </w:r>
      </w:hyperlink>
    </w:p>
    <w:p w14:paraId="516CD009" w14:textId="77777777" w:rsidR="00454836" w:rsidRDefault="00454836">
      <w:pPr>
        <w:pStyle w:val="TOC1"/>
        <w:rPr>
          <w:rFonts w:asciiTheme="minorHAnsi" w:eastAsiaTheme="minorEastAsia" w:hAnsiTheme="minorHAnsi" w:cstheme="minorBidi"/>
          <w:b w:val="0"/>
          <w:bCs w:val="0"/>
          <w:caps w:val="0"/>
          <w:color w:val="auto"/>
          <w:kern w:val="0"/>
          <w:sz w:val="22"/>
          <w:szCs w:val="22"/>
          <w:lang w:eastAsia="en-AU"/>
        </w:rPr>
      </w:pPr>
      <w:hyperlink w:anchor="_Toc14340879" w:history="1">
        <w:r w:rsidRPr="00E720FE">
          <w:rPr>
            <w:rStyle w:val="Hyperlink"/>
          </w:rPr>
          <w:t>Reference</w:t>
        </w:r>
        <w:r>
          <w:rPr>
            <w:webHidden/>
          </w:rPr>
          <w:tab/>
        </w:r>
        <w:r>
          <w:rPr>
            <w:webHidden/>
          </w:rPr>
          <w:fldChar w:fldCharType="begin"/>
        </w:r>
        <w:r>
          <w:rPr>
            <w:webHidden/>
          </w:rPr>
          <w:instrText xml:space="preserve"> PAGEREF _Toc14340879 \h </w:instrText>
        </w:r>
        <w:r>
          <w:rPr>
            <w:webHidden/>
          </w:rPr>
        </w:r>
        <w:r>
          <w:rPr>
            <w:webHidden/>
          </w:rPr>
          <w:fldChar w:fldCharType="separate"/>
        </w:r>
        <w:r>
          <w:rPr>
            <w:webHidden/>
          </w:rPr>
          <w:t>64</w:t>
        </w:r>
        <w:r>
          <w:rPr>
            <w:webHidden/>
          </w:rPr>
          <w:fldChar w:fldCharType="end"/>
        </w:r>
      </w:hyperlink>
    </w:p>
    <w:p w14:paraId="5A4E9459" w14:textId="049ED691" w:rsidR="00371051" w:rsidRDefault="005064D5" w:rsidP="00DC6E8A">
      <w:pPr>
        <w:pStyle w:val="NormalText"/>
        <w:spacing w:before="0" w:after="0"/>
        <w:rPr>
          <w:noProof/>
        </w:rPr>
      </w:pPr>
      <w:r>
        <w:rPr>
          <w:rFonts w:ascii="Trebuchet MS" w:hAnsi="Trebuchet MS"/>
          <w:b/>
          <w:bCs/>
          <w:caps/>
          <w:noProof/>
          <w:color w:val="00747A" w:themeColor="background2"/>
          <w:szCs w:val="30"/>
        </w:rPr>
        <w:fldChar w:fldCharType="end"/>
      </w:r>
      <w:bookmarkStart w:id="1" w:name="_GoBack"/>
      <w:bookmarkEnd w:id="1"/>
      <w:r w:rsidR="00371051">
        <w:rPr>
          <w:noProof/>
        </w:rPr>
        <w:br w:type="page"/>
      </w:r>
    </w:p>
    <w:p w14:paraId="54DFB5B1" w14:textId="77777777" w:rsidR="00454836" w:rsidRDefault="002E20AC" w:rsidP="00D23D6A">
      <w:pPr>
        <w:pStyle w:val="TOAHeading"/>
        <w:rPr>
          <w:noProof/>
        </w:rPr>
      </w:pPr>
      <w:r>
        <w:rPr>
          <w:noProof/>
        </w:rPr>
        <w:lastRenderedPageBreak/>
        <w:t>List of tables</w:t>
      </w:r>
      <w:r>
        <w:rPr>
          <w:noProof/>
          <w:color w:val="00747A" w:themeColor="background2"/>
        </w:rPr>
        <w:fldChar w:fldCharType="begin"/>
      </w:r>
      <w:r>
        <w:rPr>
          <w:noProof/>
        </w:rPr>
        <w:instrText xml:space="preserve"> TOC \c "Table" </w:instrText>
      </w:r>
      <w:r>
        <w:rPr>
          <w:noProof/>
          <w:color w:val="00747A" w:themeColor="background2"/>
        </w:rPr>
        <w:fldChar w:fldCharType="separate"/>
      </w:r>
    </w:p>
    <w:p w14:paraId="254A2603" w14:textId="77777777" w:rsidR="00454836" w:rsidRDefault="00454836">
      <w:pPr>
        <w:pStyle w:val="TableofFigures"/>
        <w:rPr>
          <w:rFonts w:asciiTheme="minorHAnsi" w:eastAsiaTheme="minorEastAsia" w:hAnsiTheme="minorHAnsi" w:cstheme="minorBidi"/>
          <w:sz w:val="22"/>
          <w:szCs w:val="22"/>
          <w:lang w:eastAsia="en-AU"/>
        </w:rPr>
      </w:pPr>
      <w:r>
        <w:t>Table 1:</w:t>
      </w:r>
      <w:r>
        <w:rPr>
          <w:rFonts w:asciiTheme="minorHAnsi" w:eastAsiaTheme="minorEastAsia" w:hAnsiTheme="minorHAnsi" w:cstheme="minorBidi"/>
          <w:sz w:val="22"/>
          <w:szCs w:val="22"/>
          <w:lang w:eastAsia="en-AU"/>
        </w:rPr>
        <w:tab/>
      </w:r>
      <w:r>
        <w:t>Types of sensitive areas</w:t>
      </w:r>
      <w:r>
        <w:tab/>
      </w:r>
      <w:r>
        <w:fldChar w:fldCharType="begin"/>
      </w:r>
      <w:r>
        <w:instrText xml:space="preserve"> PAGEREF _Toc14340880 \h </w:instrText>
      </w:r>
      <w:r>
        <w:fldChar w:fldCharType="separate"/>
      </w:r>
      <w:r>
        <w:t>13</w:t>
      </w:r>
      <w:r>
        <w:fldChar w:fldCharType="end"/>
      </w:r>
    </w:p>
    <w:p w14:paraId="28A10B58" w14:textId="77777777" w:rsidR="00454836" w:rsidRDefault="00454836">
      <w:pPr>
        <w:pStyle w:val="TableofFigures"/>
        <w:rPr>
          <w:rFonts w:asciiTheme="minorHAnsi" w:eastAsiaTheme="minorEastAsia" w:hAnsiTheme="minorHAnsi" w:cstheme="minorBidi"/>
          <w:sz w:val="22"/>
          <w:szCs w:val="22"/>
          <w:lang w:eastAsia="en-AU"/>
        </w:rPr>
      </w:pPr>
      <w:r>
        <w:t>Table 2:</w:t>
      </w:r>
      <w:r>
        <w:rPr>
          <w:rFonts w:asciiTheme="minorHAnsi" w:eastAsiaTheme="minorEastAsia" w:hAnsiTheme="minorHAnsi" w:cstheme="minorBidi"/>
          <w:sz w:val="22"/>
          <w:szCs w:val="22"/>
          <w:lang w:eastAsia="en-AU"/>
        </w:rPr>
        <w:tab/>
      </w:r>
      <w:r>
        <w:t>List of RAL units and conversion factors</w:t>
      </w:r>
      <w:r>
        <w:tab/>
      </w:r>
      <w:r>
        <w:fldChar w:fldCharType="begin"/>
      </w:r>
      <w:r>
        <w:instrText xml:space="preserve"> PAGEREF _Toc14340881 \h </w:instrText>
      </w:r>
      <w:r>
        <w:fldChar w:fldCharType="separate"/>
      </w:r>
      <w:r>
        <w:t>18</w:t>
      </w:r>
      <w:r>
        <w:fldChar w:fldCharType="end"/>
      </w:r>
    </w:p>
    <w:p w14:paraId="453D0908" w14:textId="77777777" w:rsidR="00454836" w:rsidRDefault="00454836">
      <w:pPr>
        <w:pStyle w:val="TableofFigures"/>
        <w:rPr>
          <w:rFonts w:asciiTheme="minorHAnsi" w:eastAsiaTheme="minorEastAsia" w:hAnsiTheme="minorHAnsi" w:cstheme="minorBidi"/>
          <w:sz w:val="22"/>
          <w:szCs w:val="22"/>
          <w:lang w:eastAsia="en-AU"/>
        </w:rPr>
      </w:pPr>
      <w:r>
        <w:t>Table 3:</w:t>
      </w:r>
      <w:r>
        <w:rPr>
          <w:rFonts w:asciiTheme="minorHAnsi" w:eastAsiaTheme="minorEastAsia" w:hAnsiTheme="minorHAnsi" w:cstheme="minorBidi"/>
          <w:sz w:val="22"/>
          <w:szCs w:val="22"/>
          <w:lang w:eastAsia="en-AU"/>
        </w:rPr>
        <w:tab/>
      </w:r>
      <w:r>
        <w:t>Bystander area RAL units and default values</w:t>
      </w:r>
      <w:r>
        <w:tab/>
      </w:r>
      <w:r>
        <w:fldChar w:fldCharType="begin"/>
      </w:r>
      <w:r>
        <w:instrText xml:space="preserve"> PAGEREF _Toc14340882 \h </w:instrText>
      </w:r>
      <w:r>
        <w:fldChar w:fldCharType="separate"/>
      </w:r>
      <w:r>
        <w:t>20</w:t>
      </w:r>
      <w:r>
        <w:fldChar w:fldCharType="end"/>
      </w:r>
    </w:p>
    <w:p w14:paraId="51905E7B" w14:textId="77777777" w:rsidR="00454836" w:rsidRDefault="00454836">
      <w:pPr>
        <w:pStyle w:val="TableofFigures"/>
        <w:rPr>
          <w:rFonts w:asciiTheme="minorHAnsi" w:eastAsiaTheme="minorEastAsia" w:hAnsiTheme="minorHAnsi" w:cstheme="minorBidi"/>
          <w:sz w:val="22"/>
          <w:szCs w:val="22"/>
          <w:lang w:eastAsia="en-AU"/>
        </w:rPr>
      </w:pPr>
      <w:r>
        <w:t>Table 4:</w:t>
      </w:r>
      <w:r>
        <w:rPr>
          <w:rFonts w:asciiTheme="minorHAnsi" w:eastAsiaTheme="minorEastAsia" w:hAnsiTheme="minorHAnsi" w:cstheme="minorBidi"/>
          <w:sz w:val="22"/>
          <w:szCs w:val="22"/>
          <w:lang w:eastAsia="en-AU"/>
        </w:rPr>
        <w:tab/>
      </w:r>
      <w:r>
        <w:t>Pollinator area RAL units and default values</w:t>
      </w:r>
      <w:r>
        <w:tab/>
      </w:r>
      <w:r>
        <w:fldChar w:fldCharType="begin"/>
      </w:r>
      <w:r>
        <w:instrText xml:space="preserve"> PAGEREF _Toc14340883 \h </w:instrText>
      </w:r>
      <w:r>
        <w:fldChar w:fldCharType="separate"/>
      </w:r>
      <w:r>
        <w:t>23</w:t>
      </w:r>
      <w:r>
        <w:fldChar w:fldCharType="end"/>
      </w:r>
    </w:p>
    <w:p w14:paraId="2A858813" w14:textId="77777777" w:rsidR="00454836" w:rsidRDefault="00454836">
      <w:pPr>
        <w:pStyle w:val="TableofFigures"/>
        <w:rPr>
          <w:rFonts w:asciiTheme="minorHAnsi" w:eastAsiaTheme="minorEastAsia" w:hAnsiTheme="minorHAnsi" w:cstheme="minorBidi"/>
          <w:sz w:val="22"/>
          <w:szCs w:val="22"/>
          <w:lang w:eastAsia="en-AU"/>
        </w:rPr>
      </w:pPr>
      <w:r>
        <w:t>Table 5:</w:t>
      </w:r>
      <w:r>
        <w:rPr>
          <w:rFonts w:asciiTheme="minorHAnsi" w:eastAsiaTheme="minorEastAsia" w:hAnsiTheme="minorHAnsi" w:cstheme="minorBidi"/>
          <w:sz w:val="22"/>
          <w:szCs w:val="22"/>
          <w:lang w:eastAsia="en-AU"/>
        </w:rPr>
        <w:tab/>
      </w:r>
      <w:r>
        <w:t>Water rates for different crops</w:t>
      </w:r>
      <w:r>
        <w:tab/>
      </w:r>
      <w:r>
        <w:fldChar w:fldCharType="begin"/>
      </w:r>
      <w:r>
        <w:instrText xml:space="preserve"> PAGEREF _Toc14340884 \h </w:instrText>
      </w:r>
      <w:r>
        <w:fldChar w:fldCharType="separate"/>
      </w:r>
      <w:r>
        <w:t>25</w:t>
      </w:r>
      <w:r>
        <w:fldChar w:fldCharType="end"/>
      </w:r>
    </w:p>
    <w:p w14:paraId="5FC21040" w14:textId="77777777" w:rsidR="00454836" w:rsidRDefault="00454836">
      <w:pPr>
        <w:pStyle w:val="TableofFigures"/>
        <w:rPr>
          <w:rFonts w:asciiTheme="minorHAnsi" w:eastAsiaTheme="minorEastAsia" w:hAnsiTheme="minorHAnsi" w:cstheme="minorBidi"/>
          <w:sz w:val="22"/>
          <w:szCs w:val="22"/>
          <w:lang w:eastAsia="en-AU"/>
        </w:rPr>
      </w:pPr>
      <w:r>
        <w:t>Table 6:</w:t>
      </w:r>
      <w:r>
        <w:rPr>
          <w:rFonts w:asciiTheme="minorHAnsi" w:eastAsiaTheme="minorEastAsia" w:hAnsiTheme="minorHAnsi" w:cstheme="minorBidi"/>
          <w:sz w:val="22"/>
          <w:szCs w:val="22"/>
          <w:lang w:eastAsia="en-AU"/>
        </w:rPr>
        <w:tab/>
      </w:r>
      <w:r>
        <w:t>Variables used in equation 10 and equation 11</w:t>
      </w:r>
      <w:r>
        <w:tab/>
      </w:r>
      <w:r>
        <w:fldChar w:fldCharType="begin"/>
      </w:r>
      <w:r>
        <w:instrText xml:space="preserve"> PAGEREF _Toc14340885 \h </w:instrText>
      </w:r>
      <w:r>
        <w:fldChar w:fldCharType="separate"/>
      </w:r>
      <w:r>
        <w:t>26</w:t>
      </w:r>
      <w:r>
        <w:fldChar w:fldCharType="end"/>
      </w:r>
    </w:p>
    <w:p w14:paraId="32F64ECD" w14:textId="77777777" w:rsidR="00454836" w:rsidRDefault="00454836">
      <w:pPr>
        <w:pStyle w:val="TableofFigures"/>
        <w:rPr>
          <w:rFonts w:asciiTheme="minorHAnsi" w:eastAsiaTheme="minorEastAsia" w:hAnsiTheme="minorHAnsi" w:cstheme="minorBidi"/>
          <w:sz w:val="22"/>
          <w:szCs w:val="22"/>
          <w:lang w:eastAsia="en-AU"/>
        </w:rPr>
      </w:pPr>
      <w:r>
        <w:t>Table 7:</w:t>
      </w:r>
      <w:r>
        <w:rPr>
          <w:rFonts w:asciiTheme="minorHAnsi" w:eastAsiaTheme="minorEastAsia" w:hAnsiTheme="minorHAnsi" w:cstheme="minorBidi"/>
          <w:sz w:val="22"/>
          <w:szCs w:val="22"/>
          <w:lang w:eastAsia="en-AU"/>
        </w:rPr>
        <w:tab/>
      </w:r>
      <w:r>
        <w:t>Spray quality weightings to be used between AI and FF droplet size distributions</w:t>
      </w:r>
      <w:r>
        <w:tab/>
      </w:r>
      <w:r>
        <w:fldChar w:fldCharType="begin"/>
      </w:r>
      <w:r>
        <w:instrText xml:space="preserve"> PAGEREF _Toc14340886 \h </w:instrText>
      </w:r>
      <w:r>
        <w:fldChar w:fldCharType="separate"/>
      </w:r>
      <w:r>
        <w:t>29</w:t>
      </w:r>
      <w:r>
        <w:fldChar w:fldCharType="end"/>
      </w:r>
    </w:p>
    <w:p w14:paraId="2E39E95D" w14:textId="77777777" w:rsidR="00454836" w:rsidRDefault="00454836">
      <w:pPr>
        <w:pStyle w:val="TableofFigures"/>
        <w:rPr>
          <w:rFonts w:asciiTheme="minorHAnsi" w:eastAsiaTheme="minorEastAsia" w:hAnsiTheme="minorHAnsi" w:cstheme="minorBidi"/>
          <w:sz w:val="22"/>
          <w:szCs w:val="22"/>
          <w:lang w:eastAsia="en-AU"/>
        </w:rPr>
      </w:pPr>
      <w:r>
        <w:t>Table 8:</w:t>
      </w:r>
      <w:r>
        <w:rPr>
          <w:rFonts w:asciiTheme="minorHAnsi" w:eastAsiaTheme="minorEastAsia" w:hAnsiTheme="minorHAnsi" w:cstheme="minorBidi"/>
          <w:sz w:val="22"/>
          <w:szCs w:val="22"/>
          <w:lang w:eastAsia="en-AU"/>
        </w:rPr>
        <w:tab/>
      </w:r>
      <w:r>
        <w:t>Terminology equivalence between German ‘basic drift values’ and APVMA vertical sprayer standard deposition curves</w:t>
      </w:r>
      <w:r>
        <w:tab/>
      </w:r>
      <w:r>
        <w:fldChar w:fldCharType="begin"/>
      </w:r>
      <w:r>
        <w:instrText xml:space="preserve"> PAGEREF _Toc14340887 \h </w:instrText>
      </w:r>
      <w:r>
        <w:fldChar w:fldCharType="separate"/>
      </w:r>
      <w:r>
        <w:t>30</w:t>
      </w:r>
      <w:r>
        <w:fldChar w:fldCharType="end"/>
      </w:r>
    </w:p>
    <w:p w14:paraId="7EBA54EC" w14:textId="77777777" w:rsidR="00454836" w:rsidRDefault="00454836">
      <w:pPr>
        <w:pStyle w:val="TableofFigures"/>
        <w:rPr>
          <w:rFonts w:asciiTheme="minorHAnsi" w:eastAsiaTheme="minorEastAsia" w:hAnsiTheme="minorHAnsi" w:cstheme="minorBidi"/>
          <w:sz w:val="22"/>
          <w:szCs w:val="22"/>
          <w:lang w:eastAsia="en-AU"/>
        </w:rPr>
      </w:pPr>
      <w:r>
        <w:t>Table 9:</w:t>
      </w:r>
      <w:r>
        <w:rPr>
          <w:rFonts w:asciiTheme="minorHAnsi" w:eastAsiaTheme="minorEastAsia" w:hAnsiTheme="minorHAnsi" w:cstheme="minorBidi"/>
          <w:sz w:val="22"/>
          <w:szCs w:val="22"/>
          <w:lang w:eastAsia="en-AU"/>
        </w:rPr>
        <w:tab/>
      </w:r>
      <w:r>
        <w:t>Buffer zone rounding</w:t>
      </w:r>
      <w:r>
        <w:tab/>
      </w:r>
      <w:r>
        <w:fldChar w:fldCharType="begin"/>
      </w:r>
      <w:r>
        <w:instrText xml:space="preserve"> PAGEREF _Toc14340888 \h </w:instrText>
      </w:r>
      <w:r>
        <w:fldChar w:fldCharType="separate"/>
      </w:r>
      <w:r>
        <w:t>41</w:t>
      </w:r>
      <w:r>
        <w:fldChar w:fldCharType="end"/>
      </w:r>
    </w:p>
    <w:p w14:paraId="4D58CE28" w14:textId="77777777" w:rsidR="00454836" w:rsidRDefault="00454836">
      <w:pPr>
        <w:pStyle w:val="TableofFigures"/>
        <w:rPr>
          <w:rFonts w:asciiTheme="minorHAnsi" w:eastAsiaTheme="minorEastAsia" w:hAnsiTheme="minorHAnsi" w:cstheme="minorBidi"/>
          <w:sz w:val="22"/>
          <w:szCs w:val="22"/>
          <w:lang w:eastAsia="en-AU"/>
        </w:rPr>
      </w:pPr>
      <w:r>
        <w:t>Table 10:</w:t>
      </w:r>
      <w:r>
        <w:rPr>
          <w:rFonts w:asciiTheme="minorHAnsi" w:eastAsiaTheme="minorEastAsia" w:hAnsiTheme="minorHAnsi" w:cstheme="minorBidi"/>
          <w:sz w:val="22"/>
          <w:szCs w:val="22"/>
          <w:lang w:eastAsia="en-AU"/>
        </w:rPr>
        <w:tab/>
      </w:r>
      <w:r>
        <w:t>Example calculation of an adjusted active concentration for a tank mix</w:t>
      </w:r>
      <w:r>
        <w:tab/>
      </w:r>
      <w:r>
        <w:fldChar w:fldCharType="begin"/>
      </w:r>
      <w:r>
        <w:instrText xml:space="preserve"> PAGEREF _Toc14340889 \h </w:instrText>
      </w:r>
      <w:r>
        <w:fldChar w:fldCharType="separate"/>
      </w:r>
      <w:r>
        <w:t>42</w:t>
      </w:r>
      <w:r>
        <w:fldChar w:fldCharType="end"/>
      </w:r>
    </w:p>
    <w:p w14:paraId="62E9A813" w14:textId="77777777" w:rsidR="00454836" w:rsidRDefault="00454836">
      <w:pPr>
        <w:pStyle w:val="TableofFigures"/>
        <w:rPr>
          <w:rFonts w:asciiTheme="minorHAnsi" w:eastAsiaTheme="minorEastAsia" w:hAnsiTheme="minorHAnsi" w:cstheme="minorBidi"/>
          <w:sz w:val="22"/>
          <w:szCs w:val="22"/>
          <w:lang w:eastAsia="en-AU"/>
        </w:rPr>
      </w:pPr>
      <w:r>
        <w:t>Table 11:</w:t>
      </w:r>
      <w:r>
        <w:rPr>
          <w:rFonts w:asciiTheme="minorHAnsi" w:eastAsiaTheme="minorEastAsia" w:hAnsiTheme="minorHAnsi" w:cstheme="minorBidi"/>
          <w:sz w:val="22"/>
          <w:szCs w:val="22"/>
          <w:lang w:eastAsia="en-AU"/>
        </w:rPr>
        <w:tab/>
      </w:r>
      <w:r>
        <w:t>Example calculation of worst-case buffer zones for a tank mix</w:t>
      </w:r>
      <w:r>
        <w:tab/>
      </w:r>
      <w:r>
        <w:fldChar w:fldCharType="begin"/>
      </w:r>
      <w:r>
        <w:instrText xml:space="preserve"> PAGEREF _Toc14340890 \h </w:instrText>
      </w:r>
      <w:r>
        <w:fldChar w:fldCharType="separate"/>
      </w:r>
      <w:r>
        <w:t>42</w:t>
      </w:r>
      <w:r>
        <w:fldChar w:fldCharType="end"/>
      </w:r>
    </w:p>
    <w:p w14:paraId="38E1CF0C" w14:textId="77777777" w:rsidR="00454836" w:rsidRDefault="00454836">
      <w:pPr>
        <w:pStyle w:val="TableofFigures"/>
        <w:rPr>
          <w:rFonts w:asciiTheme="minorHAnsi" w:eastAsiaTheme="minorEastAsia" w:hAnsiTheme="minorHAnsi" w:cstheme="minorBidi"/>
          <w:sz w:val="22"/>
          <w:szCs w:val="22"/>
          <w:lang w:eastAsia="en-AU"/>
        </w:rPr>
      </w:pPr>
      <w:r>
        <w:t>Table 12:</w:t>
      </w:r>
      <w:r>
        <w:rPr>
          <w:rFonts w:asciiTheme="minorHAnsi" w:eastAsiaTheme="minorEastAsia" w:hAnsiTheme="minorHAnsi" w:cstheme="minorBidi"/>
          <w:sz w:val="22"/>
          <w:szCs w:val="22"/>
          <w:lang w:eastAsia="en-AU"/>
        </w:rPr>
        <w:tab/>
      </w:r>
      <w:r w:rsidRPr="000E3706">
        <w:rPr>
          <w:rFonts w:eastAsia="Calibri"/>
          <w:lang w:val="en-US"/>
        </w:rPr>
        <w:t>Regulatory acceptable levels for Herbicide One</w:t>
      </w:r>
      <w:r>
        <w:tab/>
      </w:r>
      <w:r>
        <w:fldChar w:fldCharType="begin"/>
      </w:r>
      <w:r>
        <w:instrText xml:space="preserve"> PAGEREF _Toc14340891 \h </w:instrText>
      </w:r>
      <w:r>
        <w:fldChar w:fldCharType="separate"/>
      </w:r>
      <w:r>
        <w:t>49</w:t>
      </w:r>
      <w:r>
        <w:fldChar w:fldCharType="end"/>
      </w:r>
    </w:p>
    <w:p w14:paraId="49D0D9A6" w14:textId="77777777" w:rsidR="00454836" w:rsidRDefault="00454836">
      <w:pPr>
        <w:pStyle w:val="TableofFigures"/>
        <w:rPr>
          <w:rFonts w:asciiTheme="minorHAnsi" w:eastAsiaTheme="minorEastAsia" w:hAnsiTheme="minorHAnsi" w:cstheme="minorBidi"/>
          <w:sz w:val="22"/>
          <w:szCs w:val="22"/>
          <w:lang w:eastAsia="en-AU"/>
        </w:rPr>
      </w:pPr>
      <w:r>
        <w:t>Table 13:</w:t>
      </w:r>
      <w:r>
        <w:rPr>
          <w:rFonts w:asciiTheme="minorHAnsi" w:eastAsiaTheme="minorEastAsia" w:hAnsiTheme="minorHAnsi" w:cstheme="minorBidi"/>
          <w:sz w:val="22"/>
          <w:szCs w:val="22"/>
          <w:lang w:eastAsia="en-AU"/>
        </w:rPr>
        <w:tab/>
      </w:r>
      <w:r w:rsidRPr="000E3706">
        <w:rPr>
          <w:rFonts w:eastAsia="Calibri"/>
          <w:lang w:val="en-US"/>
        </w:rPr>
        <w:t>Regulatory acceptable levels for Insecticide One</w:t>
      </w:r>
      <w:r>
        <w:tab/>
      </w:r>
      <w:r>
        <w:fldChar w:fldCharType="begin"/>
      </w:r>
      <w:r>
        <w:instrText xml:space="preserve"> PAGEREF _Toc14340892 \h </w:instrText>
      </w:r>
      <w:r>
        <w:fldChar w:fldCharType="separate"/>
      </w:r>
      <w:r>
        <w:t>51</w:t>
      </w:r>
      <w:r>
        <w:fldChar w:fldCharType="end"/>
      </w:r>
    </w:p>
    <w:p w14:paraId="6C3A8A6C" w14:textId="77777777" w:rsidR="00454836" w:rsidRDefault="00454836">
      <w:pPr>
        <w:pStyle w:val="TableofFigures"/>
        <w:rPr>
          <w:rFonts w:asciiTheme="minorHAnsi" w:eastAsiaTheme="minorEastAsia" w:hAnsiTheme="minorHAnsi" w:cstheme="minorBidi"/>
          <w:sz w:val="22"/>
          <w:szCs w:val="22"/>
          <w:lang w:eastAsia="en-AU"/>
        </w:rPr>
      </w:pPr>
      <w:r>
        <w:t>Table 14:</w:t>
      </w:r>
      <w:r>
        <w:rPr>
          <w:rFonts w:asciiTheme="minorHAnsi" w:eastAsiaTheme="minorEastAsia" w:hAnsiTheme="minorHAnsi" w:cstheme="minorBidi"/>
          <w:sz w:val="22"/>
          <w:szCs w:val="22"/>
          <w:lang w:eastAsia="en-AU"/>
        </w:rPr>
        <w:tab/>
      </w:r>
      <w:r w:rsidRPr="000E3706">
        <w:rPr>
          <w:rFonts w:eastAsia="Calibri"/>
          <w:lang w:val="en-US"/>
        </w:rPr>
        <w:t>Summary droplet size statistics for the reference nozzles used to establish standard deposition curves</w:t>
      </w:r>
      <w:r>
        <w:tab/>
      </w:r>
      <w:r>
        <w:fldChar w:fldCharType="begin"/>
      </w:r>
      <w:r>
        <w:instrText xml:space="preserve"> PAGEREF _Toc14340893 \h </w:instrText>
      </w:r>
      <w:r>
        <w:fldChar w:fldCharType="separate"/>
      </w:r>
      <w:r>
        <w:t>55</w:t>
      </w:r>
      <w:r>
        <w:fldChar w:fldCharType="end"/>
      </w:r>
    </w:p>
    <w:p w14:paraId="2BC0CA7E" w14:textId="0F3063D7" w:rsidR="002E20AC" w:rsidRDefault="002E20AC" w:rsidP="00371051">
      <w:pPr>
        <w:pStyle w:val="NormalText"/>
        <w:sectPr w:rsidR="002E20AC" w:rsidSect="00CB58D6">
          <w:headerReference w:type="even" r:id="rId18"/>
          <w:headerReference w:type="default" r:id="rId19"/>
          <w:footerReference w:type="default" r:id="rId20"/>
          <w:pgSz w:w="11906" w:h="16838" w:code="9"/>
          <w:pgMar w:top="2835" w:right="1134" w:bottom="1134" w:left="1134" w:header="1701" w:footer="680" w:gutter="0"/>
          <w:pgNumType w:fmt="lowerRoman"/>
          <w:cols w:space="708"/>
          <w:docGrid w:linePitch="360"/>
        </w:sectPr>
      </w:pPr>
      <w:r>
        <w:rPr>
          <w:rFonts w:ascii="Trebuchet MS" w:hAnsi="Trebuchet MS"/>
          <w:b/>
          <w:bCs/>
          <w:caps/>
          <w:noProof/>
          <w:color w:val="365860"/>
          <w:sz w:val="32"/>
          <w:szCs w:val="20"/>
        </w:rPr>
        <w:fldChar w:fldCharType="end"/>
      </w:r>
    </w:p>
    <w:p w14:paraId="1E250DF4" w14:textId="6D881218" w:rsidR="002E20AC" w:rsidRDefault="0029069C" w:rsidP="00D23D6A">
      <w:pPr>
        <w:pStyle w:val="APVMAPreliminariesH1"/>
      </w:pPr>
      <w:bookmarkStart w:id="2" w:name="_Toc14340823"/>
      <w:r>
        <w:lastRenderedPageBreak/>
        <w:t>Background</w:t>
      </w:r>
      <w:bookmarkEnd w:id="2"/>
    </w:p>
    <w:p w14:paraId="0E951CBD" w14:textId="77777777" w:rsidR="0029069C" w:rsidRPr="0029069C" w:rsidRDefault="0029069C" w:rsidP="0029069C">
      <w:pPr>
        <w:pStyle w:val="NormalText"/>
      </w:pPr>
      <w:r w:rsidRPr="0029069C">
        <w:t>The possibility of off-target spray drift accompanying the application of pesticides is a concern both to the community and the agricultural industry, for whom it is a constant challenge to find ways to minimise off target drift more effectively. The APVMA is responsible for ensuring that off-target pesticide spray drift does not harm human health, the environment or Australia’s international trade. The potential for off-target drift to cause harm must be considered by the APVMA.</w:t>
      </w:r>
    </w:p>
    <w:p w14:paraId="097C4300" w14:textId="77777777" w:rsidR="0029069C" w:rsidRPr="0029069C" w:rsidRDefault="0029069C" w:rsidP="0029069C">
      <w:pPr>
        <w:pStyle w:val="NormalText"/>
      </w:pPr>
      <w:r w:rsidRPr="0029069C">
        <w:t xml:space="preserve">In July 2008, </w:t>
      </w:r>
      <w:r>
        <w:t xml:space="preserve">the </w:t>
      </w:r>
      <w:r w:rsidRPr="0029069C">
        <w:t>APVMA released a revised version of the policy document ‘APVMA Operating Principles in Relation to Spray Drift Risk’ and then in March 2010, implemented regulations requiring new pesticide products seeking registration to be assessed for their potential risk of spray drift as part of the registration process. This included the development of an Operational Notice, which is in effect a form of code/manual. Label instructions for new products now have to include statements that describe mandatory no-spray (buffer) zones w</w:t>
      </w:r>
      <w:r>
        <w:t>here applicable.</w:t>
      </w:r>
    </w:p>
    <w:p w14:paraId="7F22FD49" w14:textId="77777777" w:rsidR="0029069C" w:rsidRPr="0029069C" w:rsidRDefault="0029069C" w:rsidP="0029069C">
      <w:pPr>
        <w:pStyle w:val="NormalText"/>
      </w:pPr>
      <w:r>
        <w:t xml:space="preserve">The </w:t>
      </w:r>
      <w:r w:rsidRPr="0029069C">
        <w:t xml:space="preserve">APVMA’s current approach for addressing the risk of spray drift has a number of limitations, including lack of flexibility and ability to adopt newer systems/technologies to reduce the risk of spray drift. Assessment is based around worst case scenarios and provides no incentive for spray applicators to adopt best practice, new technology and/or operations that will limit spray drift. There is also some concern that </w:t>
      </w:r>
      <w:r>
        <w:t xml:space="preserve">the </w:t>
      </w:r>
      <w:r w:rsidRPr="0029069C">
        <w:t>APVMA’s current approach to spray drift and labelling requirements has become a deterrent to the inclusion of some types of spray applications and uses on approved labels.</w:t>
      </w:r>
    </w:p>
    <w:p w14:paraId="7C5BD2C0" w14:textId="77777777" w:rsidR="0029069C" w:rsidRDefault="0029069C" w:rsidP="0029069C">
      <w:pPr>
        <w:pStyle w:val="NormalText"/>
      </w:pPr>
      <w:r>
        <w:t xml:space="preserve">The </w:t>
      </w:r>
      <w:r w:rsidRPr="0029069C">
        <w:t>APVMA therefore began a project in 2013 to develop a new spray drift regulatory framework that will enable more reasonable buffer zones to be set. The intention of this new approach was to provide a set of publicly available online tools on the APVMA website for calculating spray drift and setting buffers that can be used by:</w:t>
      </w:r>
    </w:p>
    <w:p w14:paraId="69B10C0E" w14:textId="77777777" w:rsidR="0029069C" w:rsidRPr="0029069C" w:rsidRDefault="0029069C" w:rsidP="0029069C">
      <w:pPr>
        <w:pStyle w:val="Bullet1"/>
      </w:pPr>
      <w:r w:rsidRPr="0029069C">
        <w:t>APVMA Risk Managers to set spray drift label requirements when processing a product application for registration</w:t>
      </w:r>
    </w:p>
    <w:p w14:paraId="48285C1D" w14:textId="77777777" w:rsidR="0029069C" w:rsidRPr="0029069C" w:rsidRDefault="0029069C" w:rsidP="0029069C">
      <w:pPr>
        <w:pStyle w:val="Bullet1"/>
      </w:pPr>
      <w:r w:rsidRPr="0029069C">
        <w:t>prospective registrants to enable them to predict the likely restraints that may be required on the use of their product</w:t>
      </w:r>
    </w:p>
    <w:p w14:paraId="4F629502" w14:textId="77777777" w:rsidR="0029069C" w:rsidRPr="0029069C" w:rsidRDefault="0029069C" w:rsidP="0029069C">
      <w:pPr>
        <w:pStyle w:val="Bullet1"/>
      </w:pPr>
      <w:r w:rsidRPr="0029069C">
        <w:t>external or APVMA scientific reviewers that are making recommendations on appropriate risk mitigation to the APVMA Risk Managers</w:t>
      </w:r>
    </w:p>
    <w:p w14:paraId="13FB4AB7" w14:textId="77777777" w:rsidR="0029069C" w:rsidRDefault="0029069C" w:rsidP="0029069C">
      <w:pPr>
        <w:pStyle w:val="Bullet1"/>
      </w:pPr>
      <w:r w:rsidRPr="0029069C">
        <w:t>industry to help select the most appropriate set of parameters for conducting spray operations in order to minimise drift and required buffers. This will greatly aid the adoption of new technology/best practice by industry.</w:t>
      </w:r>
    </w:p>
    <w:p w14:paraId="2A6E11EB" w14:textId="77777777" w:rsidR="0029069C" w:rsidRPr="0029069C" w:rsidRDefault="0029069C" w:rsidP="0029069C">
      <w:pPr>
        <w:pStyle w:val="NormalText"/>
      </w:pPr>
      <w:r w:rsidRPr="0029069C">
        <w:t xml:space="preserve">Various sectors of industry, largely coordinated through the National Working Party on Pesticide Application (NWPPA), have generated information that has assisted or been incorporated into </w:t>
      </w:r>
      <w:r>
        <w:t xml:space="preserve">the </w:t>
      </w:r>
      <w:r w:rsidRPr="0029069C">
        <w:t>APVMA’s new spray drift management approach and/or provided comment on elements of the new approach.</w:t>
      </w:r>
    </w:p>
    <w:p w14:paraId="5BB22A21" w14:textId="78CDBCD2" w:rsidR="0029069C" w:rsidRPr="0029069C" w:rsidRDefault="0029069C" w:rsidP="0029069C">
      <w:pPr>
        <w:pStyle w:val="NormalText"/>
      </w:pPr>
      <w:r w:rsidRPr="0029069C">
        <w:t>Consultation on the spray drift management approach was undertaken from 18 December 2017 to 30 March 2018, with consideration of comments received in preparation of this manual. During consultation it was proposed that the approac</w:t>
      </w:r>
      <w:r w:rsidR="00460E9D">
        <w:t>h be introduced in two stages (f</w:t>
      </w:r>
      <w:r w:rsidRPr="0029069C">
        <w:t xml:space="preserve">igure 1). </w:t>
      </w:r>
      <w:r>
        <w:t>Stage one</w:t>
      </w:r>
      <w:r w:rsidRPr="0029069C">
        <w:t xml:space="preserve"> includes aspects up to establishing a product label or permit instructions. </w:t>
      </w:r>
      <w:r>
        <w:t>Stage two</w:t>
      </w:r>
      <w:r w:rsidRPr="0029069C">
        <w:t xml:space="preserve"> potentially involves an interactive spray drift management tool (SDMT) that would allow chemical users to refine the realistic worst-case risk assessments used in the standard assessment and recalculate buffer zone distances based on their own circumstances. </w:t>
      </w:r>
      <w:r w:rsidR="00460E9D">
        <w:t>Prior to introduction of s</w:t>
      </w:r>
      <w:r>
        <w:t>tage two</w:t>
      </w:r>
      <w:r w:rsidRPr="0029069C">
        <w:t>, an Excel-</w:t>
      </w:r>
      <w:r w:rsidRPr="0029069C">
        <w:lastRenderedPageBreak/>
        <w:t>based SDMT will be used by the APVMA to put buffers relevant to the use of drift reducing technologies (DRTs) on labels or permits</w:t>
      </w:r>
      <w:r w:rsidR="00B9159B">
        <w:t>.</w:t>
      </w:r>
    </w:p>
    <w:p w14:paraId="5D0711F2" w14:textId="77777777" w:rsidR="0029069C" w:rsidRPr="0029069C" w:rsidRDefault="00BB6361" w:rsidP="00B9159B">
      <w:pPr>
        <w:pStyle w:val="Caption"/>
      </w:pPr>
      <w:r w:rsidRPr="00B9159B">
        <w:rPr>
          <w:noProof/>
          <w:lang w:eastAsia="en-AU"/>
        </w:rPr>
        <w:drawing>
          <wp:anchor distT="0" distB="0" distL="114300" distR="114300" simplePos="0" relativeHeight="251658240" behindDoc="0" locked="0" layoutInCell="1" allowOverlap="1" wp14:anchorId="5A9375F5" wp14:editId="5E61EAE1">
            <wp:simplePos x="0" y="0"/>
            <wp:positionH relativeFrom="column">
              <wp:posOffset>3810</wp:posOffset>
            </wp:positionH>
            <wp:positionV relativeFrom="paragraph">
              <wp:posOffset>292100</wp:posOffset>
            </wp:positionV>
            <wp:extent cx="6120130" cy="3565525"/>
            <wp:effectExtent l="0" t="0" r="0" b="0"/>
            <wp:wrapSquare wrapText="bothSides"/>
            <wp:docPr id="2" name="Picture 2" descr="The flow of information in the Spray Drift Risk Assessment Manual including regulatory acceptable levels, deposition curves, use instructions, spray drift risk assessment tool and spray drift management tool." title="Overview of the staged approach to spray drift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VR-01\Users\aelliott\Desktop\Figure 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0130" cy="3565525"/>
                    </a:xfrm>
                    <a:prstGeom prst="rect">
                      <a:avLst/>
                    </a:prstGeom>
                    <a:noFill/>
                    <a:ln>
                      <a:noFill/>
                    </a:ln>
                  </pic:spPr>
                </pic:pic>
              </a:graphicData>
            </a:graphic>
            <wp14:sizeRelH relativeFrom="page">
              <wp14:pctWidth>0</wp14:pctWidth>
            </wp14:sizeRelH>
            <wp14:sizeRelV relativeFrom="page">
              <wp14:pctHeight>0</wp14:pctHeight>
            </wp14:sizeRelV>
          </wp:anchor>
        </w:drawing>
      </w:r>
      <w:r w:rsidR="00B9159B">
        <w:t>Figure 1: Overview of the staged approach to spray drift management</w:t>
      </w:r>
    </w:p>
    <w:p w14:paraId="73486892" w14:textId="19854D4E" w:rsidR="00B9159B" w:rsidRPr="00B9159B" w:rsidRDefault="00B9159B" w:rsidP="00B9159B">
      <w:pPr>
        <w:pStyle w:val="NormalText"/>
      </w:pPr>
      <w:r w:rsidRPr="00B9159B">
        <w:t>Under the new spray drift management approach, there are no changes to the current items and modules for registration applications. Applicants would continue to submit relevant inf</w:t>
      </w:r>
      <w:r w:rsidR="008527C4">
        <w:t>ormation packages to allow the r</w:t>
      </w:r>
      <w:r w:rsidRPr="00B9159B">
        <w:t xml:space="preserve">egulatory </w:t>
      </w:r>
      <w:r w:rsidR="008527C4">
        <w:t>a</w:t>
      </w:r>
      <w:r w:rsidRPr="00B9159B">
        <w:t xml:space="preserve">cceptable </w:t>
      </w:r>
      <w:r w:rsidR="008527C4">
        <w:t>l</w:t>
      </w:r>
      <w:r w:rsidRPr="00B9159B">
        <w:t xml:space="preserve">evels (RALs) to be determined. The method used to determine the RAL is described in section 3 of this </w:t>
      </w:r>
      <w:r w:rsidR="008527C4">
        <w:t>spray drift risk assessment m</w:t>
      </w:r>
      <w:r w:rsidR="00F807AA">
        <w:t>anual (SDRAM).</w:t>
      </w:r>
    </w:p>
    <w:p w14:paraId="3BE0AC50" w14:textId="1DFFD799" w:rsidR="00B9159B" w:rsidRPr="00B9159B" w:rsidRDefault="00B9159B" w:rsidP="00B9159B">
      <w:pPr>
        <w:pStyle w:val="NormalText"/>
      </w:pPr>
      <w:r w:rsidRPr="00B9159B">
        <w:t>Standard deposition curves (outlined in section 4) will be used to determine buffer zones based on realistic worst case scenarios. Applicants will also have an option to provide information to determine</w:t>
      </w:r>
      <w:r w:rsidR="008527C4">
        <w:t xml:space="preserve"> custom deposition curves. The </w:t>
      </w:r>
      <w:r w:rsidR="00F807AA">
        <w:t>spray d</w:t>
      </w:r>
      <w:r w:rsidR="002E4D78" w:rsidRPr="00B9159B">
        <w:t xml:space="preserve">rift </w:t>
      </w:r>
      <w:r w:rsidR="00F807AA">
        <w:t>data g</w:t>
      </w:r>
      <w:r w:rsidR="002E4D78" w:rsidRPr="00B9159B">
        <w:t>uideline</w:t>
      </w:r>
      <w:r w:rsidRPr="00B9159B">
        <w:t xml:space="preserve"> describes how spray drift information and data may be generated and submitted.</w:t>
      </w:r>
    </w:p>
    <w:p w14:paraId="353F5BE5" w14:textId="628D8D0B" w:rsidR="00B9159B" w:rsidRPr="00B9159B" w:rsidRDefault="00B9159B" w:rsidP="00B9159B">
      <w:pPr>
        <w:pStyle w:val="NormalText"/>
      </w:pPr>
      <w:r w:rsidRPr="00B9159B">
        <w:t>The approved</w:t>
      </w:r>
      <w:r w:rsidR="008527C4">
        <w:t xml:space="preserve"> RAL would be entered into the spray drift r</w:t>
      </w:r>
      <w:r w:rsidRPr="00B9159B">
        <w:t xml:space="preserve">isk </w:t>
      </w:r>
      <w:r w:rsidR="008527C4">
        <w:t>assessment t</w:t>
      </w:r>
      <w:r w:rsidRPr="00B9159B">
        <w:t>ool (SDRAT) that is described in section 6 and the appropriate standard deposition curve selected. The SDRAT contains approved label instructions (section 5) and will be used to generate the label instructions, including buffer zones and spray drift restraints.</w:t>
      </w:r>
    </w:p>
    <w:p w14:paraId="5AB52A12" w14:textId="127245C3" w:rsidR="00B9159B" w:rsidRPr="00B9159B" w:rsidRDefault="008527C4" w:rsidP="00B9159B">
      <w:pPr>
        <w:pStyle w:val="NormalText"/>
      </w:pPr>
      <w:r>
        <w:t>The spray drift m</w:t>
      </w:r>
      <w:r w:rsidR="00B9159B" w:rsidRPr="00B9159B">
        <w:t>anag</w:t>
      </w:r>
      <w:r>
        <w:t>ement t</w:t>
      </w:r>
      <w:r w:rsidR="0043717A">
        <w:t>ool</w:t>
      </w:r>
      <w:r w:rsidR="00B9159B" w:rsidRPr="00B9159B">
        <w:t xml:space="preserve"> will </w:t>
      </w:r>
      <w:r w:rsidR="00B9159B">
        <w:t>in stage one</w:t>
      </w:r>
      <w:r w:rsidR="00B9159B" w:rsidRPr="00B9159B">
        <w:t xml:space="preserve"> be used by the APVMA to put buffers relevant to the use of DRTs on labels or permits. In the future its use may be expanded to allow users to reduce buffer zones where they are using DRTs to a greater extent than required by the approved label (or permit). Buffer zones and conditions can be recalculated according to, for example, the chemical user’s specific equipment, application rate and weather conditions that are relevant to their own circumstances.</w:t>
      </w:r>
    </w:p>
    <w:p w14:paraId="731BD21F" w14:textId="77777777" w:rsidR="00B9159B" w:rsidRPr="00B9159B" w:rsidRDefault="00B9159B" w:rsidP="00B9159B">
      <w:pPr>
        <w:pStyle w:val="NormalText"/>
      </w:pPr>
      <w:r w:rsidRPr="00B9159B">
        <w:t xml:space="preserve">Further consultation on the </w:t>
      </w:r>
      <w:r>
        <w:t>spray drift management approach—stage one</w:t>
      </w:r>
      <w:r w:rsidRPr="00B9159B">
        <w:t xml:space="preserve"> was undertaken from 19 November 2018 to 8 March 2019, with consideration of comments received in preparation of this manual.</w:t>
      </w:r>
    </w:p>
    <w:p w14:paraId="0D58EA72" w14:textId="77777777" w:rsidR="002E20AC" w:rsidRDefault="00B9159B">
      <w:pPr>
        <w:pStyle w:val="NormalText"/>
        <w:sectPr w:rsidR="002E20AC" w:rsidSect="00CB58D6">
          <w:headerReference w:type="default" r:id="rId22"/>
          <w:pgSz w:w="11906" w:h="16838" w:code="9"/>
          <w:pgMar w:top="2835" w:right="1134" w:bottom="1134" w:left="1134" w:header="1701" w:footer="680" w:gutter="0"/>
          <w:pgNumType w:start="6"/>
          <w:cols w:space="708"/>
          <w:docGrid w:linePitch="360"/>
        </w:sectPr>
      </w:pPr>
      <w:r w:rsidRPr="00B9159B">
        <w:lastRenderedPageBreak/>
        <w:t>The APVMA’s proposed new spray drift management approach is outlined in the remainder of this manual. It will initially only apply to new chemistries and chemical reviews and may be extended to existing products on a priority basis. The manual</w:t>
      </w:r>
      <w:r>
        <w:t xml:space="preserve"> covers stage one</w:t>
      </w:r>
      <w:r w:rsidRPr="00B9159B">
        <w:t xml:space="preserve"> only and will be updated to include the interactive SDMT once</w:t>
      </w:r>
      <w:r>
        <w:t xml:space="preserve"> stage two</w:t>
      </w:r>
      <w:r w:rsidRPr="00B9159B">
        <w:t xml:space="preserve"> is finalised.</w:t>
      </w:r>
    </w:p>
    <w:p w14:paraId="2726E292" w14:textId="77777777" w:rsidR="002E20AC" w:rsidRDefault="00B9159B" w:rsidP="00D23D6A">
      <w:pPr>
        <w:pStyle w:val="Heading1"/>
      </w:pPr>
      <w:bookmarkStart w:id="3" w:name="_Toc14340824"/>
      <w:r>
        <w:lastRenderedPageBreak/>
        <w:t>General information</w:t>
      </w:r>
      <w:bookmarkEnd w:id="3"/>
    </w:p>
    <w:p w14:paraId="19CEB5A3" w14:textId="77777777" w:rsidR="00B9159B" w:rsidRDefault="00B9159B" w:rsidP="00B9159B">
      <w:pPr>
        <w:pStyle w:val="Heading2"/>
      </w:pPr>
      <w:bookmarkStart w:id="4" w:name="_Toc14340825"/>
      <w:r>
        <w:t>Introduction</w:t>
      </w:r>
      <w:bookmarkEnd w:id="4"/>
    </w:p>
    <w:p w14:paraId="2A1AE357" w14:textId="77777777" w:rsidR="00B9159B" w:rsidRPr="00B9159B" w:rsidRDefault="00B9159B" w:rsidP="00B9159B">
      <w:pPr>
        <w:pStyle w:val="NormalText"/>
      </w:pPr>
      <w:r w:rsidRPr="00B9159B">
        <w:t>The APVMA conducts spray drift risk assessments in order to ensure that pesticide products can be used in a manner that will not adversely impact the health and safety of human beings or the environment and not unduly prejudice international trade.</w:t>
      </w:r>
    </w:p>
    <w:p w14:paraId="64905220" w14:textId="78F36BE5" w:rsidR="00B9159B" w:rsidRPr="00B9159B" w:rsidRDefault="00B9159B" w:rsidP="00B9159B">
      <w:pPr>
        <w:pStyle w:val="NormalText"/>
      </w:pPr>
      <w:r w:rsidRPr="00B9159B">
        <w:t>Spray drift is defined by the APVMA as the movement of spray droplets of a pesticide outside of the application site during, or shortly after, application. It does not encompass off-target movement of a pesticide caused by runoff, volatilisation, erosion, or any other mechanism that occurs after spray droplets reach their intended target. Specific definitions for terminology used in this manual are listed in the glossary.</w:t>
      </w:r>
    </w:p>
    <w:p w14:paraId="0FAB8772" w14:textId="77777777" w:rsidR="00B9159B" w:rsidRPr="00B9159B" w:rsidRDefault="00B9159B" w:rsidP="00B9159B">
      <w:pPr>
        <w:pStyle w:val="NormalText"/>
      </w:pPr>
      <w:r w:rsidRPr="00B9159B">
        <w:t>This manual applies to any spray drift risk assessment conducted during:</w:t>
      </w:r>
    </w:p>
    <w:p w14:paraId="4277D085" w14:textId="77777777" w:rsidR="00B9159B" w:rsidRPr="00B9159B" w:rsidRDefault="00B9159B" w:rsidP="00B9159B">
      <w:pPr>
        <w:pStyle w:val="Bullet1"/>
      </w:pPr>
      <w:r w:rsidRPr="00B9159B">
        <w:t>the evaluation of an application to the APVMA:</w:t>
      </w:r>
    </w:p>
    <w:p w14:paraId="09874953" w14:textId="77777777" w:rsidR="00B9159B" w:rsidRPr="00B9159B" w:rsidRDefault="008516F4" w:rsidP="00B9159B">
      <w:pPr>
        <w:pStyle w:val="Bullet2"/>
        <w:rPr>
          <w:rStyle w:val="Hyperlink"/>
        </w:rPr>
      </w:pPr>
      <w:hyperlink r:id="rId23" w:history="1">
        <w:r w:rsidR="00B9159B" w:rsidRPr="00B9159B">
          <w:rPr>
            <w:rStyle w:val="Hyperlink"/>
          </w:rPr>
          <w:t>to register a new product or to approve a label</w:t>
        </w:r>
      </w:hyperlink>
    </w:p>
    <w:p w14:paraId="2614A1D0" w14:textId="77777777" w:rsidR="00B9159B" w:rsidRPr="00B9159B" w:rsidRDefault="008516F4" w:rsidP="00B9159B">
      <w:pPr>
        <w:pStyle w:val="Bullet2"/>
        <w:rPr>
          <w:rStyle w:val="Hyperlink"/>
        </w:rPr>
      </w:pPr>
      <w:hyperlink r:id="rId24" w:history="1">
        <w:r w:rsidR="00B9159B" w:rsidRPr="00B9159B">
          <w:rPr>
            <w:rStyle w:val="Hyperlink"/>
          </w:rPr>
          <w:t>to vary a registered product or approved label</w:t>
        </w:r>
      </w:hyperlink>
    </w:p>
    <w:p w14:paraId="009065EF" w14:textId="77777777" w:rsidR="00B9159B" w:rsidRPr="00B9159B" w:rsidRDefault="008516F4" w:rsidP="00B9159B">
      <w:pPr>
        <w:pStyle w:val="Bullet2"/>
        <w:rPr>
          <w:rStyle w:val="Hyperlink"/>
        </w:rPr>
      </w:pPr>
      <w:hyperlink r:id="rId25" w:history="1">
        <w:r w:rsidR="00B9159B" w:rsidRPr="00B9159B">
          <w:rPr>
            <w:rStyle w:val="Hyperlink"/>
          </w:rPr>
          <w:t>for a permit</w:t>
        </w:r>
      </w:hyperlink>
    </w:p>
    <w:p w14:paraId="3EA32C3C" w14:textId="595C1DA5" w:rsidR="00B9159B" w:rsidRPr="00B9159B" w:rsidRDefault="00B9159B" w:rsidP="00B9159B">
      <w:pPr>
        <w:pStyle w:val="Bullet1"/>
        <w:rPr>
          <w:rStyle w:val="Hyperlink"/>
          <w:color w:val="auto"/>
          <w:u w:val="none"/>
        </w:rPr>
      </w:pPr>
      <w:r w:rsidRPr="00B9159B">
        <w:t xml:space="preserve">for addition of a custom deposition curve in </w:t>
      </w:r>
      <w:r w:rsidR="008527C4">
        <w:t>the spray d</w:t>
      </w:r>
      <w:r w:rsidR="0043717A">
        <w:t xml:space="preserve">rift </w:t>
      </w:r>
      <w:r w:rsidR="008527C4">
        <w:t>m</w:t>
      </w:r>
      <w:r w:rsidR="0043717A">
        <w:t xml:space="preserve">anagement </w:t>
      </w:r>
      <w:r w:rsidR="008527C4">
        <w:t>t</w:t>
      </w:r>
      <w:r w:rsidR="0043717A">
        <w:t>ool</w:t>
      </w:r>
      <w:r w:rsidRPr="00B9159B">
        <w:t xml:space="preserve"> (see s</w:t>
      </w:r>
      <w:r w:rsidR="00F31789">
        <w:t>ection 7.3</w:t>
      </w:r>
      <w:r w:rsidRPr="00B9159B">
        <w:t>)</w:t>
      </w:r>
    </w:p>
    <w:p w14:paraId="14E4CC4C" w14:textId="77777777" w:rsidR="00B9159B" w:rsidRPr="00B9159B" w:rsidRDefault="00B9159B" w:rsidP="00B9159B">
      <w:pPr>
        <w:pStyle w:val="Bullet1"/>
        <w:rPr>
          <w:rStyle w:val="Hyperlink"/>
          <w:color w:val="auto"/>
          <w:u w:val="none"/>
        </w:rPr>
      </w:pPr>
      <w:r w:rsidRPr="00B9159B">
        <w:t xml:space="preserve">the reconsideration of registered products or approved labels through the </w:t>
      </w:r>
      <w:hyperlink r:id="rId26" w:history="1">
        <w:r w:rsidRPr="00B9159B">
          <w:rPr>
            <w:rStyle w:val="Hyperlink"/>
            <w:color w:val="auto"/>
            <w:u w:val="none"/>
          </w:rPr>
          <w:t>chemical review program</w:t>
        </w:r>
      </w:hyperlink>
    </w:p>
    <w:p w14:paraId="287E3E07" w14:textId="77777777" w:rsidR="00B9159B" w:rsidRPr="00B9159B" w:rsidRDefault="00B9159B" w:rsidP="00B9159B">
      <w:pPr>
        <w:pStyle w:val="Bullet1"/>
      </w:pPr>
      <w:r w:rsidRPr="00B9159B">
        <w:t xml:space="preserve">for any other purpose in accordance with the provisions of the </w:t>
      </w:r>
      <w:hyperlink r:id="rId27" w:history="1">
        <w:r w:rsidRPr="00B9159B">
          <w:rPr>
            <w:rStyle w:val="Hyperlink"/>
            <w:color w:val="auto"/>
            <w:u w:val="none"/>
          </w:rPr>
          <w:t>Agvet Code</w:t>
        </w:r>
      </w:hyperlink>
      <w:r w:rsidRPr="00B9159B">
        <w:rPr>
          <w:rStyle w:val="Hyperlink"/>
          <w:color w:val="auto"/>
          <w:u w:val="none"/>
        </w:rPr>
        <w:t>.</w:t>
      </w:r>
    </w:p>
    <w:p w14:paraId="0E1E51C9" w14:textId="77777777" w:rsidR="00B9159B" w:rsidRDefault="00F31789" w:rsidP="00F31789">
      <w:pPr>
        <w:pStyle w:val="Heading2"/>
      </w:pPr>
      <w:bookmarkStart w:id="5" w:name="_Toc14340826"/>
      <w:r>
        <w:t>Legislative basis</w:t>
      </w:r>
      <w:bookmarkEnd w:id="5"/>
    </w:p>
    <w:p w14:paraId="3C344B2F" w14:textId="0BB5A408" w:rsidR="00F31789" w:rsidRDefault="00F31789" w:rsidP="00F31789">
      <w:pPr>
        <w:pStyle w:val="NormalText"/>
      </w:pPr>
      <w:r w:rsidRPr="00F31789">
        <w:t xml:space="preserve">The APVMA must comply with its governing legislation. When a decision is made, the following sections of the </w:t>
      </w:r>
      <w:hyperlink r:id="rId28" w:history="1">
        <w:r w:rsidRPr="00F31789">
          <w:rPr>
            <w:rStyle w:val="Hyperlink"/>
          </w:rPr>
          <w:t>Agvet Code</w:t>
        </w:r>
      </w:hyperlink>
      <w:r w:rsidR="008527C4">
        <w:t xml:space="preserve"> a</w:t>
      </w:r>
      <w:r w:rsidRPr="00F31789">
        <w:t>pply:</w:t>
      </w:r>
    </w:p>
    <w:p w14:paraId="3D3528A2" w14:textId="77777777" w:rsidR="00F31789" w:rsidRPr="00F31789" w:rsidRDefault="00F31789" w:rsidP="00F31789">
      <w:pPr>
        <w:pStyle w:val="Bullet1"/>
      </w:pPr>
      <w:r w:rsidRPr="00F31789">
        <w:t>14—registration of a new product or approval of a label</w:t>
      </w:r>
    </w:p>
    <w:p w14:paraId="3B64B188" w14:textId="77777777" w:rsidR="00F31789" w:rsidRPr="00F31789" w:rsidRDefault="00F31789" w:rsidP="00F31789">
      <w:pPr>
        <w:pStyle w:val="Bullet1"/>
      </w:pPr>
      <w:r w:rsidRPr="00F31789">
        <w:t>29 or 29A—variation of a registered product or approved label</w:t>
      </w:r>
    </w:p>
    <w:p w14:paraId="20FB90B7" w14:textId="77777777" w:rsidR="00F31789" w:rsidRPr="00F31789" w:rsidRDefault="00F31789" w:rsidP="00F31789">
      <w:pPr>
        <w:pStyle w:val="Bullet1"/>
      </w:pPr>
      <w:r w:rsidRPr="00F31789">
        <w:t>112—issuance of a permit</w:t>
      </w:r>
    </w:p>
    <w:p w14:paraId="6DEB7BF1" w14:textId="77777777" w:rsidR="00F31789" w:rsidRPr="00F31789" w:rsidRDefault="00F31789" w:rsidP="00F31789">
      <w:pPr>
        <w:pStyle w:val="Bullet1"/>
      </w:pPr>
      <w:r w:rsidRPr="00F31789">
        <w:t>34 or 34(A)—reconsideration of registered products or approved labels.</w:t>
      </w:r>
    </w:p>
    <w:p w14:paraId="7DFEC6FB" w14:textId="77777777" w:rsidR="00F31789" w:rsidRDefault="00F31789" w:rsidP="00F31789">
      <w:pPr>
        <w:pStyle w:val="NormalText"/>
      </w:pPr>
      <w:r>
        <w:t xml:space="preserve">The basis for all of these decisions, in regards to spray drift, is that the APVMA must be satisfied that certain </w:t>
      </w:r>
      <w:hyperlink r:id="rId29" w:history="1">
        <w:r w:rsidRPr="00C559EF">
          <w:rPr>
            <w:rStyle w:val="Hyperlink"/>
          </w:rPr>
          <w:t>statutory criteria</w:t>
        </w:r>
      </w:hyperlink>
      <w:r>
        <w:t xml:space="preserve"> are met, as defined by the following sections of the </w:t>
      </w:r>
      <w:hyperlink r:id="rId30" w:history="1">
        <w:r w:rsidRPr="00C559EF">
          <w:rPr>
            <w:rStyle w:val="Hyperlink"/>
          </w:rPr>
          <w:t>Agvet Code</w:t>
        </w:r>
      </w:hyperlink>
      <w:r>
        <w:t>:</w:t>
      </w:r>
    </w:p>
    <w:p w14:paraId="322483E5" w14:textId="77777777" w:rsidR="00F31789" w:rsidRPr="00F31789" w:rsidRDefault="00F31789" w:rsidP="00F31789">
      <w:pPr>
        <w:pStyle w:val="Bullet1"/>
      </w:pPr>
      <w:r w:rsidRPr="00F31789">
        <w:t>5A—safety</w:t>
      </w:r>
    </w:p>
    <w:p w14:paraId="3DE4B3A5" w14:textId="77777777" w:rsidR="00F31789" w:rsidRPr="00F31789" w:rsidRDefault="00F31789" w:rsidP="00F31789">
      <w:pPr>
        <w:pStyle w:val="Bullet1"/>
      </w:pPr>
      <w:r w:rsidRPr="00F31789">
        <w:t>5C—trade</w:t>
      </w:r>
    </w:p>
    <w:p w14:paraId="09CC976A" w14:textId="77777777" w:rsidR="00F31789" w:rsidRDefault="00F31789" w:rsidP="00F31789">
      <w:pPr>
        <w:pStyle w:val="Bullet1"/>
        <w:sectPr w:rsidR="00F31789" w:rsidSect="00CB58D6">
          <w:headerReference w:type="default" r:id="rId31"/>
          <w:pgSz w:w="11906" w:h="16838" w:code="9"/>
          <w:pgMar w:top="2835" w:right="1134" w:bottom="1134" w:left="1134" w:header="1701" w:footer="680" w:gutter="0"/>
          <w:cols w:space="708"/>
          <w:docGrid w:linePitch="360"/>
        </w:sectPr>
      </w:pPr>
      <w:r w:rsidRPr="00F31789">
        <w:t>5D—labelling (with respect to how the product should be used in order to manage spray drift to satisfy the safety and trade criteria).</w:t>
      </w:r>
    </w:p>
    <w:p w14:paraId="08D96227" w14:textId="77777777" w:rsidR="00F31789" w:rsidRDefault="00F31789" w:rsidP="00F31789">
      <w:pPr>
        <w:pStyle w:val="Heading1"/>
      </w:pPr>
      <w:bookmarkStart w:id="6" w:name="_Toc14340827"/>
      <w:r>
        <w:lastRenderedPageBreak/>
        <w:t>spray drift risk assessment overview</w:t>
      </w:r>
      <w:bookmarkEnd w:id="6"/>
    </w:p>
    <w:p w14:paraId="16971ED4" w14:textId="77777777" w:rsidR="00F31789" w:rsidRPr="00F31789" w:rsidRDefault="00F31789" w:rsidP="00F31789">
      <w:pPr>
        <w:pStyle w:val="NormalText"/>
      </w:pPr>
      <w:r w:rsidRPr="00F31789">
        <w:t xml:space="preserve">As part of the standard APVMA approach to </w:t>
      </w:r>
      <w:hyperlink r:id="rId32" w:history="1">
        <w:r w:rsidRPr="00F31789">
          <w:rPr>
            <w:rStyle w:val="Hyperlink"/>
          </w:rPr>
          <w:t>risk analysis</w:t>
        </w:r>
      </w:hyperlink>
      <w:r w:rsidRPr="00F31789">
        <w:t>, there are two key regulatory science questions that need to be addressed in any spray drift risk assessment:</w:t>
      </w:r>
    </w:p>
    <w:p w14:paraId="3E866862" w14:textId="77777777" w:rsidR="00F31789" w:rsidRPr="00F31789" w:rsidRDefault="00F31789" w:rsidP="00F31789">
      <w:pPr>
        <w:pStyle w:val="Bullet1"/>
      </w:pPr>
      <w:r>
        <w:t>d</w:t>
      </w:r>
      <w:r w:rsidRPr="00F31789">
        <w:t>oes the product pose a hazard to an off-target area that requires protection?</w:t>
      </w:r>
    </w:p>
    <w:p w14:paraId="455F4860" w14:textId="77777777" w:rsidR="00F31789" w:rsidRPr="00F31789" w:rsidRDefault="00F31789" w:rsidP="00F31789">
      <w:pPr>
        <w:pStyle w:val="Bullet1"/>
      </w:pPr>
      <w:r>
        <w:t>d</w:t>
      </w:r>
      <w:r w:rsidRPr="00F31789">
        <w:t>oes the manner in which the product is applied result in exposure to an area requiring protection that is outside the target area?</w:t>
      </w:r>
    </w:p>
    <w:p w14:paraId="73685D5E" w14:textId="1381190A" w:rsidR="00F31789" w:rsidRPr="00F31789" w:rsidRDefault="00F31789" w:rsidP="00F31789">
      <w:pPr>
        <w:pStyle w:val="NormalText"/>
      </w:pPr>
      <w:r w:rsidRPr="00F31789">
        <w:t>These questions require the problem to be defined; specifically, what are the areas that require protection for the APVMA to be satisfied of the statutory criteria when making a decision? In order to formulate this, the statutory criteria are used to develop ‘sensitive areas’, which are representative of what requires protection so that an appropriate determination of the hazard can be made. The assessment of the hazard posed by a product res</w:t>
      </w:r>
      <w:r w:rsidR="008527C4">
        <w:t>ults in the determination of a regulatory acceptable l</w:t>
      </w:r>
      <w:r w:rsidRPr="00F31789">
        <w:t>evel (RAL). The maximum amount of spray drift exposure that is not expected to cause undue harm to a certain sensitive area is a RAL. The sensitive areas, and the process for determining RALs, are described in section 3.</w:t>
      </w:r>
    </w:p>
    <w:p w14:paraId="05D2DED5" w14:textId="77777777" w:rsidR="00F31789" w:rsidRPr="00F31789" w:rsidRDefault="00F31789" w:rsidP="00F31789">
      <w:pPr>
        <w:pStyle w:val="NormalText"/>
      </w:pPr>
      <w:r w:rsidRPr="00F31789">
        <w:t>Once a RAL is established, the possible risk must then be determined by assessing potential exposure. This is done by selecting the downwind deposition curve/s (ie the spray drift deposition pattern) relevant for the use pattern/s being assessed. Refer to section 4 for further details.</w:t>
      </w:r>
    </w:p>
    <w:p w14:paraId="05BB3247" w14:textId="77777777" w:rsidR="00F31789" w:rsidRPr="00F31789" w:rsidRDefault="00F31789" w:rsidP="00F31789">
      <w:pPr>
        <w:pStyle w:val="NormalText"/>
      </w:pPr>
      <w:r w:rsidRPr="00F31789">
        <w:t>The hazard (RALs) and exposure (deposition curves) are then used to determine if a risk is posed, and if so what buffer zone distance is required. Buffer zones (also known as no-spray zones or setbacks) are areas where spraying does not take place between the downwind edge of the application site and an identified sensitive area. Refer to section 2.1 for an overview of buffer zones.</w:t>
      </w:r>
    </w:p>
    <w:p w14:paraId="7984774D" w14:textId="3D30808B" w:rsidR="00F31789" w:rsidRPr="00F31789" w:rsidRDefault="00F31789" w:rsidP="00F31789">
      <w:pPr>
        <w:pStyle w:val="NormalText"/>
      </w:pPr>
      <w:r w:rsidRPr="00F31789">
        <w:t>The implementation of risk management through use instructions is outlined in section 5. These instructions are included in the ‘relevant particulars’ on approved labels or in permit conditions that are esta</w:t>
      </w:r>
      <w:r w:rsidR="008527C4">
        <w:t>blished through the use of the spray drift risk assessment t</w:t>
      </w:r>
      <w:r w:rsidRPr="00F31789">
        <w:t>ool described in section 6. They also provide the basis fo</w:t>
      </w:r>
      <w:r w:rsidR="008527C4">
        <w:t>r conditions on the use of the spray drift management t</w:t>
      </w:r>
      <w:r w:rsidRPr="00F31789">
        <w:t>ool as described in section 7.</w:t>
      </w:r>
    </w:p>
    <w:p w14:paraId="69E1B6F0" w14:textId="77777777" w:rsidR="00F31789" w:rsidRPr="00F31789" w:rsidRDefault="00F31789" w:rsidP="00F31789">
      <w:pPr>
        <w:pStyle w:val="NormalText"/>
      </w:pPr>
      <w:r w:rsidRPr="00F31789">
        <w:t>Risk communication is routinely conducted on a product-by-product basis through interactions between the APVMA and applicants/holders of registrations. Specific communications on issues related to spray drift policy and procedure will be communicated via the APVMA website and emailed regulatory updates.</w:t>
      </w:r>
    </w:p>
    <w:p w14:paraId="1333F9AB" w14:textId="77777777" w:rsidR="00F31789" w:rsidRPr="00F31789" w:rsidRDefault="00F31789" w:rsidP="00F31789">
      <w:pPr>
        <w:pStyle w:val="NormalText"/>
      </w:pPr>
      <w:r w:rsidRPr="00F31789">
        <w:t>The SDRAT is used by the APVMA to conduct a risk assessment of the realistic worst-case scenario for the use of each product. The realistic worst-case is best summarised by considering the following assumptions for different equipment types:</w:t>
      </w:r>
    </w:p>
    <w:p w14:paraId="4BFDDEDA" w14:textId="77777777" w:rsidR="00BB6361" w:rsidRDefault="00BB6361" w:rsidP="00BB6361">
      <w:pPr>
        <w:pStyle w:val="Bullet1"/>
      </w:pPr>
      <w:r>
        <w:t>boom sprayers and aircraft</w:t>
      </w:r>
    </w:p>
    <w:p w14:paraId="655B20D8" w14:textId="77777777" w:rsidR="00BB6361" w:rsidRDefault="00BB6361" w:rsidP="00BB6361">
      <w:pPr>
        <w:pStyle w:val="Bullet2"/>
      </w:pPr>
      <w:r>
        <w:t>standard equipment is set up and used in accordance with good agricultural practice (eg boom is kept as low to the ground as is safe and practical, or boom width is less than wing or rotor span)</w:t>
      </w:r>
    </w:p>
    <w:p w14:paraId="7407DB87" w14:textId="77777777" w:rsidR="00BB6361" w:rsidRDefault="00BB6361" w:rsidP="00BB6361">
      <w:pPr>
        <w:pStyle w:val="Bullet2"/>
      </w:pPr>
      <w:r>
        <w:t>spray droplet size is assumed to be the smallest/finest that could be produced within each spray droplet size category; the spray droplet size category</w:t>
      </w:r>
      <w:r w:rsidDel="007B2FBC">
        <w:t xml:space="preserve"> </w:t>
      </w:r>
      <w:r>
        <w:t>is the largest droplet size category supported under the efficacy criteria</w:t>
      </w:r>
    </w:p>
    <w:p w14:paraId="6C7DBACF" w14:textId="77777777" w:rsidR="00BB6361" w:rsidRDefault="00BB6361" w:rsidP="00BB6361">
      <w:pPr>
        <w:pStyle w:val="Bullet2"/>
      </w:pPr>
      <w:r>
        <w:lastRenderedPageBreak/>
        <w:t>the highest application rate on the label for the use of that equipment type is used</w:t>
      </w:r>
    </w:p>
    <w:p w14:paraId="2E747F47" w14:textId="39363710" w:rsidR="00BB6361" w:rsidRDefault="00BB6361" w:rsidP="00BB6361">
      <w:pPr>
        <w:pStyle w:val="Bullet2"/>
      </w:pPr>
      <w:r>
        <w:t>wind speed is bet</w:t>
      </w:r>
      <w:r w:rsidR="0043717A">
        <w:t>ween the lowest acceptable (ie three</w:t>
      </w:r>
      <w:r>
        <w:t xml:space="preserve"> km/hr) and the highest acceptable (ie 20 km/hr), and no surface temperature inversion conditions are present at the time of application</w:t>
      </w:r>
    </w:p>
    <w:p w14:paraId="464385CF" w14:textId="77777777" w:rsidR="00BB6361" w:rsidRDefault="00BB6361" w:rsidP="00BB6361">
      <w:pPr>
        <w:pStyle w:val="Bullet1"/>
      </w:pPr>
      <w:r>
        <w:t>vertical sprayers</w:t>
      </w:r>
    </w:p>
    <w:p w14:paraId="277126D3" w14:textId="77777777" w:rsidR="00BB6361" w:rsidRDefault="00BB6361" w:rsidP="00BB6361">
      <w:pPr>
        <w:pStyle w:val="Bullet2"/>
      </w:pPr>
      <w:r>
        <w:t>standard equipment (axial-flow airblast sprayer) is set up and used in accordance with good agricultural practice (eg nozzles are not directed above the canopy, outermost side of sprayer is turned off when turning at end of rows and last row on either side of the block)</w:t>
      </w:r>
    </w:p>
    <w:p w14:paraId="3AEB3136" w14:textId="77777777" w:rsidR="00BB6361" w:rsidRDefault="00BB6361" w:rsidP="00BB6361">
      <w:pPr>
        <w:pStyle w:val="Bullet2"/>
      </w:pPr>
      <w:r>
        <w:t>the highest dilution rate and water rate associated with the largest crop on the label is used</w:t>
      </w:r>
    </w:p>
    <w:p w14:paraId="6BCBC62C" w14:textId="1BAB103E" w:rsidR="00BB6361" w:rsidRDefault="00BB6361" w:rsidP="00BB6361">
      <w:pPr>
        <w:pStyle w:val="Bullet2"/>
      </w:pPr>
      <w:r>
        <w:t>wind speed is bet</w:t>
      </w:r>
      <w:r w:rsidR="0043717A">
        <w:t>ween the lowest acceptable (ie three</w:t>
      </w:r>
      <w:r>
        <w:t xml:space="preserve"> km/hr) and the highest acceptable (ie 20 km/hr), and no surface temperature inversion conditions are present at the time of application.</w:t>
      </w:r>
    </w:p>
    <w:p w14:paraId="037E72DC" w14:textId="77777777" w:rsidR="00BB6361" w:rsidRDefault="00BB6361" w:rsidP="00BB6361">
      <w:pPr>
        <w:pStyle w:val="NormalText"/>
      </w:pPr>
      <w:r w:rsidRPr="00FD4CE9">
        <w:t>The SDMT</w:t>
      </w:r>
      <w:r>
        <w:t>,</w:t>
      </w:r>
      <w:r w:rsidRPr="00FD4CE9">
        <w:t xml:space="preserve"> </w:t>
      </w:r>
      <w:r>
        <w:t>when adopted, will allow</w:t>
      </w:r>
      <w:r w:rsidRPr="00FD4CE9">
        <w:t xml:space="preserve"> chemical users to refine these realis</w:t>
      </w:r>
      <w:r>
        <w:t>tic worst-case risk assessments (</w:t>
      </w:r>
      <w:r w:rsidRPr="00FD4CE9">
        <w:t>based on</w:t>
      </w:r>
      <w:r>
        <w:t>, for example,</w:t>
      </w:r>
      <w:r w:rsidRPr="00FD4CE9">
        <w:t xml:space="preserve"> the specific equipment, application rate</w:t>
      </w:r>
      <w:r>
        <w:t xml:space="preserve"> and</w:t>
      </w:r>
      <w:r w:rsidRPr="00FD4CE9">
        <w:t xml:space="preserve"> weather conditions </w:t>
      </w:r>
      <w:r>
        <w:t xml:space="preserve">that are </w:t>
      </w:r>
      <w:r w:rsidRPr="00FD4CE9">
        <w:t>rele</w:t>
      </w:r>
      <w:r>
        <w:t>vant to their own circumstances)</w:t>
      </w:r>
      <w:r w:rsidRPr="00FD4CE9">
        <w:t xml:space="preserve"> </w:t>
      </w:r>
      <w:r>
        <w:t xml:space="preserve">and </w:t>
      </w:r>
      <w:r w:rsidRPr="00FD4CE9">
        <w:t>can recalculate buffer zone distances accordingly.</w:t>
      </w:r>
    </w:p>
    <w:p w14:paraId="2509128D" w14:textId="11BD11F1" w:rsidR="00BB6361" w:rsidRDefault="00BB6361" w:rsidP="00BB6361">
      <w:pPr>
        <w:pStyle w:val="NormalText"/>
      </w:pPr>
      <w:r>
        <w:t>The relationships between key sectio</w:t>
      </w:r>
      <w:r w:rsidR="00460E9D">
        <w:t>ns in this manual are shown in f</w:t>
      </w:r>
      <w:r>
        <w:t>igure 2 (refer to each section for further detail).</w:t>
      </w:r>
    </w:p>
    <w:p w14:paraId="681980A4" w14:textId="77777777" w:rsidR="00BB6361" w:rsidRDefault="00BB6361" w:rsidP="00BB6361">
      <w:pPr>
        <w:pStyle w:val="Caption"/>
      </w:pPr>
      <w:r>
        <w:rPr>
          <w:noProof/>
          <w:lang w:eastAsia="en-AU"/>
        </w:rPr>
        <w:drawing>
          <wp:anchor distT="0" distB="0" distL="114300" distR="114300" simplePos="0" relativeHeight="251660288" behindDoc="0" locked="0" layoutInCell="1" allowOverlap="1" wp14:anchorId="2D2C4716" wp14:editId="16AFF568">
            <wp:simplePos x="0" y="0"/>
            <wp:positionH relativeFrom="margin">
              <wp:posOffset>0</wp:posOffset>
            </wp:positionH>
            <wp:positionV relativeFrom="paragraph">
              <wp:posOffset>332740</wp:posOffset>
            </wp:positionV>
            <wp:extent cx="4858385" cy="3971925"/>
            <wp:effectExtent l="0" t="0" r="0" b="9525"/>
            <wp:wrapTopAndBottom/>
            <wp:docPr id="11" name="Picture 11" descr="Flow diagram showing exposure (deposition curves), hazard (regulatory acceptble levels) and risk (use instructions leading to a realistic assessment of worst case through the spray drift risk assessment tool (SDRAT) and chemical user refinement of risk assessment through the spray drift management tool (SDMT)" title="Relationship of key sections in this man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DRAM - Section relationships.png"/>
                    <pic:cNvPicPr/>
                  </pic:nvPicPr>
                  <pic:blipFill>
                    <a:blip r:embed="rId33">
                      <a:extLst>
                        <a:ext uri="{28A0092B-C50C-407E-A947-70E740481C1C}">
                          <a14:useLocalDpi xmlns:a14="http://schemas.microsoft.com/office/drawing/2010/main" val="0"/>
                        </a:ext>
                      </a:extLst>
                    </a:blip>
                    <a:stretch>
                      <a:fillRect/>
                    </a:stretch>
                  </pic:blipFill>
                  <pic:spPr>
                    <a:xfrm>
                      <a:off x="0" y="0"/>
                      <a:ext cx="4858385" cy="3971925"/>
                    </a:xfrm>
                    <a:prstGeom prst="rect">
                      <a:avLst/>
                    </a:prstGeom>
                  </pic:spPr>
                </pic:pic>
              </a:graphicData>
            </a:graphic>
          </wp:anchor>
        </w:drawing>
      </w:r>
      <w:r>
        <w:t>Figure 2</w:t>
      </w:r>
      <w:r w:rsidRPr="00250C5E">
        <w:t xml:space="preserve">: </w:t>
      </w:r>
      <w:r>
        <w:t>Relationship of key sections in this manual</w:t>
      </w:r>
    </w:p>
    <w:p w14:paraId="3568F01E" w14:textId="3EB67AF9" w:rsidR="00F807AA" w:rsidRDefault="00F807AA" w:rsidP="00F31789">
      <w:pPr>
        <w:pStyle w:val="NormalText"/>
      </w:pPr>
      <w:r>
        <w:br w:type="page"/>
      </w:r>
    </w:p>
    <w:p w14:paraId="15D06EE4" w14:textId="77777777" w:rsidR="00F31789" w:rsidRDefault="00BB6361" w:rsidP="00BB6361">
      <w:pPr>
        <w:pStyle w:val="Heading2"/>
      </w:pPr>
      <w:bookmarkStart w:id="7" w:name="_Toc14340828"/>
      <w:r>
        <w:lastRenderedPageBreak/>
        <w:t>Buffer zones</w:t>
      </w:r>
      <w:bookmarkEnd w:id="7"/>
    </w:p>
    <w:p w14:paraId="783AD8F2" w14:textId="77777777" w:rsidR="00BB6361" w:rsidRPr="00BB6361" w:rsidRDefault="00BB6361" w:rsidP="00BB6361">
      <w:pPr>
        <w:pStyle w:val="NormalText"/>
      </w:pPr>
      <w:r w:rsidRPr="00BB6361">
        <w:t>Spray drift can only travel with the direction of the wind, so buffer zones are always downwind and are not permanently fixed</w:t>
      </w:r>
      <w:r>
        <w:t xml:space="preserve"> with respect to a target area.</w:t>
      </w:r>
    </w:p>
    <w:p w14:paraId="04A1BDFE" w14:textId="4F7356EB" w:rsidR="00BB6361" w:rsidRPr="00BB6361" w:rsidRDefault="00BB6361" w:rsidP="00BB6361">
      <w:pPr>
        <w:pStyle w:val="NormalText"/>
      </w:pPr>
      <w:r w:rsidRPr="00BB6361">
        <w:t xml:space="preserve">All buffer zones on the label are mandatory. To comply with use instructions (see section 5), users must observe the required buffer zone distance (either on the product label or from the use of the </w:t>
      </w:r>
      <w:r w:rsidR="008527C4">
        <w:t>spray drift m</w:t>
      </w:r>
      <w:r w:rsidRPr="00BB6361">
        <w:t xml:space="preserve">anagement </w:t>
      </w:r>
      <w:r w:rsidR="008527C4">
        <w:t>t</w:t>
      </w:r>
      <w:r w:rsidRPr="00BB6361">
        <w:t>ool when it is available).</w:t>
      </w:r>
    </w:p>
    <w:p w14:paraId="4C027956" w14:textId="77777777" w:rsidR="00F31789" w:rsidRDefault="00BB6361" w:rsidP="00BB6361">
      <w:pPr>
        <w:pStyle w:val="Heading3"/>
      </w:pPr>
      <w:bookmarkStart w:id="8" w:name="_Toc14340829"/>
      <w:r>
        <w:t>Calculating buffer zone distances</w:t>
      </w:r>
      <w:bookmarkEnd w:id="8"/>
    </w:p>
    <w:p w14:paraId="15F5BDB3" w14:textId="6F222971" w:rsidR="00BB6361" w:rsidRDefault="00BB6361" w:rsidP="00BB6361">
      <w:pPr>
        <w:pStyle w:val="NormalText"/>
      </w:pPr>
      <w:r w:rsidRPr="00BB6361">
        <w:t>The information used to calculate a buffer zone is described throughout</w:t>
      </w:r>
      <w:r w:rsidR="00460E9D">
        <w:t xml:space="preserve"> this manual and summarised in f</w:t>
      </w:r>
      <w:r w:rsidRPr="00BB6361">
        <w:t>igure 3.</w:t>
      </w:r>
    </w:p>
    <w:p w14:paraId="0F7B2D42" w14:textId="77777777" w:rsidR="00BB6361" w:rsidRPr="00BB6361" w:rsidRDefault="00BB6361" w:rsidP="00BB6361">
      <w:pPr>
        <w:pStyle w:val="Caption"/>
      </w:pPr>
      <w:r>
        <w:rPr>
          <w:noProof/>
          <w:lang w:eastAsia="en-AU"/>
        </w:rPr>
        <w:drawing>
          <wp:anchor distT="0" distB="0" distL="114300" distR="114300" simplePos="0" relativeHeight="251662336" behindDoc="0" locked="0" layoutInCell="1" allowOverlap="1" wp14:anchorId="77664529" wp14:editId="29782072">
            <wp:simplePos x="0" y="0"/>
            <wp:positionH relativeFrom="margin">
              <wp:posOffset>0</wp:posOffset>
            </wp:positionH>
            <wp:positionV relativeFrom="paragraph">
              <wp:posOffset>368300</wp:posOffset>
            </wp:positionV>
            <wp:extent cx="5850000" cy="3200400"/>
            <wp:effectExtent l="0" t="19050" r="0" b="0"/>
            <wp:wrapTopAndBottom/>
            <wp:docPr id="16" name="Diagram 16" descr="Regulatory acceptable levels (RALs), deposition curves and proposed label use instructions are used to set buffer zones" title="Information required to calculate buffer zone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14:sizeRelH relativeFrom="margin">
              <wp14:pctWidth>0</wp14:pctWidth>
            </wp14:sizeRelH>
          </wp:anchor>
        </w:drawing>
      </w:r>
      <w:r w:rsidRPr="00BB6361">
        <w:t>Figure 3: Information required to calculate buffer zones</w:t>
      </w:r>
    </w:p>
    <w:p w14:paraId="0383FD6B" w14:textId="761A83B5" w:rsidR="00BB6361" w:rsidRPr="00BB6361" w:rsidRDefault="00BB6361" w:rsidP="00BB6361">
      <w:pPr>
        <w:pStyle w:val="NormalText"/>
      </w:pPr>
      <w:r w:rsidRPr="00BB6361">
        <w:t>A visual representation of how buffer zo</w:t>
      </w:r>
      <w:r w:rsidR="00460E9D">
        <w:t>nes are calculated is shown in f</w:t>
      </w:r>
      <w:r w:rsidRPr="00BB6361">
        <w:t>igure 4. Here the horizontal black line is the RAL for a certain sensitive area and the orange line is the relevant deposition curve, which decreases in exposure with increasing distance downwind of the target area. In this example, a 15-metre buffer zone would be required for protection of the sensitive area.</w:t>
      </w:r>
    </w:p>
    <w:p w14:paraId="799DAD70" w14:textId="77777777" w:rsidR="00BB6361" w:rsidRPr="00B4042B" w:rsidRDefault="00BB6361" w:rsidP="00BB6361">
      <w:pPr>
        <w:pStyle w:val="Caption"/>
      </w:pPr>
      <w:r>
        <w:rPr>
          <w:noProof/>
          <w:lang w:eastAsia="en-AU"/>
        </w:rPr>
        <w:lastRenderedPageBreak/>
        <w:drawing>
          <wp:anchor distT="0" distB="0" distL="114300" distR="114300" simplePos="0" relativeHeight="251664384" behindDoc="0" locked="0" layoutInCell="1" allowOverlap="1" wp14:anchorId="00817448" wp14:editId="0156B0D9">
            <wp:simplePos x="0" y="0"/>
            <wp:positionH relativeFrom="margin">
              <wp:posOffset>0</wp:posOffset>
            </wp:positionH>
            <wp:positionV relativeFrom="paragraph">
              <wp:posOffset>292100</wp:posOffset>
            </wp:positionV>
            <wp:extent cx="5849620" cy="3822700"/>
            <wp:effectExtent l="0" t="0" r="0" b="6350"/>
            <wp:wrapTopAndBottom/>
            <wp:docPr id="17" name="Picture 17" descr="The buffer zone is the minimum downwind distance where the deposition curve is below the RAL." title="How buffer zone distances are calcul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849620" cy="3822700"/>
                    </a:xfrm>
                    <a:prstGeom prst="rect">
                      <a:avLst/>
                    </a:prstGeom>
                    <a:noFill/>
                  </pic:spPr>
                </pic:pic>
              </a:graphicData>
            </a:graphic>
          </wp:anchor>
        </w:drawing>
      </w:r>
      <w:r>
        <w:t>Figure 4: Visual representation of how buffer zone distances are calculated</w:t>
      </w:r>
    </w:p>
    <w:p w14:paraId="31138B0A" w14:textId="77777777" w:rsidR="00F31789" w:rsidRDefault="00BB6361" w:rsidP="00BB6361">
      <w:pPr>
        <w:pStyle w:val="Heading3"/>
      </w:pPr>
      <w:bookmarkStart w:id="9" w:name="_Toc14340830"/>
      <w:r>
        <w:t>Buffer zones and sensitive areas</w:t>
      </w:r>
      <w:bookmarkEnd w:id="9"/>
    </w:p>
    <w:p w14:paraId="55C9C118" w14:textId="36E3FDB9" w:rsidR="00BB6361" w:rsidRDefault="00BB6361" w:rsidP="00BB6361">
      <w:pPr>
        <w:pStyle w:val="NormalText"/>
      </w:pPr>
      <w:r>
        <w:t>Five different type of sensitive areas are considered in establishing relevant buffer zo</w:t>
      </w:r>
      <w:r w:rsidR="0043717A">
        <w:t>nes and these are described in t</w:t>
      </w:r>
      <w:r>
        <w:t>able 1.</w:t>
      </w:r>
    </w:p>
    <w:p w14:paraId="380193FB" w14:textId="77777777" w:rsidR="002E20AC" w:rsidRDefault="00E073D4" w:rsidP="00E073D4">
      <w:pPr>
        <w:pStyle w:val="Caption"/>
      </w:pPr>
      <w:bookmarkStart w:id="10" w:name="_Toc89173138"/>
      <w:bookmarkStart w:id="11" w:name="_Toc89174618"/>
      <w:bookmarkStart w:id="12" w:name="_Toc14340880"/>
      <w:r>
        <w:t xml:space="preserve">Table </w:t>
      </w:r>
      <w:r w:rsidR="00371051">
        <w:rPr>
          <w:noProof/>
        </w:rPr>
        <w:fldChar w:fldCharType="begin"/>
      </w:r>
      <w:r w:rsidR="00371051">
        <w:rPr>
          <w:noProof/>
        </w:rPr>
        <w:instrText xml:space="preserve"> SEQ Table \* ARABIC </w:instrText>
      </w:r>
      <w:r w:rsidR="00371051">
        <w:rPr>
          <w:noProof/>
        </w:rPr>
        <w:fldChar w:fldCharType="separate"/>
      </w:r>
      <w:r w:rsidR="00037DBD">
        <w:rPr>
          <w:noProof/>
        </w:rPr>
        <w:t>1</w:t>
      </w:r>
      <w:r w:rsidR="00371051">
        <w:rPr>
          <w:noProof/>
        </w:rPr>
        <w:fldChar w:fldCharType="end"/>
      </w:r>
      <w:r w:rsidR="002E20AC">
        <w:t>:</w:t>
      </w:r>
      <w:r w:rsidR="002E20AC">
        <w:tab/>
      </w:r>
      <w:bookmarkEnd w:id="10"/>
      <w:bookmarkEnd w:id="11"/>
      <w:r>
        <w:t>Types of sensitive areas</w:t>
      </w:r>
      <w:bookmarkEnd w:id="12"/>
    </w:p>
    <w:tbl>
      <w:tblPr>
        <w:tblW w:w="5000" w:type="pct"/>
        <w:tblBorders>
          <w:bottom w:val="dotted" w:sz="2" w:space="0" w:color="auto"/>
          <w:insideH w:val="dotted" w:sz="2" w:space="0" w:color="auto"/>
        </w:tblBorders>
        <w:tblLook w:val="01E0" w:firstRow="1" w:lastRow="1" w:firstColumn="1" w:lastColumn="1" w:noHBand="0" w:noVBand="0"/>
      </w:tblPr>
      <w:tblGrid>
        <w:gridCol w:w="1843"/>
        <w:gridCol w:w="7795"/>
      </w:tblGrid>
      <w:tr w:rsidR="00E073D4" w14:paraId="6FD03D5B" w14:textId="77777777" w:rsidTr="00F807AA">
        <w:trPr>
          <w:cantSplit/>
          <w:tblHeader/>
        </w:trPr>
        <w:tc>
          <w:tcPr>
            <w:tcW w:w="956" w:type="pct"/>
            <w:tcBorders>
              <w:bottom w:val="single" w:sz="4" w:space="0" w:color="auto"/>
            </w:tcBorders>
            <w:shd w:val="clear" w:color="auto" w:fill="53284F"/>
            <w:vAlign w:val="bottom"/>
          </w:tcPr>
          <w:p w14:paraId="2F96CAFE" w14:textId="77777777" w:rsidR="00E073D4" w:rsidRDefault="00E073D4">
            <w:pPr>
              <w:pStyle w:val="APVMATableHead"/>
            </w:pPr>
            <w:r>
              <w:t>Sensitive area</w:t>
            </w:r>
          </w:p>
        </w:tc>
        <w:tc>
          <w:tcPr>
            <w:tcW w:w="4044" w:type="pct"/>
            <w:tcBorders>
              <w:bottom w:val="single" w:sz="4" w:space="0" w:color="auto"/>
            </w:tcBorders>
            <w:shd w:val="clear" w:color="auto" w:fill="53284F"/>
            <w:vAlign w:val="bottom"/>
          </w:tcPr>
          <w:p w14:paraId="46F63EB3" w14:textId="77777777" w:rsidR="00E073D4" w:rsidRDefault="00E073D4">
            <w:pPr>
              <w:pStyle w:val="APVMATableHead"/>
            </w:pPr>
            <w:r>
              <w:t>Explanation</w:t>
            </w:r>
          </w:p>
        </w:tc>
      </w:tr>
      <w:tr w:rsidR="00E073D4" w14:paraId="4FB74610" w14:textId="77777777" w:rsidTr="00F807AA">
        <w:trPr>
          <w:cantSplit/>
        </w:trPr>
        <w:tc>
          <w:tcPr>
            <w:tcW w:w="956" w:type="pct"/>
            <w:tcBorders>
              <w:top w:val="single" w:sz="4" w:space="0" w:color="auto"/>
              <w:bottom w:val="single" w:sz="4" w:space="0" w:color="auto"/>
            </w:tcBorders>
          </w:tcPr>
          <w:p w14:paraId="22CEAE37" w14:textId="77777777" w:rsidR="00E073D4" w:rsidRPr="00E073D4" w:rsidRDefault="00E073D4" w:rsidP="00E073D4">
            <w:pPr>
              <w:pStyle w:val="APVMATableText"/>
            </w:pPr>
            <w:r w:rsidRPr="00E073D4">
              <w:t>Bystander areas</w:t>
            </w:r>
          </w:p>
        </w:tc>
        <w:tc>
          <w:tcPr>
            <w:tcW w:w="4044" w:type="pct"/>
            <w:tcBorders>
              <w:top w:val="single" w:sz="4" w:space="0" w:color="auto"/>
              <w:bottom w:val="single" w:sz="4" w:space="0" w:color="auto"/>
            </w:tcBorders>
          </w:tcPr>
          <w:p w14:paraId="6DFE4C05" w14:textId="77777777" w:rsidR="00E073D4" w:rsidRPr="00E073D4" w:rsidRDefault="00E073D4" w:rsidP="00E073D4">
            <w:pPr>
              <w:pStyle w:val="APVMATableText"/>
            </w:pPr>
            <w:r w:rsidRPr="00E073D4">
              <w:t>‘Bystander areas’ are locations where it is reasonably likely that ‘bystanders’ will be exposed to residues deposited on the ground from spray drift on a regular basis and for an extended period of time (ie several hours per day over a period of a month). Examples of these areas include: residential properties, schools, kindergartens, day care facilities, hospitals, aged care facilities, public or private parks or recreational areas, and areas where manual handling of soil or plants is required.</w:t>
            </w:r>
          </w:p>
        </w:tc>
      </w:tr>
      <w:tr w:rsidR="00E073D4" w14:paraId="128932BB" w14:textId="77777777" w:rsidTr="00F807AA">
        <w:trPr>
          <w:cantSplit/>
        </w:trPr>
        <w:tc>
          <w:tcPr>
            <w:tcW w:w="956" w:type="pct"/>
            <w:tcBorders>
              <w:top w:val="single" w:sz="4" w:space="0" w:color="auto"/>
              <w:bottom w:val="single" w:sz="4" w:space="0" w:color="auto"/>
            </w:tcBorders>
          </w:tcPr>
          <w:p w14:paraId="4507C388" w14:textId="77777777" w:rsidR="00E073D4" w:rsidRPr="00E073D4" w:rsidRDefault="00E073D4" w:rsidP="00E073D4">
            <w:pPr>
              <w:pStyle w:val="APVMATableText"/>
            </w:pPr>
            <w:r w:rsidRPr="00E073D4">
              <w:lastRenderedPageBreak/>
              <w:t>Natural aquatic areas</w:t>
            </w:r>
          </w:p>
        </w:tc>
        <w:tc>
          <w:tcPr>
            <w:tcW w:w="4044" w:type="pct"/>
            <w:tcBorders>
              <w:top w:val="single" w:sz="4" w:space="0" w:color="auto"/>
              <w:bottom w:val="single" w:sz="4" w:space="0" w:color="auto"/>
            </w:tcBorders>
          </w:tcPr>
          <w:p w14:paraId="55E50B93" w14:textId="77777777" w:rsidR="00E073D4" w:rsidRPr="00E073D4" w:rsidRDefault="00E073D4" w:rsidP="00E073D4">
            <w:pPr>
              <w:pStyle w:val="APVMATableText"/>
            </w:pPr>
            <w:r w:rsidRPr="00E073D4">
              <w:t>‘Natural aquatic areas’ are where a ‘watercourse’ (as defined by the</w:t>
            </w:r>
            <w:r w:rsidRPr="00E073D4">
              <w:rPr>
                <w:i/>
              </w:rPr>
              <w:t xml:space="preserve"> Commonwealth Water Act 2007</w:t>
            </w:r>
            <w:r w:rsidRPr="00E073D4">
              <w:t>) is present, with the following exceptions:</w:t>
            </w:r>
          </w:p>
          <w:p w14:paraId="4EF9F811" w14:textId="77777777" w:rsidR="00E073D4" w:rsidRPr="00DF4760" w:rsidRDefault="00E073D4" w:rsidP="00E073D4">
            <w:pPr>
              <w:pStyle w:val="APVMATableBullet"/>
              <w:rPr>
                <w:color w:val="auto"/>
              </w:rPr>
            </w:pPr>
            <w:r w:rsidRPr="00DF4760">
              <w:rPr>
                <w:color w:val="auto"/>
              </w:rPr>
              <w:t>artificial ‘watercourses’ used exclusively for agricultural or ornamental purposes, such as irrigation channels, flood irrigation areas, farm dams, ornamental ponds, golf course dams and those used for aquacultural production</w:t>
            </w:r>
          </w:p>
          <w:p w14:paraId="66AE9311" w14:textId="77777777" w:rsidR="00E073D4" w:rsidRPr="00DF4760" w:rsidRDefault="00E073D4" w:rsidP="00E073D4">
            <w:pPr>
              <w:pStyle w:val="APVMATableBullet"/>
              <w:rPr>
                <w:color w:val="auto"/>
              </w:rPr>
            </w:pPr>
            <w:r w:rsidRPr="00DF4760">
              <w:rPr>
                <w:color w:val="auto"/>
              </w:rPr>
              <w:t>‘watercourses’ that are dry at the time of pesticide application</w:t>
            </w:r>
          </w:p>
          <w:p w14:paraId="524CECC9" w14:textId="77777777" w:rsidR="00E073D4" w:rsidRPr="00DF4760" w:rsidRDefault="00E073D4" w:rsidP="00E073D4">
            <w:pPr>
              <w:pStyle w:val="APVMATableBullet"/>
              <w:rPr>
                <w:color w:val="auto"/>
              </w:rPr>
            </w:pPr>
            <w:r w:rsidRPr="00DF4760">
              <w:rPr>
                <w:color w:val="auto"/>
              </w:rPr>
              <w:t>‘watercourses’ that are commonly identified as ‘puddles’.</w:t>
            </w:r>
          </w:p>
          <w:p w14:paraId="6C24AD4A" w14:textId="77777777" w:rsidR="00E073D4" w:rsidRPr="00E073D4" w:rsidRDefault="00E073D4" w:rsidP="00E073D4">
            <w:pPr>
              <w:pStyle w:val="APVMATableText"/>
            </w:pPr>
            <w:r w:rsidRPr="00E073D4">
              <w:t>‘Buffer zones’ established for the purpose of the ‘natural aquatic area’ may also be used as the basis for the protection of ‘aquacultural production’ but as the buffer zones for ‘natural aquatic areas’ are based on survival at a population or ecosystem level, they may not be sufficient if yield loss or replacement cost within an aquaculture operation is the issue.</w:t>
            </w:r>
          </w:p>
          <w:p w14:paraId="5618DAA8" w14:textId="77777777" w:rsidR="00E073D4" w:rsidRPr="00E073D4" w:rsidRDefault="00E073D4" w:rsidP="00E073D4">
            <w:pPr>
              <w:pStyle w:val="APVMATableText"/>
            </w:pPr>
            <w:r w:rsidRPr="00E073D4">
              <w:t>It is not reasonable to expect that a chemical user can conduct a local area risk assessment of aquatic species (ie below the surface of water) and determine that no aquatic species sensitive to the chemical being used are present.</w:t>
            </w:r>
          </w:p>
        </w:tc>
      </w:tr>
      <w:tr w:rsidR="00E073D4" w14:paraId="2CA4DF55" w14:textId="77777777" w:rsidTr="00F807AA">
        <w:trPr>
          <w:cantSplit/>
        </w:trPr>
        <w:tc>
          <w:tcPr>
            <w:tcW w:w="956" w:type="pct"/>
            <w:tcBorders>
              <w:top w:val="single" w:sz="4" w:space="0" w:color="auto"/>
              <w:bottom w:val="single" w:sz="4" w:space="0" w:color="auto"/>
            </w:tcBorders>
          </w:tcPr>
          <w:p w14:paraId="346BDF4A" w14:textId="77777777" w:rsidR="00E073D4" w:rsidRPr="00E073D4" w:rsidRDefault="00E073D4" w:rsidP="00E073D4">
            <w:pPr>
              <w:pStyle w:val="APVMATableText"/>
            </w:pPr>
            <w:r w:rsidRPr="00E073D4">
              <w:t>Pollinator areas</w:t>
            </w:r>
          </w:p>
        </w:tc>
        <w:tc>
          <w:tcPr>
            <w:tcW w:w="4044" w:type="pct"/>
            <w:tcBorders>
              <w:top w:val="single" w:sz="4" w:space="0" w:color="auto"/>
              <w:bottom w:val="single" w:sz="4" w:space="0" w:color="auto"/>
            </w:tcBorders>
          </w:tcPr>
          <w:p w14:paraId="2961EBEE" w14:textId="77777777" w:rsidR="00E073D4" w:rsidRPr="00E073D4" w:rsidRDefault="00E073D4" w:rsidP="00E073D4">
            <w:pPr>
              <w:pStyle w:val="APVMATableText"/>
            </w:pPr>
            <w:r>
              <w:t>‘</w:t>
            </w:r>
            <w:r w:rsidRPr="00E073D4">
              <w:t>Pollinator areas’ means managed bee hives. This only applies when the manager of those bee hives has provided notification regarding their location to the chemical user, or the person the chemical user is applying agricultural chemical product/s on behalf of, at least 48 hours prior to application of the agricultural chemical product/s. Whilst notification can be made directly (in writing or verbally), the use of the BeeConnected website or smartphone app is acceptable and recommended.</w:t>
            </w:r>
          </w:p>
        </w:tc>
      </w:tr>
      <w:tr w:rsidR="00E073D4" w14:paraId="4CA4395B" w14:textId="77777777" w:rsidTr="00F807AA">
        <w:trPr>
          <w:cantSplit/>
        </w:trPr>
        <w:tc>
          <w:tcPr>
            <w:tcW w:w="956" w:type="pct"/>
            <w:tcBorders>
              <w:top w:val="single" w:sz="4" w:space="0" w:color="auto"/>
              <w:bottom w:val="single" w:sz="4" w:space="0" w:color="auto"/>
            </w:tcBorders>
          </w:tcPr>
          <w:p w14:paraId="4C187980" w14:textId="77777777" w:rsidR="00E073D4" w:rsidRPr="00E073D4" w:rsidRDefault="00E073D4" w:rsidP="00E073D4">
            <w:pPr>
              <w:pStyle w:val="APVMATableText"/>
            </w:pPr>
            <w:r w:rsidRPr="00E073D4">
              <w:t>Vegetation areas</w:t>
            </w:r>
          </w:p>
        </w:tc>
        <w:tc>
          <w:tcPr>
            <w:tcW w:w="4044" w:type="pct"/>
            <w:tcBorders>
              <w:top w:val="single" w:sz="4" w:space="0" w:color="auto"/>
              <w:bottom w:val="single" w:sz="4" w:space="0" w:color="auto"/>
            </w:tcBorders>
          </w:tcPr>
          <w:p w14:paraId="61F9F120" w14:textId="77777777" w:rsidR="00E073D4" w:rsidRPr="00E073D4" w:rsidRDefault="00E073D4" w:rsidP="00E073D4">
            <w:pPr>
              <w:pStyle w:val="APVMATableText"/>
            </w:pPr>
            <w:r w:rsidRPr="00E073D4">
              <w:t>‘Vegetation areas’ are where ‘native vegetation’, ‘agricultural crops’ or ‘landscaped gardens’ are present. It does not include vegetation that has been planted explicitly for purpose of a drift buffer. The RAL for vegetation areas is established on the basis that any area of vegetation will not be impacted at a habitat or ecosystem level (ie acceptable risk not nil risk). However, it is not possible to determine what an appropriate RAL would be for a particular area of vegetation or crop containing only certain species at certain growth stages.</w:t>
            </w:r>
          </w:p>
        </w:tc>
      </w:tr>
      <w:tr w:rsidR="00E073D4" w14:paraId="78510293" w14:textId="77777777" w:rsidTr="00F807AA">
        <w:trPr>
          <w:cantSplit/>
        </w:trPr>
        <w:tc>
          <w:tcPr>
            <w:tcW w:w="956" w:type="pct"/>
            <w:tcBorders>
              <w:top w:val="single" w:sz="4" w:space="0" w:color="auto"/>
              <w:bottom w:val="single" w:sz="4" w:space="0" w:color="auto"/>
            </w:tcBorders>
          </w:tcPr>
          <w:p w14:paraId="53394501" w14:textId="77777777" w:rsidR="00E073D4" w:rsidRPr="00E073D4" w:rsidRDefault="00E073D4" w:rsidP="00E073D4">
            <w:pPr>
              <w:pStyle w:val="APVMATableText"/>
            </w:pPr>
            <w:r w:rsidRPr="00E073D4">
              <w:t>Livestock areas</w:t>
            </w:r>
          </w:p>
        </w:tc>
        <w:tc>
          <w:tcPr>
            <w:tcW w:w="4044" w:type="pct"/>
            <w:tcBorders>
              <w:top w:val="single" w:sz="4" w:space="0" w:color="auto"/>
              <w:bottom w:val="single" w:sz="4" w:space="0" w:color="auto"/>
            </w:tcBorders>
          </w:tcPr>
          <w:p w14:paraId="5719153F" w14:textId="77777777" w:rsidR="00E073D4" w:rsidRPr="00E073D4" w:rsidRDefault="00E073D4" w:rsidP="00E073D4">
            <w:pPr>
              <w:pStyle w:val="APVMATableText"/>
            </w:pPr>
            <w:r w:rsidRPr="00E073D4">
              <w:t>‘Livestock areas’ are those where livestock are grazing. ‘Buffer zones’ for ‘livestock areas’ have been established to protect international trade. These ‘buffer zones’ are based on the Maximum Residue Limit (MRL) Standards of significant export markets for livestock commodities. When the chemical user also manages the livestock, or when neighbours communicate and work cooperatively, risk to livestock trade can be managed by moving livestock further away from the application site, and managing export slaughter intervals.</w:t>
            </w:r>
          </w:p>
        </w:tc>
      </w:tr>
    </w:tbl>
    <w:p w14:paraId="56DCC8CC" w14:textId="75C75F44" w:rsidR="00E073D4" w:rsidRPr="00E073D4" w:rsidRDefault="00E073D4" w:rsidP="00E073D4">
      <w:pPr>
        <w:pStyle w:val="NormalText"/>
      </w:pPr>
      <w:r w:rsidRPr="00E073D4">
        <w:t>The compliance pathway for chemical users to protect sensitive areas when buffer zon</w:t>
      </w:r>
      <w:r w:rsidR="00460E9D">
        <w:t>es are established is shown in f</w:t>
      </w:r>
      <w:r w:rsidRPr="00E073D4">
        <w:t>igure 5.</w:t>
      </w:r>
    </w:p>
    <w:p w14:paraId="6F101CA3" w14:textId="77777777" w:rsidR="00E073D4" w:rsidRPr="00E073D4" w:rsidRDefault="00E073D4" w:rsidP="00E073D4">
      <w:pPr>
        <w:pStyle w:val="Caption"/>
      </w:pPr>
      <w:r w:rsidRPr="00E073D4">
        <w:rPr>
          <w:noProof/>
          <w:lang w:eastAsia="en-AU"/>
        </w:rPr>
        <w:lastRenderedPageBreak/>
        <w:drawing>
          <wp:anchor distT="0" distB="0" distL="114300" distR="114300" simplePos="0" relativeHeight="251666432" behindDoc="0" locked="0" layoutInCell="1" allowOverlap="1" wp14:anchorId="41B05784" wp14:editId="5A5108E0">
            <wp:simplePos x="0" y="0"/>
            <wp:positionH relativeFrom="margin">
              <wp:posOffset>0</wp:posOffset>
            </wp:positionH>
            <wp:positionV relativeFrom="paragraph">
              <wp:posOffset>333375</wp:posOffset>
            </wp:positionV>
            <wp:extent cx="4363085" cy="5153025"/>
            <wp:effectExtent l="0" t="0" r="0" b="0"/>
            <wp:wrapTopAndBottom/>
            <wp:docPr id="10" name="Picture 10" descr="Flow chart of product label or permit use instructions showing when users will comply and when users will not comply." title="Compliance pathway for protecting sensitive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pray drift label instruction compliance.png"/>
                    <pic:cNvPicPr/>
                  </pic:nvPicPr>
                  <pic:blipFill>
                    <a:blip r:embed="rId40">
                      <a:extLst>
                        <a:ext uri="{28A0092B-C50C-407E-A947-70E740481C1C}">
                          <a14:useLocalDpi xmlns:a14="http://schemas.microsoft.com/office/drawing/2010/main" val="0"/>
                        </a:ext>
                      </a:extLst>
                    </a:blip>
                    <a:stretch>
                      <a:fillRect/>
                    </a:stretch>
                  </pic:blipFill>
                  <pic:spPr>
                    <a:xfrm>
                      <a:off x="0" y="0"/>
                      <a:ext cx="4363085" cy="5153025"/>
                    </a:xfrm>
                    <a:prstGeom prst="rect">
                      <a:avLst/>
                    </a:prstGeom>
                  </pic:spPr>
                </pic:pic>
              </a:graphicData>
            </a:graphic>
            <wp14:sizeRelH relativeFrom="margin">
              <wp14:pctWidth>0</wp14:pctWidth>
            </wp14:sizeRelH>
            <wp14:sizeRelV relativeFrom="margin">
              <wp14:pctHeight>0</wp14:pctHeight>
            </wp14:sizeRelV>
          </wp:anchor>
        </w:drawing>
      </w:r>
      <w:r w:rsidRPr="00E073D4">
        <w:t>Figure 5: Compliance pathway</w:t>
      </w:r>
      <w:bookmarkStart w:id="13" w:name="_Toc471917807"/>
      <w:r>
        <w:t xml:space="preserve"> for protecting sensitive areas</w:t>
      </w:r>
    </w:p>
    <w:p w14:paraId="582793F2" w14:textId="77777777" w:rsidR="00E073D4" w:rsidRPr="009B60F8" w:rsidRDefault="00E073D4" w:rsidP="009B60F8">
      <w:pPr>
        <w:pStyle w:val="Heading2"/>
      </w:pPr>
      <w:bookmarkStart w:id="14" w:name="_Toc14340831"/>
      <w:bookmarkEnd w:id="13"/>
      <w:r w:rsidRPr="009B60F8">
        <w:t>Products and use patterns not requiring a spray drift risk assessment</w:t>
      </w:r>
      <w:bookmarkEnd w:id="14"/>
    </w:p>
    <w:p w14:paraId="01639923" w14:textId="68310BC2" w:rsidR="00E073D4" w:rsidRPr="009B60F8" w:rsidRDefault="00E073D4" w:rsidP="009B60F8">
      <w:pPr>
        <w:pStyle w:val="NormalText"/>
      </w:pPr>
      <w:r w:rsidRPr="009B60F8">
        <w:t xml:space="preserve">Spray drift risk assessments are required for agricultural chemical products (as defined by section 3 of the </w:t>
      </w:r>
      <w:hyperlink r:id="rId41" w:history="1">
        <w:r w:rsidRPr="009B60F8">
          <w:rPr>
            <w:rStyle w:val="Hyperlink"/>
          </w:rPr>
          <w:t>Agvet Code</w:t>
        </w:r>
      </w:hyperlink>
      <w:r w:rsidR="008527C4" w:rsidRPr="009B60F8">
        <w:t xml:space="preserve">) </w:t>
      </w:r>
      <w:r w:rsidRPr="009B60F8">
        <w:t>if the way they are used poses a spray drift risk.</w:t>
      </w:r>
    </w:p>
    <w:p w14:paraId="64F68E9B" w14:textId="77777777" w:rsidR="00E073D4" w:rsidRPr="00E073D4" w:rsidRDefault="00E073D4" w:rsidP="00E073D4">
      <w:pPr>
        <w:pStyle w:val="NormalText"/>
      </w:pPr>
      <w:r w:rsidRPr="00E073D4">
        <w:t>The following agricultural chemical product types do not require a spray drift risk assessment under any circumstance:</w:t>
      </w:r>
    </w:p>
    <w:p w14:paraId="61C9C7AB" w14:textId="77777777" w:rsidR="00E073D4" w:rsidRPr="00E073D4" w:rsidRDefault="00E073D4" w:rsidP="00E073D4">
      <w:pPr>
        <w:pStyle w:val="Bullet1"/>
      </w:pPr>
      <w:r w:rsidRPr="00E073D4">
        <w:t>antifouling products, antifoulants or antifouling paints</w:t>
      </w:r>
    </w:p>
    <w:p w14:paraId="14FDDDFD" w14:textId="77777777" w:rsidR="00E073D4" w:rsidRPr="00E073D4" w:rsidRDefault="00E073D4" w:rsidP="00E073D4">
      <w:pPr>
        <w:pStyle w:val="Bullet1"/>
      </w:pPr>
      <w:r w:rsidRPr="00E073D4">
        <w:t>dairy cleansers</w:t>
      </w:r>
    </w:p>
    <w:p w14:paraId="6A39F7D8" w14:textId="77777777" w:rsidR="00E073D4" w:rsidRPr="00E073D4" w:rsidRDefault="00E073D4" w:rsidP="00E073D4">
      <w:pPr>
        <w:pStyle w:val="Bullet1"/>
      </w:pPr>
      <w:r w:rsidRPr="00E073D4">
        <w:t>disinfectants</w:t>
      </w:r>
    </w:p>
    <w:p w14:paraId="4CE5F781" w14:textId="77777777" w:rsidR="00E073D4" w:rsidRPr="00E073D4" w:rsidRDefault="00E073D4" w:rsidP="00E073D4">
      <w:pPr>
        <w:pStyle w:val="Bullet1"/>
      </w:pPr>
      <w:r w:rsidRPr="00E073D4">
        <w:t>fumigants</w:t>
      </w:r>
    </w:p>
    <w:p w14:paraId="2D54E821" w14:textId="77777777" w:rsidR="00E073D4" w:rsidRPr="00E073D4" w:rsidRDefault="00E073D4" w:rsidP="00E073D4">
      <w:pPr>
        <w:pStyle w:val="Bullet1"/>
      </w:pPr>
      <w:r w:rsidRPr="00E073D4">
        <w:lastRenderedPageBreak/>
        <w:t>household insecticides</w:t>
      </w:r>
    </w:p>
    <w:p w14:paraId="2D5A12C8" w14:textId="77777777" w:rsidR="00E073D4" w:rsidRPr="00E073D4" w:rsidRDefault="00E073D4" w:rsidP="00E073D4">
      <w:pPr>
        <w:pStyle w:val="Bullet1"/>
      </w:pPr>
      <w:r w:rsidRPr="00E073D4">
        <w:t>seed treatments</w:t>
      </w:r>
    </w:p>
    <w:p w14:paraId="738F3F7F" w14:textId="77777777" w:rsidR="00E073D4" w:rsidRPr="00E073D4" w:rsidRDefault="00E073D4" w:rsidP="00E073D4">
      <w:pPr>
        <w:pStyle w:val="Bullet1"/>
      </w:pPr>
      <w:r w:rsidRPr="00E073D4">
        <w:t>swimming pool or spa chemicals</w:t>
      </w:r>
    </w:p>
    <w:p w14:paraId="5983D7DB" w14:textId="77777777" w:rsidR="00E073D4" w:rsidRPr="00E073D4" w:rsidRDefault="00E073D4" w:rsidP="00E073D4">
      <w:pPr>
        <w:pStyle w:val="Bullet1"/>
      </w:pPr>
      <w:r w:rsidRPr="00E073D4">
        <w:t>vertebrate poisons</w:t>
      </w:r>
    </w:p>
    <w:p w14:paraId="31FCDBFA" w14:textId="77777777" w:rsidR="00E073D4" w:rsidRPr="00E073D4" w:rsidRDefault="00E073D4" w:rsidP="00E073D4">
      <w:pPr>
        <w:pStyle w:val="Bullet1"/>
      </w:pPr>
      <w:r w:rsidRPr="00E073D4">
        <w:t>veterinary chemicals</w:t>
      </w:r>
    </w:p>
    <w:p w14:paraId="4C8FE37B" w14:textId="77777777" w:rsidR="00E073D4" w:rsidRPr="00432591" w:rsidRDefault="00E073D4" w:rsidP="00E073D4">
      <w:pPr>
        <w:pStyle w:val="Bullet1"/>
      </w:pPr>
      <w:r w:rsidRPr="00E073D4">
        <w:t>wood preservatives or timber treatments.</w:t>
      </w:r>
    </w:p>
    <w:p w14:paraId="4716C178" w14:textId="77777777" w:rsidR="00E073D4" w:rsidRDefault="00E073D4" w:rsidP="00E073D4">
      <w:pPr>
        <w:pStyle w:val="NormalText"/>
      </w:pPr>
      <w:r>
        <w:t>Some products do not require a spray drift risk assessment when the proposed product label limits their use to:</w:t>
      </w:r>
    </w:p>
    <w:p w14:paraId="4F0905FD" w14:textId="77777777" w:rsidR="00E073D4" w:rsidRPr="00E073D4" w:rsidRDefault="00E073D4" w:rsidP="00E073D4">
      <w:pPr>
        <w:pStyle w:val="Bullet1"/>
      </w:pPr>
      <w:r w:rsidRPr="00E073D4">
        <w:t>application below the surface of soil or water</w:t>
      </w:r>
    </w:p>
    <w:p w14:paraId="28379C3E" w14:textId="77777777" w:rsidR="00E073D4" w:rsidRPr="00E073D4" w:rsidRDefault="00E073D4" w:rsidP="00E073D4">
      <w:pPr>
        <w:pStyle w:val="Bullet1"/>
      </w:pPr>
      <w:r w:rsidRPr="00E073D4">
        <w:t xml:space="preserve">application with specialised equipment in cropping situations where the nozzles are orientated below the horizontal of the top of the crop canopy and spray is released at a height below </w:t>
      </w:r>
      <w:r>
        <w:t>the top of the crop canopy (eg</w:t>
      </w:r>
      <w:r w:rsidRPr="00E073D4">
        <w:t xml:space="preserve"> drop nozzles used to direct the spray to the furrows between emerged crops, or small booms used to spray inter-row areas in tree and vine crops), but excluding sprayers where air is used to aid in the spray penetrating the canopy as these are de</w:t>
      </w:r>
      <w:r>
        <w:t>fined as ‘vertical sprayers’ (e</w:t>
      </w:r>
      <w:r w:rsidRPr="00E073D4">
        <w:t>g air blast sprayers in orchards)</w:t>
      </w:r>
    </w:p>
    <w:p w14:paraId="7871CE7C" w14:textId="77777777" w:rsidR="00E073D4" w:rsidRPr="00E073D4" w:rsidRDefault="00E073D4" w:rsidP="00E073D4">
      <w:pPr>
        <w:pStyle w:val="Bullet1"/>
      </w:pPr>
      <w:r w:rsidRPr="00E073D4">
        <w:t>home garden and domestic pest control use</w:t>
      </w:r>
    </w:p>
    <w:p w14:paraId="410B74B1" w14:textId="77777777" w:rsidR="00E073D4" w:rsidRPr="00E073D4" w:rsidRDefault="00E073D4" w:rsidP="00E073D4">
      <w:pPr>
        <w:pStyle w:val="Bullet1"/>
      </w:pPr>
      <w:r w:rsidRPr="00E073D4">
        <w:t>outdoor use when applied in a form other than a spray (eg granules, pheromone traps, non-sprayed invertebrate baits, a gel, a paste, cut stump painting, stem injection, weed wiper systems)</w:t>
      </w:r>
    </w:p>
    <w:p w14:paraId="6F8877B3" w14:textId="77777777" w:rsidR="00E073D4" w:rsidRPr="00E073D4" w:rsidRDefault="00E073D4" w:rsidP="00E073D4">
      <w:pPr>
        <w:pStyle w:val="Bullet1"/>
      </w:pPr>
      <w:r w:rsidRPr="00E073D4">
        <w:t>post-harvest treatment of agricultural produce (including seed prior to sowing)</w:t>
      </w:r>
    </w:p>
    <w:p w14:paraId="61650037" w14:textId="77777777" w:rsidR="00E073D4" w:rsidRPr="00E073D4" w:rsidRDefault="00E073D4" w:rsidP="00E073D4">
      <w:pPr>
        <w:pStyle w:val="Bullet1"/>
      </w:pPr>
      <w:r w:rsidRPr="00E073D4">
        <w:t>preparing a poison bait for the control of vertebrate or invertebrate pests</w:t>
      </w:r>
    </w:p>
    <w:p w14:paraId="7AC63749" w14:textId="77777777" w:rsidR="00E073D4" w:rsidRPr="00E073D4" w:rsidRDefault="00E073D4" w:rsidP="00E073D4">
      <w:pPr>
        <w:pStyle w:val="Bullet1"/>
      </w:pPr>
      <w:r w:rsidRPr="00E073D4">
        <w:t>treatment of fertiliser prior to spreading</w:t>
      </w:r>
    </w:p>
    <w:p w14:paraId="2143EEA5" w14:textId="77777777" w:rsidR="00E073D4" w:rsidRPr="00E073D4" w:rsidRDefault="00E073D4" w:rsidP="00E073D4">
      <w:pPr>
        <w:pStyle w:val="Bullet1"/>
      </w:pPr>
      <w:r w:rsidRPr="00E073D4">
        <w:t>use by single-nozzle application equipment (eg knapsack, hand sprayer)</w:t>
      </w:r>
    </w:p>
    <w:p w14:paraId="462704FC" w14:textId="77777777" w:rsidR="00E073D4" w:rsidRPr="00E073D4" w:rsidRDefault="00E073D4" w:rsidP="00E073D4">
      <w:pPr>
        <w:pStyle w:val="Bullet1"/>
      </w:pPr>
      <w:r w:rsidRPr="00E073D4">
        <w:t>use indoors (eg protected growing situations).</w:t>
      </w:r>
    </w:p>
    <w:p w14:paraId="61F7179A" w14:textId="77777777" w:rsidR="00E073D4" w:rsidRDefault="00E073D4" w:rsidP="00E073D4">
      <w:pPr>
        <w:pStyle w:val="NormalText"/>
      </w:pPr>
      <w:r>
        <w:t>If the proposed label of a product contains use patterns from the list above as well as use patterns that require a spray drift risk assessment, only those use patterns that are not listed above will be taken into account. For example, if a label had an application rate equivalent to 10 L/ha for a single-nozzle application only and a maximum application rate for a boom sprayer of 5 L/ha, then the spray drift risk assessment will be conducted on the 5 L/ha rate applied by a boom sprayer.</w:t>
      </w:r>
    </w:p>
    <w:p w14:paraId="5F5169E7" w14:textId="77777777" w:rsidR="00E073D4" w:rsidRDefault="00E073D4" w:rsidP="00E073D4">
      <w:pPr>
        <w:pStyle w:val="NormalText"/>
      </w:pPr>
      <w:r>
        <w:t>There may be uncommon and unusual circumstances in which the product types or use patterns listed above do pose a risk of off-target movement of pesticide prior to it reaching its intended target (eg dusts or small and/or low density granules). Although the risk assessment framework is conceptually similar to what is described in this section, there are significant differences in determining, for example, deposition curves and use instructions to mitigate risk, which will be unique for individual products and/or use patterns. It is expected that the number of products of concern for this type of off-target movement is considered to be very small.</w:t>
      </w:r>
    </w:p>
    <w:p w14:paraId="51589F87" w14:textId="77777777" w:rsidR="00E073D4" w:rsidRDefault="00E073D4" w:rsidP="00E073D4">
      <w:pPr>
        <w:pStyle w:val="NormalText"/>
        <w:sectPr w:rsidR="00E073D4" w:rsidSect="00CB58D6">
          <w:headerReference w:type="default" r:id="rId42"/>
          <w:pgSz w:w="11906" w:h="16838" w:code="9"/>
          <w:pgMar w:top="2835" w:right="1134" w:bottom="1134" w:left="1134" w:header="1701" w:footer="680" w:gutter="0"/>
          <w:cols w:space="708"/>
          <w:docGrid w:linePitch="360"/>
        </w:sectPr>
      </w:pPr>
      <w:r>
        <w:t xml:space="preserve">Rather than add unnecessary complexity to this manual, identified risks will be managed on a case-by-case basis using this manual as a starting point. Applicants are encouraged to contact the APVMA prior to submitting an application through the </w:t>
      </w:r>
      <w:hyperlink r:id="rId43" w:history="1">
        <w:r w:rsidRPr="00C559EF">
          <w:rPr>
            <w:rStyle w:val="Hyperlink"/>
          </w:rPr>
          <w:t>pre-application assistance (PAA)</w:t>
        </w:r>
      </w:hyperlink>
      <w:r>
        <w:t xml:space="preserve"> process if they are concerned that their product or use pattern may be subject to this type of off-target movement.</w:t>
      </w:r>
    </w:p>
    <w:p w14:paraId="4FECEB5D" w14:textId="77777777" w:rsidR="00E073D4" w:rsidRDefault="00AF3793" w:rsidP="00AF3793">
      <w:pPr>
        <w:pStyle w:val="Heading1"/>
      </w:pPr>
      <w:bookmarkStart w:id="15" w:name="_Toc14340832"/>
      <w:r>
        <w:lastRenderedPageBreak/>
        <w:t>Regulatory acceptable levels</w:t>
      </w:r>
      <w:bookmarkEnd w:id="15"/>
    </w:p>
    <w:p w14:paraId="4F0E2926" w14:textId="38EC9C98" w:rsidR="00AF3793" w:rsidRPr="00AF3793" w:rsidRDefault="00AF3793" w:rsidP="00AF3793">
      <w:pPr>
        <w:pStyle w:val="NormalText"/>
      </w:pPr>
      <w:r w:rsidRPr="00AF3793">
        <w:t xml:space="preserve">The </w:t>
      </w:r>
      <w:r w:rsidR="009C6DB3">
        <w:t>regulatory a</w:t>
      </w:r>
      <w:r>
        <w:t xml:space="preserve">cceptable </w:t>
      </w:r>
      <w:r w:rsidR="009C6DB3">
        <w:t>l</w:t>
      </w:r>
      <w:r>
        <w:t>evel (</w:t>
      </w:r>
      <w:r w:rsidRPr="00AF3793">
        <w:t>RAL</w:t>
      </w:r>
      <w:r>
        <w:t>)</w:t>
      </w:r>
      <w:r w:rsidRPr="00AF3793">
        <w:t xml:space="preserve"> is the maximum amount of spray drift exposure that is not expected to cause undue harm to a certain sensitive area. The RAL is established after any required safety factor (also known as the uncertainty factor, level of concern, margin of exposure or assessment factor) is applied to the relevant level, which is determined through the assessment of information used for satisfying the </w:t>
      </w:r>
      <w:hyperlink r:id="rId44" w:history="1">
        <w:r w:rsidRPr="00AF3793">
          <w:rPr>
            <w:rStyle w:val="Hyperlink"/>
          </w:rPr>
          <w:t>statutory criteria</w:t>
        </w:r>
      </w:hyperlink>
      <w:r w:rsidRPr="00AF3793">
        <w:t xml:space="preserve"> (safety and trade) of the legislation.</w:t>
      </w:r>
    </w:p>
    <w:p w14:paraId="6D4D72E4" w14:textId="77777777" w:rsidR="00AF3793" w:rsidRPr="00AF3793" w:rsidRDefault="00AF3793" w:rsidP="00AF3793">
      <w:pPr>
        <w:pStyle w:val="NormalText"/>
      </w:pPr>
      <w:r w:rsidRPr="00AF3793">
        <w:t>All RALs are compared to a single spray drift event of a product only. While the consideration of multiple applications is important for risk assessments within an application site, the same cannot be said for spray drift. The probability of spraying occurring in the same location under the same worst-case conditions (ie at the highest wind speed allowed and applied in a manner most prone to spray drift) is low. Therefore, multiple applications are not considered relevant for spray drift risk assessment purposes due to the low probability of spray drift resulting in accumulation from multiple applications outside the target area.</w:t>
      </w:r>
    </w:p>
    <w:p w14:paraId="4F3D77BC" w14:textId="77777777" w:rsidR="00AF3793" w:rsidRDefault="00AF3793" w:rsidP="00AF3793">
      <w:pPr>
        <w:pStyle w:val="Heading2"/>
      </w:pPr>
      <w:bookmarkStart w:id="16" w:name="_Toc14340833"/>
      <w:r>
        <w:t>Establishment of RALs</w:t>
      </w:r>
      <w:bookmarkEnd w:id="16"/>
    </w:p>
    <w:p w14:paraId="04273826" w14:textId="77777777" w:rsidR="00AF3793" w:rsidRDefault="00AF3793" w:rsidP="00AF3793">
      <w:pPr>
        <w:pStyle w:val="NormalText"/>
      </w:pPr>
      <w:r w:rsidRPr="00AF3793">
        <w:t xml:space="preserve">All RALs are established by the APVMA assessment areas as part of their standard assessment processes as described in the </w:t>
      </w:r>
      <w:hyperlink r:id="rId45" w:history="1">
        <w:r w:rsidRPr="00AF3793">
          <w:rPr>
            <w:rStyle w:val="Hyperlink"/>
          </w:rPr>
          <w:t>APVMA Module Descriptors</w:t>
        </w:r>
      </w:hyperlink>
      <w:r w:rsidRPr="00AF3793">
        <w:t>. No additional information is needed to conduct a spray drift risk assessment compared to what is already needed to assess hazards for other risk pathways, as described in the APVMA data guidelines:</w:t>
      </w:r>
    </w:p>
    <w:p w14:paraId="6FA1BCE7" w14:textId="77777777" w:rsidR="00AF3793" w:rsidRPr="00AF3793" w:rsidRDefault="008516F4" w:rsidP="00AF3793">
      <w:pPr>
        <w:pStyle w:val="Bullet1"/>
        <w:rPr>
          <w:rStyle w:val="Hyperlink"/>
        </w:rPr>
      </w:pPr>
      <w:hyperlink r:id="rId46" w:history="1">
        <w:r w:rsidR="00AF3793" w:rsidRPr="00AF3793">
          <w:rPr>
            <w:rStyle w:val="Hyperlink"/>
          </w:rPr>
          <w:t>environment (</w:t>
        </w:r>
        <w:r w:rsidR="00AF3793">
          <w:rPr>
            <w:rStyle w:val="Hyperlink"/>
          </w:rPr>
          <w:t>p</w:t>
        </w:r>
        <w:r w:rsidR="00AF3793" w:rsidRPr="00AF3793">
          <w:rPr>
            <w:rStyle w:val="Hyperlink"/>
          </w:rPr>
          <w:t>art 7)</w:t>
        </w:r>
      </w:hyperlink>
    </w:p>
    <w:p w14:paraId="2AD8E57A" w14:textId="77777777" w:rsidR="00AF3793" w:rsidRPr="00AF3793" w:rsidRDefault="008516F4" w:rsidP="00AF3793">
      <w:pPr>
        <w:pStyle w:val="Bullet1"/>
        <w:rPr>
          <w:rStyle w:val="Hyperlink"/>
        </w:rPr>
      </w:pPr>
      <w:hyperlink r:id="rId47" w:history="1">
        <w:r w:rsidR="00AF3793" w:rsidRPr="00AF3793">
          <w:rPr>
            <w:rStyle w:val="Hyperlink"/>
          </w:rPr>
          <w:t>occupational health and</w:t>
        </w:r>
        <w:r w:rsidR="00AF3793">
          <w:rPr>
            <w:rStyle w:val="Hyperlink"/>
          </w:rPr>
          <w:t xml:space="preserve"> safety (p</w:t>
        </w:r>
        <w:r w:rsidR="00AF3793" w:rsidRPr="00AF3793">
          <w:rPr>
            <w:rStyle w:val="Hyperlink"/>
          </w:rPr>
          <w:t>art 6)</w:t>
        </w:r>
      </w:hyperlink>
    </w:p>
    <w:p w14:paraId="5DE84106" w14:textId="77777777" w:rsidR="00AF3793" w:rsidRPr="00AF3793" w:rsidRDefault="008516F4" w:rsidP="00AF3793">
      <w:pPr>
        <w:pStyle w:val="Bullet1"/>
        <w:rPr>
          <w:rStyle w:val="Hyperlink"/>
        </w:rPr>
      </w:pPr>
      <w:hyperlink r:id="rId48" w:history="1">
        <w:r w:rsidR="00AF3793" w:rsidRPr="00AF3793">
          <w:rPr>
            <w:rStyle w:val="Hyperlink"/>
          </w:rPr>
          <w:t>o</w:t>
        </w:r>
        <w:r w:rsidR="00AF3793">
          <w:rPr>
            <w:rStyle w:val="Hyperlink"/>
          </w:rPr>
          <w:t>verseas trade (p</w:t>
        </w:r>
        <w:r w:rsidR="00AF3793" w:rsidRPr="00AF3793">
          <w:rPr>
            <w:rStyle w:val="Hyperlink"/>
          </w:rPr>
          <w:t>art 5B)</w:t>
        </w:r>
      </w:hyperlink>
    </w:p>
    <w:p w14:paraId="32137CDD" w14:textId="77777777" w:rsidR="00AF3793" w:rsidRPr="00AF3793" w:rsidRDefault="008516F4" w:rsidP="00AF3793">
      <w:pPr>
        <w:pStyle w:val="Bullet1"/>
        <w:rPr>
          <w:rStyle w:val="Hyperlink"/>
        </w:rPr>
      </w:pPr>
      <w:hyperlink r:id="rId49" w:history="1">
        <w:r w:rsidR="00AF3793" w:rsidRPr="00AF3793">
          <w:rPr>
            <w:rStyle w:val="Hyperlink"/>
          </w:rPr>
          <w:t>toxicology (</w:t>
        </w:r>
        <w:r w:rsidR="00AF3793">
          <w:rPr>
            <w:rStyle w:val="Hyperlink"/>
          </w:rPr>
          <w:t>p</w:t>
        </w:r>
        <w:r w:rsidR="00AF3793" w:rsidRPr="00AF3793">
          <w:rPr>
            <w:rStyle w:val="Hyperlink"/>
          </w:rPr>
          <w:t>art 3)</w:t>
        </w:r>
      </w:hyperlink>
      <w:r w:rsidR="00AF3793" w:rsidRPr="00AF3793">
        <w:rPr>
          <w:rStyle w:val="Hyperlink"/>
        </w:rPr>
        <w:t>.</w:t>
      </w:r>
    </w:p>
    <w:p w14:paraId="30AA0387" w14:textId="77777777" w:rsidR="00AF3793" w:rsidRPr="00AF3793" w:rsidRDefault="00AF3793" w:rsidP="00AF3793">
      <w:pPr>
        <w:pStyle w:val="NormalText"/>
      </w:pPr>
      <w:r w:rsidRPr="00AF3793">
        <w:t>Applicants can choose to submit information such as higher tier studies that can be considered for refinement of risk assessments to establish a less conservative RAL (which remains adequately protective) compared to lower tier studies only. Any higher tier study could also be applied in other risk assessments, not just spray drift.</w:t>
      </w:r>
    </w:p>
    <w:p w14:paraId="05561256" w14:textId="02CE0D2C" w:rsidR="00AF3793" w:rsidRPr="00AF3793" w:rsidRDefault="00AF3793" w:rsidP="00AF3793">
      <w:pPr>
        <w:pStyle w:val="NormalText"/>
      </w:pPr>
      <w:r w:rsidRPr="00AF3793">
        <w:t xml:space="preserve">An outline of how RALs are established is explained below in relation to how existing risk assessment methodologies are modified for spray drift risk assessment purposes. The intention of the APVMA is to publish risk assessment manuals (where internationally recognised manuals are not available or appropriate in accordance with </w:t>
      </w:r>
      <w:hyperlink r:id="rId50" w:history="1">
        <w:r w:rsidR="009C6DB3">
          <w:rPr>
            <w:rStyle w:val="Hyperlink"/>
          </w:rPr>
          <w:t>Australian Government p</w:t>
        </w:r>
        <w:r w:rsidRPr="00AF3793">
          <w:rPr>
            <w:rStyle w:val="Hyperlink"/>
          </w:rPr>
          <w:t>olicy</w:t>
        </w:r>
      </w:hyperlink>
      <w:r w:rsidRPr="00AF3793">
        <w:t>) for each assessment area. These manuals will provide specific information about the establishment of RALs for spray drift risk assessment purposes (as well as all other risk assessment methodologies).</w:t>
      </w:r>
    </w:p>
    <w:p w14:paraId="520A1ADF" w14:textId="77777777" w:rsidR="00AF3793" w:rsidRDefault="00AF3793" w:rsidP="00AF3793">
      <w:pPr>
        <w:pStyle w:val="NormalText"/>
      </w:pPr>
      <w:r w:rsidRPr="00AF3793">
        <w:t>It is important to note that RALs are always expressed relative to the amount of active constituent in a product, not the amount of the product. That is, when studies conducted to determine RALs use the product instead of an active constituent, the data must be expressed on an active constituent basis</w:t>
      </w:r>
      <w:r>
        <w:t>.</w:t>
      </w:r>
    </w:p>
    <w:p w14:paraId="68B5CE9A" w14:textId="77777777" w:rsidR="00AF3793" w:rsidRPr="00AF3793" w:rsidRDefault="00AF3793" w:rsidP="00AF3793">
      <w:pPr>
        <w:pStyle w:val="NormalText"/>
      </w:pPr>
      <w:r w:rsidRPr="00AF3793">
        <w:lastRenderedPageBreak/>
        <w:t>When combination toxicity is determined to be of concern, RALs will be established with formulation or tank-mix data when available. When formulation or tank-mix data are not available, the concentration addition approach will be used, as discussed in section 3.3.</w:t>
      </w:r>
    </w:p>
    <w:p w14:paraId="21C3D1DF" w14:textId="29BF68AF" w:rsidR="00AF3793" w:rsidRDefault="00AF3793" w:rsidP="00AF3793">
      <w:pPr>
        <w:pStyle w:val="NormalText"/>
      </w:pPr>
      <w:r w:rsidRPr="00AF3793">
        <w:t>The units of a RAL depend on the sensitive area being protected. RAL units are expressed as the amount of active constituent per unit area (bystander, pollinator or vegetation areas), unit volume (natural aquatic areas), or unit mass (livestock areas).</w:t>
      </w:r>
      <w:r w:rsidR="0043717A">
        <w:t xml:space="preserve"> Further details are listed in t</w:t>
      </w:r>
      <w:r w:rsidRPr="00AF3793">
        <w:t>able 2 including the conversion (multiplication) factors that are required to express RALs in units of g ac/ha. This conversion allows a fraction of the application rate to be calculated, for consistency with deposition curves (see section 3.2). Further details are provided in the following sub-sections.</w:t>
      </w:r>
    </w:p>
    <w:p w14:paraId="70572F60" w14:textId="77777777" w:rsidR="00AF3793" w:rsidRDefault="00AF3793" w:rsidP="00AF3793">
      <w:pPr>
        <w:pStyle w:val="Caption"/>
      </w:pPr>
      <w:bookmarkStart w:id="17" w:name="_Toc14340881"/>
      <w:r>
        <w:t xml:space="preserve">Table </w:t>
      </w:r>
      <w:r w:rsidR="00371051">
        <w:rPr>
          <w:noProof/>
        </w:rPr>
        <w:fldChar w:fldCharType="begin"/>
      </w:r>
      <w:r w:rsidR="00371051">
        <w:rPr>
          <w:noProof/>
        </w:rPr>
        <w:instrText xml:space="preserve"> SEQ Table \* ARABIC </w:instrText>
      </w:r>
      <w:r w:rsidR="00371051">
        <w:rPr>
          <w:noProof/>
        </w:rPr>
        <w:fldChar w:fldCharType="separate"/>
      </w:r>
      <w:r w:rsidR="00037DBD">
        <w:rPr>
          <w:noProof/>
        </w:rPr>
        <w:t>2</w:t>
      </w:r>
      <w:r w:rsidR="00371051">
        <w:rPr>
          <w:noProof/>
        </w:rPr>
        <w:fldChar w:fldCharType="end"/>
      </w:r>
      <w:r>
        <w:t>:</w:t>
      </w:r>
      <w:r>
        <w:tab/>
        <w:t>List of RAL units and conversion factors</w:t>
      </w:r>
      <w:bookmarkEnd w:id="17"/>
    </w:p>
    <w:tbl>
      <w:tblPr>
        <w:tblW w:w="5000" w:type="pct"/>
        <w:tblBorders>
          <w:bottom w:val="dotted" w:sz="2" w:space="0" w:color="auto"/>
          <w:insideH w:val="dotted" w:sz="2" w:space="0" w:color="auto"/>
        </w:tblBorders>
        <w:tblLook w:val="01E0" w:firstRow="1" w:lastRow="1" w:firstColumn="1" w:lastColumn="1" w:noHBand="0" w:noVBand="0"/>
      </w:tblPr>
      <w:tblGrid>
        <w:gridCol w:w="2269"/>
        <w:gridCol w:w="3063"/>
        <w:gridCol w:w="4306"/>
      </w:tblGrid>
      <w:tr w:rsidR="006E41DE" w14:paraId="185D5E64" w14:textId="77777777" w:rsidTr="00F807AA">
        <w:trPr>
          <w:cantSplit/>
          <w:tblHeader/>
        </w:trPr>
        <w:tc>
          <w:tcPr>
            <w:tcW w:w="1177" w:type="pct"/>
            <w:tcBorders>
              <w:bottom w:val="single" w:sz="4" w:space="0" w:color="auto"/>
            </w:tcBorders>
            <w:shd w:val="clear" w:color="auto" w:fill="53284F"/>
            <w:vAlign w:val="bottom"/>
          </w:tcPr>
          <w:p w14:paraId="5BC16E22" w14:textId="77777777" w:rsidR="006E41DE" w:rsidRDefault="006E41DE" w:rsidP="00DE4D2F">
            <w:pPr>
              <w:pStyle w:val="APVMATableHead"/>
            </w:pPr>
            <w:r>
              <w:t>Sensitive area</w:t>
            </w:r>
          </w:p>
        </w:tc>
        <w:tc>
          <w:tcPr>
            <w:tcW w:w="1589" w:type="pct"/>
            <w:tcBorders>
              <w:bottom w:val="single" w:sz="4" w:space="0" w:color="auto"/>
            </w:tcBorders>
            <w:shd w:val="clear" w:color="auto" w:fill="53284F"/>
            <w:vAlign w:val="bottom"/>
          </w:tcPr>
          <w:p w14:paraId="26AAFCB9" w14:textId="77777777" w:rsidR="006E41DE" w:rsidRDefault="006E41DE" w:rsidP="00DE4D2F">
            <w:pPr>
              <w:pStyle w:val="APVMATableHead"/>
            </w:pPr>
            <w:r>
              <w:t>Units</w:t>
            </w:r>
          </w:p>
        </w:tc>
        <w:tc>
          <w:tcPr>
            <w:tcW w:w="2234" w:type="pct"/>
            <w:tcBorders>
              <w:bottom w:val="single" w:sz="4" w:space="0" w:color="auto"/>
            </w:tcBorders>
            <w:shd w:val="clear" w:color="auto" w:fill="53284F"/>
            <w:vAlign w:val="bottom"/>
          </w:tcPr>
          <w:p w14:paraId="08AE0E0B" w14:textId="77777777" w:rsidR="006E41DE" w:rsidRDefault="006E41DE" w:rsidP="00DE4D2F">
            <w:pPr>
              <w:pStyle w:val="APVMATableHead"/>
            </w:pPr>
            <w:r>
              <w:t>Conversion factor</w:t>
            </w:r>
          </w:p>
        </w:tc>
      </w:tr>
      <w:tr w:rsidR="006E41DE" w14:paraId="38D62F5A" w14:textId="77777777" w:rsidTr="00F807AA">
        <w:trPr>
          <w:cantSplit/>
        </w:trPr>
        <w:tc>
          <w:tcPr>
            <w:tcW w:w="1177" w:type="pct"/>
            <w:tcBorders>
              <w:top w:val="single" w:sz="4" w:space="0" w:color="auto"/>
              <w:bottom w:val="single" w:sz="4" w:space="0" w:color="auto"/>
            </w:tcBorders>
          </w:tcPr>
          <w:p w14:paraId="50FAE41D" w14:textId="77777777" w:rsidR="006E41DE" w:rsidRPr="006E41DE" w:rsidRDefault="006E41DE" w:rsidP="006E41DE">
            <w:pPr>
              <w:pStyle w:val="APVMATableText"/>
            </w:pPr>
            <w:r w:rsidRPr="006E41DE">
              <w:t>Bystander areas</w:t>
            </w:r>
          </w:p>
        </w:tc>
        <w:tc>
          <w:tcPr>
            <w:tcW w:w="1589" w:type="pct"/>
            <w:tcBorders>
              <w:top w:val="single" w:sz="4" w:space="0" w:color="auto"/>
              <w:bottom w:val="single" w:sz="4" w:space="0" w:color="auto"/>
            </w:tcBorders>
          </w:tcPr>
          <w:p w14:paraId="440E18CE" w14:textId="77777777" w:rsidR="006E41DE" w:rsidRPr="006E41DE" w:rsidRDefault="006E41DE" w:rsidP="006E41DE">
            <w:pPr>
              <w:pStyle w:val="APVMATableText"/>
            </w:pPr>
            <w:r w:rsidRPr="006E41DE">
              <w:t>mg ac/cm</w:t>
            </w:r>
            <w:r w:rsidRPr="006E41DE">
              <w:rPr>
                <w:vertAlign w:val="superscript"/>
              </w:rPr>
              <w:t>2</w:t>
            </w:r>
          </w:p>
        </w:tc>
        <w:tc>
          <w:tcPr>
            <w:tcW w:w="2234" w:type="pct"/>
            <w:tcBorders>
              <w:top w:val="single" w:sz="4" w:space="0" w:color="auto"/>
              <w:bottom w:val="single" w:sz="4" w:space="0" w:color="auto"/>
            </w:tcBorders>
          </w:tcPr>
          <w:p w14:paraId="6BDA82BB" w14:textId="77777777" w:rsidR="006E41DE" w:rsidRPr="006E41DE" w:rsidRDefault="006E41DE" w:rsidP="006E41DE">
            <w:pPr>
              <w:pStyle w:val="APVMATableText"/>
            </w:pPr>
            <w:r w:rsidRPr="006E41DE">
              <w:t>100,000</w:t>
            </w:r>
          </w:p>
        </w:tc>
      </w:tr>
      <w:tr w:rsidR="006E41DE" w14:paraId="4F7C9DD2" w14:textId="77777777" w:rsidTr="00F807AA">
        <w:trPr>
          <w:cantSplit/>
        </w:trPr>
        <w:tc>
          <w:tcPr>
            <w:tcW w:w="1177" w:type="pct"/>
            <w:tcBorders>
              <w:top w:val="single" w:sz="4" w:space="0" w:color="auto"/>
              <w:bottom w:val="single" w:sz="4" w:space="0" w:color="auto"/>
            </w:tcBorders>
          </w:tcPr>
          <w:p w14:paraId="0BE36D6F" w14:textId="77777777" w:rsidR="006E41DE" w:rsidRPr="006E41DE" w:rsidRDefault="006E41DE" w:rsidP="006E41DE">
            <w:pPr>
              <w:pStyle w:val="APVMATableText"/>
            </w:pPr>
            <w:r w:rsidRPr="006E41DE">
              <w:t>Natural aquatic areas</w:t>
            </w:r>
          </w:p>
        </w:tc>
        <w:tc>
          <w:tcPr>
            <w:tcW w:w="1589" w:type="pct"/>
            <w:tcBorders>
              <w:top w:val="single" w:sz="4" w:space="0" w:color="auto"/>
              <w:bottom w:val="single" w:sz="4" w:space="0" w:color="auto"/>
            </w:tcBorders>
          </w:tcPr>
          <w:p w14:paraId="2EE9F7B8" w14:textId="77777777" w:rsidR="006E41DE" w:rsidRPr="006E41DE" w:rsidRDefault="006E41DE" w:rsidP="006E41DE">
            <w:pPr>
              <w:pStyle w:val="APVMATableText"/>
            </w:pPr>
            <w:r w:rsidRPr="006E41DE">
              <w:t>µg ac/L</w:t>
            </w:r>
          </w:p>
        </w:tc>
        <w:tc>
          <w:tcPr>
            <w:tcW w:w="2234" w:type="pct"/>
            <w:tcBorders>
              <w:top w:val="single" w:sz="4" w:space="0" w:color="auto"/>
              <w:bottom w:val="single" w:sz="4" w:space="0" w:color="auto"/>
            </w:tcBorders>
          </w:tcPr>
          <w:p w14:paraId="60D110C1" w14:textId="77777777" w:rsidR="006E41DE" w:rsidRPr="006E41DE" w:rsidRDefault="006E41DE" w:rsidP="006E41DE">
            <w:pPr>
              <w:pStyle w:val="APVMATableText"/>
            </w:pPr>
            <w:r w:rsidRPr="006E41DE">
              <w:t>1.5</w:t>
            </w:r>
          </w:p>
        </w:tc>
      </w:tr>
      <w:tr w:rsidR="006E41DE" w14:paraId="75DDFC62" w14:textId="77777777" w:rsidTr="00F807AA">
        <w:trPr>
          <w:cantSplit/>
        </w:trPr>
        <w:tc>
          <w:tcPr>
            <w:tcW w:w="1177" w:type="pct"/>
            <w:tcBorders>
              <w:top w:val="single" w:sz="4" w:space="0" w:color="auto"/>
              <w:bottom w:val="single" w:sz="4" w:space="0" w:color="auto"/>
            </w:tcBorders>
          </w:tcPr>
          <w:p w14:paraId="7ABF55BB" w14:textId="77777777" w:rsidR="006E41DE" w:rsidRPr="006E41DE" w:rsidRDefault="006E41DE" w:rsidP="006E41DE">
            <w:pPr>
              <w:pStyle w:val="APVMATableText"/>
            </w:pPr>
            <w:r w:rsidRPr="006E41DE">
              <w:t>Pollinator areas</w:t>
            </w:r>
          </w:p>
        </w:tc>
        <w:tc>
          <w:tcPr>
            <w:tcW w:w="1589" w:type="pct"/>
            <w:tcBorders>
              <w:top w:val="single" w:sz="4" w:space="0" w:color="auto"/>
              <w:bottom w:val="single" w:sz="4" w:space="0" w:color="auto"/>
            </w:tcBorders>
          </w:tcPr>
          <w:p w14:paraId="1948DBF9" w14:textId="77777777" w:rsidR="006E41DE" w:rsidRPr="006E41DE" w:rsidRDefault="006E41DE" w:rsidP="006E41DE">
            <w:pPr>
              <w:pStyle w:val="APVMATableText"/>
            </w:pPr>
            <w:r w:rsidRPr="006E41DE">
              <w:t>kg ac/ha</w:t>
            </w:r>
          </w:p>
        </w:tc>
        <w:tc>
          <w:tcPr>
            <w:tcW w:w="2234" w:type="pct"/>
            <w:tcBorders>
              <w:top w:val="single" w:sz="4" w:space="0" w:color="auto"/>
              <w:bottom w:val="single" w:sz="4" w:space="0" w:color="auto"/>
            </w:tcBorders>
          </w:tcPr>
          <w:p w14:paraId="1B2BAECF" w14:textId="77777777" w:rsidR="006E41DE" w:rsidRPr="006E41DE" w:rsidRDefault="006E41DE" w:rsidP="006E41DE">
            <w:pPr>
              <w:pStyle w:val="APVMATableText"/>
            </w:pPr>
            <w:r w:rsidRPr="006E41DE">
              <w:t>1,000</w:t>
            </w:r>
          </w:p>
        </w:tc>
      </w:tr>
      <w:tr w:rsidR="006E41DE" w14:paraId="34EC235B" w14:textId="77777777" w:rsidTr="00F807AA">
        <w:trPr>
          <w:cantSplit/>
        </w:trPr>
        <w:tc>
          <w:tcPr>
            <w:tcW w:w="1177" w:type="pct"/>
            <w:tcBorders>
              <w:top w:val="single" w:sz="4" w:space="0" w:color="auto"/>
              <w:bottom w:val="single" w:sz="4" w:space="0" w:color="auto"/>
            </w:tcBorders>
          </w:tcPr>
          <w:p w14:paraId="60283CDA" w14:textId="77777777" w:rsidR="006E41DE" w:rsidRPr="006E41DE" w:rsidRDefault="006E41DE" w:rsidP="006E41DE">
            <w:pPr>
              <w:pStyle w:val="APVMATableText"/>
            </w:pPr>
            <w:r w:rsidRPr="006E41DE">
              <w:t>Vegetation areas</w:t>
            </w:r>
          </w:p>
        </w:tc>
        <w:tc>
          <w:tcPr>
            <w:tcW w:w="1589" w:type="pct"/>
            <w:tcBorders>
              <w:top w:val="single" w:sz="4" w:space="0" w:color="auto"/>
              <w:bottom w:val="single" w:sz="4" w:space="0" w:color="auto"/>
            </w:tcBorders>
          </w:tcPr>
          <w:p w14:paraId="02B35DC7" w14:textId="77777777" w:rsidR="006E41DE" w:rsidRPr="006E41DE" w:rsidRDefault="006E41DE" w:rsidP="006E41DE">
            <w:pPr>
              <w:pStyle w:val="APVMATableText"/>
            </w:pPr>
            <w:r w:rsidRPr="006E41DE">
              <w:t>g ac/ha</w:t>
            </w:r>
          </w:p>
        </w:tc>
        <w:tc>
          <w:tcPr>
            <w:tcW w:w="2234" w:type="pct"/>
            <w:tcBorders>
              <w:top w:val="single" w:sz="4" w:space="0" w:color="auto"/>
              <w:bottom w:val="single" w:sz="4" w:space="0" w:color="auto"/>
            </w:tcBorders>
          </w:tcPr>
          <w:p w14:paraId="362141F5" w14:textId="77777777" w:rsidR="006E41DE" w:rsidRPr="006E41DE" w:rsidRDefault="006E41DE" w:rsidP="006E41DE">
            <w:pPr>
              <w:pStyle w:val="APVMATableText"/>
            </w:pPr>
            <w:r w:rsidRPr="006E41DE">
              <w:t>1 (ie not required)</w:t>
            </w:r>
          </w:p>
        </w:tc>
      </w:tr>
      <w:tr w:rsidR="006E41DE" w14:paraId="17260AA2" w14:textId="77777777" w:rsidTr="00F807AA">
        <w:trPr>
          <w:cantSplit/>
        </w:trPr>
        <w:tc>
          <w:tcPr>
            <w:tcW w:w="1177" w:type="pct"/>
            <w:tcBorders>
              <w:top w:val="single" w:sz="4" w:space="0" w:color="auto"/>
              <w:bottom w:val="single" w:sz="4" w:space="0" w:color="auto"/>
            </w:tcBorders>
          </w:tcPr>
          <w:p w14:paraId="6215323F" w14:textId="77777777" w:rsidR="006E41DE" w:rsidRPr="006E41DE" w:rsidRDefault="006E41DE" w:rsidP="006E41DE">
            <w:pPr>
              <w:pStyle w:val="APVMATableText"/>
            </w:pPr>
            <w:r w:rsidRPr="006E41DE">
              <w:t>Livestock areas</w:t>
            </w:r>
          </w:p>
        </w:tc>
        <w:tc>
          <w:tcPr>
            <w:tcW w:w="1589" w:type="pct"/>
            <w:tcBorders>
              <w:top w:val="single" w:sz="4" w:space="0" w:color="auto"/>
              <w:bottom w:val="single" w:sz="4" w:space="0" w:color="auto"/>
            </w:tcBorders>
          </w:tcPr>
          <w:p w14:paraId="62359312" w14:textId="77777777" w:rsidR="006E41DE" w:rsidRPr="006E41DE" w:rsidRDefault="006E41DE" w:rsidP="006E41DE">
            <w:pPr>
              <w:pStyle w:val="APVMATableText"/>
            </w:pPr>
            <w:r w:rsidRPr="006E41DE">
              <w:t>mg ac/kg</w:t>
            </w:r>
          </w:p>
        </w:tc>
        <w:tc>
          <w:tcPr>
            <w:tcW w:w="2234" w:type="pct"/>
            <w:tcBorders>
              <w:top w:val="single" w:sz="4" w:space="0" w:color="auto"/>
              <w:bottom w:val="single" w:sz="4" w:space="0" w:color="auto"/>
            </w:tcBorders>
          </w:tcPr>
          <w:p w14:paraId="3C5800DE" w14:textId="77777777" w:rsidR="006E41DE" w:rsidRPr="006E41DE" w:rsidRDefault="006E41DE" w:rsidP="006E41DE">
            <w:pPr>
              <w:pStyle w:val="APVMATableText"/>
            </w:pPr>
            <w:r w:rsidRPr="006E41DE">
              <w:t>3</w:t>
            </w:r>
          </w:p>
        </w:tc>
      </w:tr>
    </w:tbl>
    <w:p w14:paraId="2972B55B" w14:textId="77777777" w:rsidR="00AF3793" w:rsidRDefault="006E41DE" w:rsidP="006E41DE">
      <w:pPr>
        <w:pStyle w:val="Heading3"/>
      </w:pPr>
      <w:bookmarkStart w:id="18" w:name="_Toc14340834"/>
      <w:r>
        <w:t>Bystander areas</w:t>
      </w:r>
      <w:bookmarkEnd w:id="18"/>
    </w:p>
    <w:p w14:paraId="30A428FE" w14:textId="77777777" w:rsidR="006E41DE" w:rsidRPr="006E41DE" w:rsidRDefault="006E41DE" w:rsidP="006E41DE">
      <w:pPr>
        <w:pStyle w:val="NormalText"/>
      </w:pPr>
      <w:r w:rsidRPr="006E41DE">
        <w:t>Bystanders may be contacted by spray drift in two ways, either directly by the spray cloud, or, through repeat exposure to deposited residues on the ground. This approach is based on that adopted by the US EPA (2014).</w:t>
      </w:r>
    </w:p>
    <w:p w14:paraId="24C5764F" w14:textId="77777777" w:rsidR="006E41DE" w:rsidRPr="006E41DE" w:rsidRDefault="006E41DE" w:rsidP="006E41DE">
      <w:pPr>
        <w:pStyle w:val="NormalText"/>
      </w:pPr>
      <w:r w:rsidRPr="006E41DE">
        <w:t>Available tools used to predict spray drift are only capable of reliably determining deposition on the ground (ie a horizontal surface), which is not relevant for direct contact of bystanders with the spray cloud (ie a vertical surface). As it is not possible to reliably estimate exposure through direct contact by the spray cloud, use instructions (see section 5) for all products will prohibit any use that causes a bystander to be contacted by the spray cloud.</w:t>
      </w:r>
    </w:p>
    <w:p w14:paraId="46588CF7" w14:textId="77777777" w:rsidR="006E41DE" w:rsidRPr="006E41DE" w:rsidRDefault="006E41DE" w:rsidP="006E41DE">
      <w:pPr>
        <w:pStyle w:val="NormalText"/>
      </w:pPr>
      <w:r w:rsidRPr="006E41DE">
        <w:t>Repeat exposure to deposited residues on the ground is akin to risk assessments that determine re-entry periods for applications to turf so this risk assessment approach forms the basis for the determination of the RAL for bystanders. The highest concern for this type of exposure is that of an infant/toddler who may be exposed from repeat dermal and oral (hand-to-mouth actions of infants/toddlers) exposure while in a backyard over an extended period of time.</w:t>
      </w:r>
    </w:p>
    <w:p w14:paraId="4E24B885" w14:textId="77777777" w:rsidR="006E41DE" w:rsidRDefault="006E41DE" w:rsidP="006E41DE">
      <w:pPr>
        <w:pStyle w:val="Heading4"/>
      </w:pPr>
      <w:r>
        <w:t>Determination of bystander area RAL</w:t>
      </w:r>
    </w:p>
    <w:p w14:paraId="71C7A985" w14:textId="7103C7C7" w:rsidR="006E41DE" w:rsidRDefault="006E41DE" w:rsidP="006E41DE">
      <w:pPr>
        <w:pStyle w:val="NormalText"/>
      </w:pPr>
      <w:r w:rsidRPr="006E41DE">
        <w:t>The formula used to determine if a re-entry period is required after ap</w:t>
      </w:r>
      <w:r w:rsidR="00460E9D">
        <w:t>plications to turf is shown in e</w:t>
      </w:r>
      <w:r w:rsidRPr="006E41DE">
        <w:t>quation 1. The variables in this formula and any d</w:t>
      </w:r>
      <w:r w:rsidR="0043717A">
        <w:t>efault values are explained in t</w:t>
      </w:r>
      <w:r w:rsidRPr="006E41DE">
        <w:t>able 3.</w:t>
      </w:r>
    </w:p>
    <w:p w14:paraId="13BF400A" w14:textId="77777777" w:rsidR="006E41DE" w:rsidRPr="006E41DE" w:rsidRDefault="006E41DE" w:rsidP="006E41DE">
      <w:pPr>
        <w:pStyle w:val="Caption"/>
      </w:pPr>
      <w:r w:rsidRPr="006E41DE">
        <w:lastRenderedPageBreak/>
        <w:t>Equation 1: Exposure of infants after application to turf</w:t>
      </w:r>
    </w:p>
    <w:p w14:paraId="2B0888B1" w14:textId="77777777" w:rsidR="006E41DE" w:rsidRPr="007413ED" w:rsidRDefault="006E41DE" w:rsidP="006E41DE">
      <w:pPr>
        <w:spacing w:before="240" w:after="240"/>
        <w:rPr>
          <w:rFonts w:cs="Arial"/>
        </w:rPr>
      </w:pPr>
      <m:oMathPara>
        <m:oMath>
          <m:r>
            <w:rPr>
              <w:rFonts w:ascii="Cambria Math" w:hAnsi="Cambria Math"/>
            </w:rPr>
            <m:t>Exposure</m:t>
          </m:r>
          <m:r>
            <m:rPr>
              <m:sty m:val="p"/>
            </m:rPr>
            <w:rPr>
              <w:rFonts w:ascii="Cambria Math" w:hAnsi="Cambria Math"/>
            </w:rPr>
            <m:t>=</m:t>
          </m:r>
          <m:f>
            <m:fPr>
              <m:ctrlPr>
                <w:rPr>
                  <w:rFonts w:ascii="Cambria Math" w:hAnsi="Cambria Math"/>
                  <w:i/>
                </w:rPr>
              </m:ctrlPr>
            </m:fPr>
            <m:num>
              <m:d>
                <m:dPr>
                  <m:ctrlPr>
                    <w:rPr>
                      <w:rFonts w:ascii="Cambria Math" w:hAnsi="Cambria Math"/>
                      <w:i/>
                    </w:rPr>
                  </m:ctrlPr>
                </m:dPr>
                <m:e>
                  <m:r>
                    <w:rPr>
                      <w:rFonts w:ascii="Cambria Math" w:hAnsi="Cambria Math"/>
                    </w:rPr>
                    <m:t>Dermal adsorption</m:t>
                  </m:r>
                </m:e>
              </m:d>
              <m:r>
                <w:rPr>
                  <w:rFonts w:ascii="Cambria Math" w:hAnsi="Cambria Math"/>
                </w:rPr>
                <m:t>+</m:t>
              </m:r>
              <m:d>
                <m:dPr>
                  <m:ctrlPr>
                    <w:rPr>
                      <w:rFonts w:ascii="Cambria Math" w:hAnsi="Cambria Math"/>
                      <w:i/>
                    </w:rPr>
                  </m:ctrlPr>
                </m:dPr>
                <m:e>
                  <m:r>
                    <w:rPr>
                      <w:rFonts w:ascii="Cambria Math" w:hAnsi="Cambria Math"/>
                    </w:rPr>
                    <m:t>Oral adsorption</m:t>
                  </m:r>
                </m:e>
              </m:d>
            </m:num>
            <m:den>
              <m:r>
                <w:rPr>
                  <w:rFonts w:ascii="Cambria Math" w:hAnsi="Cambria Math"/>
                </w:rPr>
                <m:t>Body Weight</m:t>
              </m:r>
            </m:den>
          </m:f>
        </m:oMath>
      </m:oMathPara>
    </w:p>
    <w:p w14:paraId="0170A59A" w14:textId="77777777" w:rsidR="006E41DE" w:rsidRPr="00BF33FD" w:rsidRDefault="006E41DE" w:rsidP="006E41DE">
      <w:pPr>
        <w:spacing w:before="360" w:after="240"/>
        <w:rPr>
          <w:rFonts w:eastAsiaTheme="minorEastAsia"/>
        </w:rPr>
      </w:pPr>
      <m:oMathPara>
        <m:oMath>
          <m:r>
            <w:rPr>
              <w:rFonts w:ascii="Cambria Math" w:hAnsi="Cambria Math"/>
            </w:rPr>
            <m:t>Exposure</m:t>
          </m:r>
          <m:r>
            <m:rPr>
              <m:sty m:val="p"/>
            </m:rPr>
            <w:rPr>
              <w:rFonts w:ascii="Cambria Math" w:hAnsi="Cambria Math"/>
            </w:rPr>
            <m:t>=</m:t>
          </m:r>
          <m:f>
            <m:fPr>
              <m:ctrlPr>
                <w:rPr>
                  <w:rFonts w:ascii="Cambria Math" w:hAnsi="Cambria Math"/>
                  <w:i/>
                </w:rPr>
              </m:ctrlPr>
            </m:fPr>
            <m:num>
              <m:d>
                <m:dPr>
                  <m:ctrlPr>
                    <w:rPr>
                      <w:rFonts w:ascii="Cambria Math" w:hAnsi="Cambria Math"/>
                      <w:i/>
                    </w:rPr>
                  </m:ctrlPr>
                </m:dPr>
                <m:e>
                  <m:r>
                    <w:rPr>
                      <w:rFonts w:ascii="Cambria Math" w:hAnsi="Cambria Math"/>
                    </w:rPr>
                    <m:t>AR×DepR×Ac×DA×TC×ET</m:t>
                  </m:r>
                </m:e>
              </m:d>
              <m:r>
                <w:rPr>
                  <w:rFonts w:ascii="Cambria Math" w:hAnsi="Cambria Math"/>
                </w:rPr>
                <m:t>+</m:t>
              </m:r>
              <m:d>
                <m:dPr>
                  <m:ctrlPr>
                    <w:rPr>
                      <w:rFonts w:ascii="Cambria Math" w:hAnsi="Cambria Math"/>
                      <w:i/>
                    </w:rPr>
                  </m:ctrlPr>
                </m:dPr>
                <m:e>
                  <m:r>
                    <w:rPr>
                      <w:rFonts w:ascii="Cambria Math" w:hAnsi="Cambria Math"/>
                    </w:rPr>
                    <m:t>AR×DepR ×Ac×B×SAo×FQ×ETo</m:t>
                  </m:r>
                </m:e>
              </m:d>
            </m:num>
            <m:den>
              <m:r>
                <w:rPr>
                  <w:rFonts w:ascii="Cambria Math" w:hAnsi="Cambria Math"/>
                </w:rPr>
                <m:t>BW</m:t>
              </m:r>
            </m:den>
          </m:f>
        </m:oMath>
      </m:oMathPara>
    </w:p>
    <w:p w14:paraId="598DBA5E" w14:textId="77777777" w:rsidR="006E41DE" w:rsidRPr="00380390" w:rsidRDefault="006E41DE" w:rsidP="006E41DE">
      <w:pPr>
        <w:spacing w:before="360" w:after="240"/>
        <w:rPr>
          <w:rFonts w:eastAsiaTheme="minorEastAsia"/>
        </w:rPr>
      </w:pPr>
      <m:oMathPara>
        <m:oMath>
          <m:r>
            <w:rPr>
              <w:rFonts w:ascii="Cambria Math" w:hAnsi="Cambria Math"/>
            </w:rPr>
            <m:t xml:space="preserve">If, Exposure≤ </m:t>
          </m:r>
          <m:f>
            <m:fPr>
              <m:ctrlPr>
                <w:rPr>
                  <w:rFonts w:ascii="Cambria Math" w:hAnsi="Cambria Math"/>
                </w:rPr>
              </m:ctrlPr>
            </m:fPr>
            <m:num>
              <m:r>
                <w:rPr>
                  <w:rFonts w:ascii="Cambria Math" w:hAnsi="Cambria Math"/>
                </w:rPr>
                <m:t>NOAEL</m:t>
              </m:r>
            </m:num>
            <m:den>
              <m:r>
                <w:rPr>
                  <w:rFonts w:ascii="Cambria Math" w:hAnsi="Cambria Math"/>
                </w:rPr>
                <m:t>MoE</m:t>
              </m:r>
            </m:den>
          </m:f>
          <m:r>
            <m:rPr>
              <m:sty m:val="p"/>
            </m:rPr>
            <w:rPr>
              <w:rFonts w:ascii="Cambria Math" w:hAnsi="Cambria Math"/>
            </w:rPr>
            <m:t xml:space="preserve"> risk is acceptable and a re˗entry period is not required</m:t>
          </m:r>
        </m:oMath>
      </m:oMathPara>
    </w:p>
    <w:p w14:paraId="2D33958C" w14:textId="77777777" w:rsidR="006E41DE" w:rsidRPr="00BF33FD" w:rsidRDefault="006E41DE" w:rsidP="006E41DE">
      <w:pPr>
        <w:spacing w:before="360" w:after="240"/>
        <w:rPr>
          <w:rFonts w:eastAsiaTheme="minorEastAsia"/>
        </w:rPr>
      </w:pPr>
      <m:oMathPara>
        <m:oMath>
          <m:r>
            <w:rPr>
              <w:rFonts w:ascii="Cambria Math" w:hAnsi="Cambria Math"/>
            </w:rPr>
            <m:t xml:space="preserve">If, Exposure&gt; </m:t>
          </m:r>
          <m:f>
            <m:fPr>
              <m:ctrlPr>
                <w:rPr>
                  <w:rFonts w:ascii="Cambria Math" w:hAnsi="Cambria Math"/>
                </w:rPr>
              </m:ctrlPr>
            </m:fPr>
            <m:num>
              <m:r>
                <w:rPr>
                  <w:rFonts w:ascii="Cambria Math" w:hAnsi="Cambria Math"/>
                </w:rPr>
                <m:t>NOAEL</m:t>
              </m:r>
            </m:num>
            <m:den>
              <m:r>
                <w:rPr>
                  <w:rFonts w:ascii="Cambria Math" w:hAnsi="Cambria Math"/>
                </w:rPr>
                <m:t>MoE</m:t>
              </m:r>
            </m:den>
          </m:f>
          <m:r>
            <m:rPr>
              <m:sty m:val="p"/>
            </m:rPr>
            <w:rPr>
              <w:rFonts w:ascii="Cambria Math" w:hAnsi="Cambria Math"/>
            </w:rPr>
            <m:t xml:space="preserve"> risk is unacceptable and a re˗entry period must be established</m:t>
          </m:r>
        </m:oMath>
      </m:oMathPara>
    </w:p>
    <w:p w14:paraId="2EFCE24B" w14:textId="77777777" w:rsidR="006E41DE" w:rsidRPr="006E41DE" w:rsidRDefault="006E41DE" w:rsidP="006E41DE">
      <w:pPr>
        <w:pStyle w:val="NormalText"/>
      </w:pPr>
      <w:r w:rsidRPr="006E41DE">
        <w:t>For applications to turf, the application rate (AR) is the level of active constituent deposited in the target area. When considering exposure of an off-target area through spray drift (which varies according to the way the product is applied as well as the application rate), this value is equivalent to the level of active constituent that can be deposited outside the target area and not pose an unacceptable risk (ie the bystander RAL).</w:t>
      </w:r>
    </w:p>
    <w:p w14:paraId="36822732" w14:textId="77777777" w:rsidR="006E41DE" w:rsidRPr="006E41DE" w:rsidRDefault="006E41DE" w:rsidP="006E41DE">
      <w:pPr>
        <w:pStyle w:val="NormalText"/>
      </w:pPr>
      <w:r w:rsidRPr="006E41DE">
        <w:t>This formula also normally has an additional variable to account for dissipation of residues over time. Dissipation is not relevant to spray drift because it is unreasonable to expect that a re-entry period can be implemented outside the target area.</w:t>
      </w:r>
    </w:p>
    <w:p w14:paraId="3A267BBC" w14:textId="501722B2" w:rsidR="006E41DE" w:rsidRPr="006E41DE" w:rsidRDefault="006E41DE" w:rsidP="006E41DE">
      <w:pPr>
        <w:pStyle w:val="NormalText"/>
      </w:pPr>
      <w:r w:rsidRPr="006E41DE">
        <w:t xml:space="preserve">As ‘Exposure’ is equal to, or less than, the NOAEL divided by the MoE, the following substitutions can be made to this formula which can then be converted to calculate </w:t>
      </w:r>
      <w:r w:rsidR="00460E9D">
        <w:t>the RAL, as shown in e</w:t>
      </w:r>
      <w:r w:rsidRPr="006E41DE">
        <w:t>quation 2:</w:t>
      </w:r>
    </w:p>
    <w:p w14:paraId="7165BB94" w14:textId="77777777" w:rsidR="006E41DE" w:rsidRPr="006E41DE" w:rsidRDefault="006E41DE" w:rsidP="006E41DE">
      <w:pPr>
        <w:pStyle w:val="Bullet1"/>
      </w:pPr>
      <w:r w:rsidRPr="006E41DE">
        <w:t>AR ≡ RAL, which becomes the unknown in the formula</w:t>
      </w:r>
    </w:p>
    <w:p w14:paraId="66DA0643" w14:textId="4FB43141" w:rsidR="006E41DE" w:rsidRPr="006E41DE" w:rsidRDefault="006E41DE" w:rsidP="006E41DE">
      <w:pPr>
        <w:pStyle w:val="Bullet1"/>
      </w:pPr>
      <w:r w:rsidRPr="006E41DE">
        <w:t>Exposure ≡ NOAEL/MoE, which become known variables in the formula.</w:t>
      </w:r>
    </w:p>
    <w:p w14:paraId="552F2EF3" w14:textId="77777777" w:rsidR="00AF3793" w:rsidRDefault="006E41DE" w:rsidP="006E41DE">
      <w:pPr>
        <w:pStyle w:val="Caption"/>
      </w:pPr>
      <w:r>
        <w:t>Equation 2: Conversion of application to turf formula to determine bystander area RAL</w:t>
      </w:r>
    </w:p>
    <w:p w14:paraId="0E290EBA" w14:textId="77777777" w:rsidR="006E41DE" w:rsidRPr="00CC0BC6" w:rsidRDefault="008516F4" w:rsidP="006E41DE">
      <w:pPr>
        <w:spacing w:before="360" w:after="240"/>
        <w:rPr>
          <w:rFonts w:eastAsiaTheme="minorEastAsia"/>
        </w:rPr>
      </w:pPr>
      <m:oMathPara>
        <m:oMath>
          <m:f>
            <m:fPr>
              <m:ctrlPr>
                <w:rPr>
                  <w:rFonts w:ascii="Cambria Math" w:hAnsi="Cambria Math"/>
                </w:rPr>
              </m:ctrlPr>
            </m:fPr>
            <m:num>
              <m:r>
                <w:rPr>
                  <w:rFonts w:ascii="Cambria Math" w:hAnsi="Cambria Math"/>
                </w:rPr>
                <m:t>NOAEL</m:t>
              </m:r>
            </m:num>
            <m:den>
              <m:r>
                <w:rPr>
                  <w:rFonts w:ascii="Cambria Math" w:hAnsi="Cambria Math"/>
                </w:rPr>
                <m:t>MoE</m:t>
              </m:r>
            </m:den>
          </m:f>
          <m:r>
            <m:rPr>
              <m:sty m:val="p"/>
            </m:rPr>
            <w:rPr>
              <w:rFonts w:ascii="Cambria Math" w:hAnsi="Cambria Math"/>
            </w:rPr>
            <m:t>=</m:t>
          </m:r>
          <m:f>
            <m:fPr>
              <m:ctrlPr>
                <w:rPr>
                  <w:rFonts w:ascii="Cambria Math" w:hAnsi="Cambria Math"/>
                  <w:i/>
                </w:rPr>
              </m:ctrlPr>
            </m:fPr>
            <m:num>
              <m:d>
                <m:dPr>
                  <m:ctrlPr>
                    <w:rPr>
                      <w:rFonts w:ascii="Cambria Math" w:hAnsi="Cambria Math"/>
                      <w:i/>
                    </w:rPr>
                  </m:ctrlPr>
                </m:dPr>
                <m:e>
                  <m:r>
                    <w:rPr>
                      <w:rFonts w:ascii="Cambria Math" w:hAnsi="Cambria Math"/>
                    </w:rPr>
                    <m:t>RAL ×DepR  ×Ac×DA ×TC ×ET</m:t>
                  </m:r>
                </m:e>
              </m:d>
              <m:r>
                <w:rPr>
                  <w:rFonts w:ascii="Cambria Math" w:hAnsi="Cambria Math"/>
                </w:rPr>
                <m:t>+</m:t>
              </m:r>
              <m:d>
                <m:dPr>
                  <m:ctrlPr>
                    <w:rPr>
                      <w:rFonts w:ascii="Cambria Math" w:hAnsi="Cambria Math"/>
                      <w:i/>
                    </w:rPr>
                  </m:ctrlPr>
                </m:dPr>
                <m:e>
                  <m:r>
                    <w:rPr>
                      <w:rFonts w:ascii="Cambria Math" w:hAnsi="Cambria Math"/>
                    </w:rPr>
                    <m:t>RAL ×DepR ×Ac ×B ×SAo×FQ×ETo</m:t>
                  </m:r>
                </m:e>
              </m:d>
            </m:num>
            <m:den>
              <m:r>
                <w:rPr>
                  <w:rFonts w:ascii="Cambria Math" w:hAnsi="Cambria Math"/>
                </w:rPr>
                <m:t>BW</m:t>
              </m:r>
            </m:den>
          </m:f>
        </m:oMath>
      </m:oMathPara>
    </w:p>
    <w:p w14:paraId="58269F01" w14:textId="77777777" w:rsidR="006E41DE" w:rsidRPr="00CC0BC6" w:rsidRDefault="008516F4" w:rsidP="006E41DE">
      <w:pPr>
        <w:spacing w:before="360" w:after="240"/>
        <w:rPr>
          <w:rFonts w:eastAsiaTheme="minorEastAsia"/>
        </w:rPr>
      </w:pPr>
      <m:oMathPara>
        <m:oMath>
          <m:d>
            <m:dPr>
              <m:ctrlPr>
                <w:rPr>
                  <w:rFonts w:ascii="Cambria Math" w:hAnsi="Cambria Math"/>
                </w:rPr>
              </m:ctrlPr>
            </m:dPr>
            <m:e>
              <m:f>
                <m:fPr>
                  <m:ctrlPr>
                    <w:rPr>
                      <w:rFonts w:ascii="Cambria Math" w:hAnsi="Cambria Math"/>
                    </w:rPr>
                  </m:ctrlPr>
                </m:fPr>
                <m:num>
                  <m:r>
                    <w:rPr>
                      <w:rFonts w:ascii="Cambria Math" w:hAnsi="Cambria Math"/>
                    </w:rPr>
                    <m:t>NOAEL</m:t>
                  </m:r>
                </m:num>
                <m:den>
                  <m:r>
                    <w:rPr>
                      <w:rFonts w:ascii="Cambria Math" w:hAnsi="Cambria Math"/>
                    </w:rPr>
                    <m:t>MoE</m:t>
                  </m:r>
                </m:den>
              </m:f>
            </m:e>
          </m:d>
          <m:r>
            <m:rPr>
              <m:sty m:val="p"/>
            </m:rPr>
            <w:rPr>
              <w:rFonts w:ascii="Cambria Math" w:hAnsi="Cambria Math"/>
            </w:rPr>
            <m:t>×</m:t>
          </m:r>
          <m:r>
            <w:rPr>
              <w:rFonts w:ascii="Cambria Math" w:hAnsi="Cambria Math"/>
            </w:rPr>
            <m:t>BW</m:t>
          </m:r>
          <m:r>
            <m:rPr>
              <m:sty m:val="p"/>
            </m:rPr>
            <w:rPr>
              <w:rFonts w:ascii="Cambria Math" w:hAnsi="Cambria Math"/>
            </w:rPr>
            <m:t>=</m:t>
          </m:r>
          <m:d>
            <m:dPr>
              <m:ctrlPr>
                <w:rPr>
                  <w:rFonts w:ascii="Cambria Math" w:hAnsi="Cambria Math"/>
                  <w:i/>
                </w:rPr>
              </m:ctrlPr>
            </m:dPr>
            <m:e>
              <m:r>
                <w:rPr>
                  <w:rFonts w:ascii="Cambria Math" w:hAnsi="Cambria Math"/>
                </w:rPr>
                <m:t>RAL×DepR×Ac×DA×TC×ET</m:t>
              </m:r>
            </m:e>
          </m:d>
          <m:r>
            <w:rPr>
              <w:rFonts w:ascii="Cambria Math" w:hAnsi="Cambria Math"/>
            </w:rPr>
            <m:t>+</m:t>
          </m:r>
          <m:d>
            <m:dPr>
              <m:ctrlPr>
                <w:rPr>
                  <w:rFonts w:ascii="Cambria Math" w:hAnsi="Cambria Math"/>
                  <w:i/>
                </w:rPr>
              </m:ctrlPr>
            </m:dPr>
            <m:e>
              <m:r>
                <w:rPr>
                  <w:rFonts w:ascii="Cambria Math" w:hAnsi="Cambria Math"/>
                </w:rPr>
                <m:t>RAL×DepR×Ac×B×SAo×FQ×ETo</m:t>
              </m:r>
            </m:e>
          </m:d>
        </m:oMath>
      </m:oMathPara>
    </w:p>
    <w:p w14:paraId="5CAED45C" w14:textId="77777777" w:rsidR="006E41DE" w:rsidRPr="00C85448" w:rsidRDefault="008516F4" w:rsidP="006E41DE">
      <w:pPr>
        <w:spacing w:before="360" w:after="240"/>
        <w:rPr>
          <w:rFonts w:eastAsiaTheme="minorEastAsia"/>
        </w:rPr>
      </w:pPr>
      <m:oMathPara>
        <m:oMath>
          <m:d>
            <m:dPr>
              <m:ctrlPr>
                <w:rPr>
                  <w:rFonts w:ascii="Cambria Math" w:hAnsi="Cambria Math"/>
                </w:rPr>
              </m:ctrlPr>
            </m:dPr>
            <m:e>
              <m:f>
                <m:fPr>
                  <m:ctrlPr>
                    <w:rPr>
                      <w:rFonts w:ascii="Cambria Math" w:hAnsi="Cambria Math"/>
                    </w:rPr>
                  </m:ctrlPr>
                </m:fPr>
                <m:num>
                  <m:r>
                    <w:rPr>
                      <w:rFonts w:ascii="Cambria Math" w:hAnsi="Cambria Math"/>
                    </w:rPr>
                    <m:t>NOEL</m:t>
                  </m:r>
                </m:num>
                <m:den>
                  <m:r>
                    <w:rPr>
                      <w:rFonts w:ascii="Cambria Math" w:hAnsi="Cambria Math"/>
                    </w:rPr>
                    <m:t>MoE</m:t>
                  </m:r>
                </m:den>
              </m:f>
            </m:e>
          </m:d>
          <m:r>
            <m:rPr>
              <m:sty m:val="p"/>
            </m:rPr>
            <w:rPr>
              <w:rFonts w:ascii="Cambria Math" w:hAnsi="Cambria Math"/>
            </w:rPr>
            <m:t>×</m:t>
          </m:r>
          <m:r>
            <w:rPr>
              <w:rFonts w:ascii="Cambria Math" w:hAnsi="Cambria Math"/>
            </w:rPr>
            <m:t>BW</m:t>
          </m:r>
          <m:r>
            <m:rPr>
              <m:sty m:val="p"/>
            </m:rPr>
            <w:rPr>
              <w:rFonts w:ascii="Cambria Math" w:hAnsi="Cambria Math"/>
            </w:rPr>
            <m:t>=RAL×</m:t>
          </m:r>
          <m:d>
            <m:dPr>
              <m:ctrlPr>
                <w:rPr>
                  <w:rFonts w:ascii="Cambria Math" w:hAnsi="Cambria Math"/>
                  <w:i/>
                </w:rPr>
              </m:ctrlPr>
            </m:dPr>
            <m:e>
              <m:r>
                <w:rPr>
                  <w:rFonts w:ascii="Cambria Math" w:hAnsi="Cambria Math"/>
                </w:rPr>
                <m:t>(DepR×Ac×DA×TC×ET)+(DepR×Ac×B×SAo×FQ×ETo)</m:t>
              </m:r>
            </m:e>
          </m:d>
        </m:oMath>
      </m:oMathPara>
    </w:p>
    <w:p w14:paraId="3A15B5F3" w14:textId="77777777" w:rsidR="006E41DE" w:rsidRDefault="006E41DE" w:rsidP="006E41DE">
      <w:pPr>
        <w:spacing w:before="480" w:after="240"/>
      </w:pPr>
      <m:oMathPara>
        <m:oMath>
          <m:r>
            <m:rPr>
              <m:sty m:val="p"/>
            </m:rPr>
            <w:rPr>
              <w:rFonts w:ascii="Cambria Math" w:hAnsi="Cambria Math"/>
            </w:rPr>
            <m:t>RAL=</m:t>
          </m:r>
          <m:f>
            <m:fPr>
              <m:ctrlPr>
                <w:rPr>
                  <w:rFonts w:ascii="Cambria Math" w:hAnsi="Cambria Math"/>
                </w:rPr>
              </m:ctrlPr>
            </m:fPr>
            <m:num>
              <m:d>
                <m:dPr>
                  <m:ctrlPr>
                    <w:rPr>
                      <w:rFonts w:ascii="Cambria Math" w:hAnsi="Cambria Math"/>
                    </w:rPr>
                  </m:ctrlPr>
                </m:dPr>
                <m:e>
                  <m:f>
                    <m:fPr>
                      <m:ctrlPr>
                        <w:rPr>
                          <w:rFonts w:ascii="Cambria Math" w:hAnsi="Cambria Math"/>
                        </w:rPr>
                      </m:ctrlPr>
                    </m:fPr>
                    <m:num>
                      <m:r>
                        <w:rPr>
                          <w:rFonts w:ascii="Cambria Math" w:hAnsi="Cambria Math"/>
                        </w:rPr>
                        <m:t>NOAEL</m:t>
                      </m:r>
                    </m:num>
                    <m:den>
                      <m:r>
                        <w:rPr>
                          <w:rFonts w:ascii="Cambria Math" w:hAnsi="Cambria Math"/>
                        </w:rPr>
                        <m:t>MoE</m:t>
                      </m:r>
                    </m:den>
                  </m:f>
                </m:e>
              </m:d>
              <m:r>
                <m:rPr>
                  <m:sty m:val="p"/>
                </m:rPr>
                <w:rPr>
                  <w:rFonts w:ascii="Cambria Math" w:hAnsi="Cambria Math"/>
                </w:rPr>
                <m:t>×</m:t>
              </m:r>
              <m:r>
                <w:rPr>
                  <w:rFonts w:ascii="Cambria Math" w:hAnsi="Cambria Math"/>
                </w:rPr>
                <m:t>BW</m:t>
              </m:r>
            </m:num>
            <m:den>
              <m:d>
                <m:dPr>
                  <m:ctrlPr>
                    <w:rPr>
                      <w:rFonts w:ascii="Cambria Math" w:hAnsi="Cambria Math"/>
                      <w:i/>
                    </w:rPr>
                  </m:ctrlPr>
                </m:dPr>
                <m:e>
                  <m:r>
                    <w:rPr>
                      <w:rFonts w:ascii="Cambria Math" w:hAnsi="Cambria Math"/>
                    </w:rPr>
                    <m:t>(DepR×Ac×DA×TC×ET)+(DepR×Ac×B×SAo×FQ×ETo)</m:t>
                  </m:r>
                </m:e>
              </m:d>
            </m:den>
          </m:f>
        </m:oMath>
      </m:oMathPara>
    </w:p>
    <w:p w14:paraId="6DF1EDA9" w14:textId="77777777" w:rsidR="006E41DE" w:rsidRDefault="006E41DE" w:rsidP="006E41DE">
      <w:pPr>
        <w:pStyle w:val="Caption"/>
      </w:pPr>
      <w:bookmarkStart w:id="19" w:name="_Toc14340882"/>
      <w:r>
        <w:lastRenderedPageBreak/>
        <w:t xml:space="preserve">Table </w:t>
      </w:r>
      <w:r w:rsidR="00371051">
        <w:rPr>
          <w:noProof/>
        </w:rPr>
        <w:fldChar w:fldCharType="begin"/>
      </w:r>
      <w:r w:rsidR="00371051">
        <w:rPr>
          <w:noProof/>
        </w:rPr>
        <w:instrText xml:space="preserve"> SEQ Table \* ARABIC </w:instrText>
      </w:r>
      <w:r w:rsidR="00371051">
        <w:rPr>
          <w:noProof/>
        </w:rPr>
        <w:fldChar w:fldCharType="separate"/>
      </w:r>
      <w:r w:rsidR="00037DBD">
        <w:rPr>
          <w:noProof/>
        </w:rPr>
        <w:t>3</w:t>
      </w:r>
      <w:r w:rsidR="00371051">
        <w:rPr>
          <w:noProof/>
        </w:rPr>
        <w:fldChar w:fldCharType="end"/>
      </w:r>
      <w:r>
        <w:t>:</w:t>
      </w:r>
      <w:r>
        <w:tab/>
        <w:t>Bystander area RAL units and default values</w:t>
      </w:r>
      <w:bookmarkEnd w:id="19"/>
    </w:p>
    <w:tbl>
      <w:tblPr>
        <w:tblW w:w="5000" w:type="pct"/>
        <w:tblBorders>
          <w:bottom w:val="dotted" w:sz="2" w:space="0" w:color="auto"/>
          <w:insideH w:val="dotted" w:sz="2" w:space="0" w:color="auto"/>
        </w:tblBorders>
        <w:tblLook w:val="01E0" w:firstRow="1" w:lastRow="1" w:firstColumn="1" w:lastColumn="1" w:noHBand="0" w:noVBand="0"/>
        <w:tblCaption w:val="Bystander area RAL units and default values"/>
        <w:tblDescription w:val="This table outlines the variables used to calculate bystander regulatory acceptable leves and includes units, default values and comments on the variables."/>
      </w:tblPr>
      <w:tblGrid>
        <w:gridCol w:w="993"/>
        <w:gridCol w:w="1417"/>
        <w:gridCol w:w="1276"/>
        <w:gridCol w:w="1985"/>
        <w:gridCol w:w="3967"/>
      </w:tblGrid>
      <w:tr w:rsidR="006E41DE" w14:paraId="671BA627" w14:textId="77777777" w:rsidTr="00F807AA">
        <w:trPr>
          <w:cantSplit/>
          <w:tblHeader/>
        </w:trPr>
        <w:tc>
          <w:tcPr>
            <w:tcW w:w="1250" w:type="pct"/>
            <w:gridSpan w:val="2"/>
            <w:tcBorders>
              <w:bottom w:val="single" w:sz="4" w:space="0" w:color="auto"/>
            </w:tcBorders>
            <w:shd w:val="clear" w:color="auto" w:fill="53284F"/>
            <w:vAlign w:val="bottom"/>
          </w:tcPr>
          <w:p w14:paraId="75376A0C" w14:textId="77777777" w:rsidR="006E41DE" w:rsidRDefault="006E41DE" w:rsidP="00DE4D2F">
            <w:pPr>
              <w:pStyle w:val="APVMATableHead"/>
            </w:pPr>
            <w:r>
              <w:t>Variable</w:t>
            </w:r>
          </w:p>
        </w:tc>
        <w:tc>
          <w:tcPr>
            <w:tcW w:w="662" w:type="pct"/>
            <w:tcBorders>
              <w:bottom w:val="single" w:sz="4" w:space="0" w:color="auto"/>
            </w:tcBorders>
            <w:shd w:val="clear" w:color="auto" w:fill="53284F"/>
            <w:vAlign w:val="bottom"/>
          </w:tcPr>
          <w:p w14:paraId="69EC3FB9" w14:textId="77777777" w:rsidR="006E41DE" w:rsidRDefault="006E41DE" w:rsidP="00DE4D2F">
            <w:pPr>
              <w:pStyle w:val="APVMATableHead"/>
            </w:pPr>
            <w:r>
              <w:t>Units</w:t>
            </w:r>
          </w:p>
        </w:tc>
        <w:tc>
          <w:tcPr>
            <w:tcW w:w="1030" w:type="pct"/>
            <w:tcBorders>
              <w:bottom w:val="single" w:sz="4" w:space="0" w:color="auto"/>
            </w:tcBorders>
            <w:shd w:val="clear" w:color="auto" w:fill="53284F"/>
            <w:vAlign w:val="bottom"/>
          </w:tcPr>
          <w:p w14:paraId="275595AB" w14:textId="77777777" w:rsidR="006E41DE" w:rsidRDefault="006E41DE" w:rsidP="00DE4D2F">
            <w:pPr>
              <w:pStyle w:val="APVMATableHead"/>
            </w:pPr>
            <w:r>
              <w:t>Default value</w:t>
            </w:r>
          </w:p>
        </w:tc>
        <w:tc>
          <w:tcPr>
            <w:tcW w:w="2058" w:type="pct"/>
            <w:tcBorders>
              <w:bottom w:val="single" w:sz="4" w:space="0" w:color="auto"/>
            </w:tcBorders>
            <w:shd w:val="clear" w:color="auto" w:fill="53284F"/>
            <w:vAlign w:val="bottom"/>
          </w:tcPr>
          <w:p w14:paraId="195B8575" w14:textId="77777777" w:rsidR="006E41DE" w:rsidRDefault="006E41DE" w:rsidP="00DE4D2F">
            <w:pPr>
              <w:pStyle w:val="APVMATableHead"/>
            </w:pPr>
            <w:r>
              <w:t>Comment</w:t>
            </w:r>
          </w:p>
        </w:tc>
      </w:tr>
      <w:tr w:rsidR="00EA64F5" w14:paraId="6DB2F0A7" w14:textId="77777777" w:rsidTr="00F807AA">
        <w:trPr>
          <w:cantSplit/>
        </w:trPr>
        <w:tc>
          <w:tcPr>
            <w:tcW w:w="515" w:type="pct"/>
            <w:tcBorders>
              <w:top w:val="single" w:sz="4" w:space="0" w:color="auto"/>
              <w:bottom w:val="single" w:sz="4" w:space="0" w:color="auto"/>
            </w:tcBorders>
          </w:tcPr>
          <w:p w14:paraId="2AC21F67" w14:textId="77777777" w:rsidR="006E41DE" w:rsidRDefault="006E41DE" w:rsidP="006E41DE">
            <w:pPr>
              <w:pStyle w:val="APVMATableText"/>
            </w:pPr>
            <w:r>
              <w:t>AR</w:t>
            </w:r>
          </w:p>
        </w:tc>
        <w:tc>
          <w:tcPr>
            <w:tcW w:w="735" w:type="pct"/>
            <w:tcBorders>
              <w:top w:val="single" w:sz="4" w:space="0" w:color="auto"/>
              <w:bottom w:val="single" w:sz="4" w:space="0" w:color="auto"/>
            </w:tcBorders>
          </w:tcPr>
          <w:p w14:paraId="743B8835" w14:textId="77777777" w:rsidR="006E41DE" w:rsidRDefault="006E41DE" w:rsidP="006E41DE">
            <w:pPr>
              <w:pStyle w:val="APVMATableText"/>
            </w:pPr>
            <w:r>
              <w:t>Application rate</w:t>
            </w:r>
          </w:p>
        </w:tc>
        <w:tc>
          <w:tcPr>
            <w:tcW w:w="662" w:type="pct"/>
            <w:tcBorders>
              <w:top w:val="single" w:sz="4" w:space="0" w:color="auto"/>
              <w:bottom w:val="single" w:sz="4" w:space="0" w:color="auto"/>
            </w:tcBorders>
          </w:tcPr>
          <w:p w14:paraId="2AE558A2" w14:textId="77777777" w:rsidR="006E41DE" w:rsidRDefault="006E41DE" w:rsidP="006E41DE">
            <w:pPr>
              <w:pStyle w:val="APVMATableText"/>
            </w:pPr>
            <w:r>
              <w:t>mg ac/cm</w:t>
            </w:r>
            <w:r w:rsidRPr="00A16DEE">
              <w:rPr>
                <w:vertAlign w:val="superscript"/>
              </w:rPr>
              <w:t>2</w:t>
            </w:r>
          </w:p>
        </w:tc>
        <w:tc>
          <w:tcPr>
            <w:tcW w:w="1030" w:type="pct"/>
            <w:tcBorders>
              <w:top w:val="single" w:sz="4" w:space="0" w:color="auto"/>
              <w:bottom w:val="single" w:sz="4" w:space="0" w:color="auto"/>
            </w:tcBorders>
          </w:tcPr>
          <w:p w14:paraId="3B861099" w14:textId="77777777" w:rsidR="006E41DE" w:rsidRDefault="006E41DE" w:rsidP="006E41DE">
            <w:pPr>
              <w:pStyle w:val="APVMATableText"/>
            </w:pPr>
            <w:r>
              <w:t>-</w:t>
            </w:r>
          </w:p>
        </w:tc>
        <w:tc>
          <w:tcPr>
            <w:tcW w:w="2058" w:type="pct"/>
            <w:tcBorders>
              <w:top w:val="single" w:sz="4" w:space="0" w:color="auto"/>
              <w:bottom w:val="single" w:sz="4" w:space="0" w:color="auto"/>
            </w:tcBorders>
          </w:tcPr>
          <w:p w14:paraId="21379DF1" w14:textId="77777777" w:rsidR="006E41DE" w:rsidRDefault="006E41DE" w:rsidP="006E41DE">
            <w:pPr>
              <w:pStyle w:val="APVMATableText"/>
            </w:pPr>
            <w:r>
              <w:t>Deposition on turf calculated from the application rate for the use pattern on the label.</w:t>
            </w:r>
          </w:p>
        </w:tc>
      </w:tr>
      <w:tr w:rsidR="00EA64F5" w14:paraId="3F8DB193" w14:textId="77777777" w:rsidTr="00F807AA">
        <w:trPr>
          <w:cantSplit/>
        </w:trPr>
        <w:tc>
          <w:tcPr>
            <w:tcW w:w="515" w:type="pct"/>
            <w:tcBorders>
              <w:top w:val="single" w:sz="4" w:space="0" w:color="auto"/>
              <w:bottom w:val="single" w:sz="4" w:space="0" w:color="auto"/>
            </w:tcBorders>
          </w:tcPr>
          <w:p w14:paraId="04C7292A" w14:textId="77777777" w:rsidR="006E41DE" w:rsidRDefault="006E41DE" w:rsidP="006E41DE">
            <w:pPr>
              <w:pStyle w:val="APVMATableText"/>
            </w:pPr>
            <w:r>
              <w:t>B</w:t>
            </w:r>
          </w:p>
        </w:tc>
        <w:tc>
          <w:tcPr>
            <w:tcW w:w="735" w:type="pct"/>
            <w:tcBorders>
              <w:top w:val="single" w:sz="4" w:space="0" w:color="auto"/>
              <w:bottom w:val="single" w:sz="4" w:space="0" w:color="auto"/>
            </w:tcBorders>
          </w:tcPr>
          <w:p w14:paraId="6782D259" w14:textId="77777777" w:rsidR="006E41DE" w:rsidRDefault="006E41DE" w:rsidP="006E41DE">
            <w:pPr>
              <w:pStyle w:val="APVMATableText"/>
            </w:pPr>
            <w:r>
              <w:t>Oral bioavailability</w:t>
            </w:r>
          </w:p>
        </w:tc>
        <w:tc>
          <w:tcPr>
            <w:tcW w:w="662" w:type="pct"/>
            <w:tcBorders>
              <w:top w:val="single" w:sz="4" w:space="0" w:color="auto"/>
              <w:bottom w:val="single" w:sz="4" w:space="0" w:color="auto"/>
            </w:tcBorders>
          </w:tcPr>
          <w:p w14:paraId="20CC92F9" w14:textId="77777777" w:rsidR="006E41DE" w:rsidRDefault="006E41DE" w:rsidP="006E41DE">
            <w:pPr>
              <w:pStyle w:val="APVMATableText"/>
            </w:pPr>
            <w:r>
              <w:t>fraction</w:t>
            </w:r>
          </w:p>
        </w:tc>
        <w:tc>
          <w:tcPr>
            <w:tcW w:w="1030" w:type="pct"/>
            <w:tcBorders>
              <w:top w:val="single" w:sz="4" w:space="0" w:color="auto"/>
              <w:bottom w:val="single" w:sz="4" w:space="0" w:color="auto"/>
            </w:tcBorders>
          </w:tcPr>
          <w:p w14:paraId="632F30D9" w14:textId="77777777" w:rsidR="006E41DE" w:rsidRDefault="006E41DE" w:rsidP="006E41DE">
            <w:pPr>
              <w:pStyle w:val="APVMATableText"/>
            </w:pPr>
            <w:r>
              <w:t>1.0–DA</w:t>
            </w:r>
          </w:p>
        </w:tc>
        <w:tc>
          <w:tcPr>
            <w:tcW w:w="2058" w:type="pct"/>
            <w:tcBorders>
              <w:top w:val="single" w:sz="4" w:space="0" w:color="auto"/>
              <w:bottom w:val="single" w:sz="4" w:space="0" w:color="auto"/>
            </w:tcBorders>
          </w:tcPr>
          <w:p w14:paraId="2471DF3B" w14:textId="77777777" w:rsidR="006E41DE" w:rsidRDefault="006E41DE" w:rsidP="006E41DE">
            <w:pPr>
              <w:pStyle w:val="APVMATableText"/>
            </w:pPr>
            <w:r w:rsidRPr="00F4342F">
              <w:t>Estimates of oral bioavailability are usually determined from PK studies with oral dosing. In the absence of pesticide-specific data, suitable surrogate data using a valid scientific argument, such as ‘read across’ would be acceptable.</w:t>
            </w:r>
          </w:p>
        </w:tc>
      </w:tr>
      <w:tr w:rsidR="00EA64F5" w14:paraId="2F89E3BA" w14:textId="77777777" w:rsidTr="00F807AA">
        <w:trPr>
          <w:cantSplit/>
        </w:trPr>
        <w:tc>
          <w:tcPr>
            <w:tcW w:w="515" w:type="pct"/>
            <w:tcBorders>
              <w:top w:val="single" w:sz="4" w:space="0" w:color="auto"/>
              <w:bottom w:val="single" w:sz="4" w:space="0" w:color="auto"/>
            </w:tcBorders>
          </w:tcPr>
          <w:p w14:paraId="39E237C2" w14:textId="77777777" w:rsidR="006E41DE" w:rsidRDefault="006E41DE" w:rsidP="006E41DE">
            <w:pPr>
              <w:pStyle w:val="APVMATableText"/>
            </w:pPr>
            <w:r>
              <w:t>BW</w:t>
            </w:r>
          </w:p>
        </w:tc>
        <w:tc>
          <w:tcPr>
            <w:tcW w:w="735" w:type="pct"/>
            <w:tcBorders>
              <w:top w:val="single" w:sz="4" w:space="0" w:color="auto"/>
              <w:bottom w:val="single" w:sz="4" w:space="0" w:color="auto"/>
            </w:tcBorders>
          </w:tcPr>
          <w:p w14:paraId="3681E1C6" w14:textId="77777777" w:rsidR="006E41DE" w:rsidRDefault="006E41DE" w:rsidP="006E41DE">
            <w:pPr>
              <w:pStyle w:val="APVMATableText"/>
            </w:pPr>
            <w:r>
              <w:t>Bodyweight</w:t>
            </w:r>
          </w:p>
        </w:tc>
        <w:tc>
          <w:tcPr>
            <w:tcW w:w="662" w:type="pct"/>
            <w:tcBorders>
              <w:top w:val="single" w:sz="4" w:space="0" w:color="auto"/>
              <w:bottom w:val="single" w:sz="4" w:space="0" w:color="auto"/>
            </w:tcBorders>
          </w:tcPr>
          <w:p w14:paraId="2FBF29AB" w14:textId="77777777" w:rsidR="006E41DE" w:rsidRDefault="006E41DE" w:rsidP="006E41DE">
            <w:pPr>
              <w:pStyle w:val="APVMATableText"/>
            </w:pPr>
            <w:r>
              <w:t>kg</w:t>
            </w:r>
          </w:p>
        </w:tc>
        <w:tc>
          <w:tcPr>
            <w:tcW w:w="1030" w:type="pct"/>
            <w:tcBorders>
              <w:top w:val="single" w:sz="4" w:space="0" w:color="auto"/>
              <w:bottom w:val="single" w:sz="4" w:space="0" w:color="auto"/>
            </w:tcBorders>
          </w:tcPr>
          <w:p w14:paraId="53AE5C90" w14:textId="77777777" w:rsidR="006E41DE" w:rsidRDefault="006E41DE" w:rsidP="006E41DE">
            <w:pPr>
              <w:pStyle w:val="APVMATableText"/>
            </w:pPr>
            <w:r>
              <w:t>11 (1–2 year olds)</w:t>
            </w:r>
          </w:p>
          <w:p w14:paraId="6321D92D" w14:textId="77777777" w:rsidR="006E41DE" w:rsidRDefault="006E41DE" w:rsidP="006E41DE">
            <w:pPr>
              <w:pStyle w:val="APVMATableText"/>
            </w:pPr>
            <w:r>
              <w:t>OR</w:t>
            </w:r>
          </w:p>
          <w:p w14:paraId="24957D86" w14:textId="77777777" w:rsidR="006E41DE" w:rsidRDefault="006E41DE" w:rsidP="006E41DE">
            <w:pPr>
              <w:pStyle w:val="APVMATableText"/>
            </w:pPr>
            <w:r>
              <w:t>15 (2–3 year olds)</w:t>
            </w:r>
          </w:p>
        </w:tc>
        <w:tc>
          <w:tcPr>
            <w:tcW w:w="2058" w:type="pct"/>
            <w:tcBorders>
              <w:top w:val="single" w:sz="4" w:space="0" w:color="auto"/>
              <w:bottom w:val="single" w:sz="4" w:space="0" w:color="auto"/>
            </w:tcBorders>
          </w:tcPr>
          <w:p w14:paraId="15FD3FEB" w14:textId="77777777" w:rsidR="006E41DE" w:rsidRDefault="006E41DE" w:rsidP="006E41DE">
            <w:pPr>
              <w:pStyle w:val="APVMATableText"/>
            </w:pPr>
            <w:r>
              <w:t>EnHealth (2012) recommends a bodyweight value for 1–2 year old children of 11 kg, and for 2–3 year olds of 15 kg.</w:t>
            </w:r>
          </w:p>
        </w:tc>
      </w:tr>
      <w:tr w:rsidR="00EA64F5" w14:paraId="0B17FCD8" w14:textId="77777777" w:rsidTr="00F807AA">
        <w:trPr>
          <w:cantSplit/>
        </w:trPr>
        <w:tc>
          <w:tcPr>
            <w:tcW w:w="515" w:type="pct"/>
            <w:tcBorders>
              <w:top w:val="single" w:sz="4" w:space="0" w:color="auto"/>
              <w:bottom w:val="single" w:sz="4" w:space="0" w:color="auto"/>
            </w:tcBorders>
          </w:tcPr>
          <w:p w14:paraId="57F229BD" w14:textId="77777777" w:rsidR="006E41DE" w:rsidRDefault="006E41DE" w:rsidP="006E41DE">
            <w:pPr>
              <w:pStyle w:val="APVMATableText"/>
            </w:pPr>
            <w:r>
              <w:t>DA</w:t>
            </w:r>
          </w:p>
        </w:tc>
        <w:tc>
          <w:tcPr>
            <w:tcW w:w="735" w:type="pct"/>
            <w:tcBorders>
              <w:top w:val="single" w:sz="4" w:space="0" w:color="auto"/>
              <w:bottom w:val="single" w:sz="4" w:space="0" w:color="auto"/>
            </w:tcBorders>
          </w:tcPr>
          <w:p w14:paraId="00382955" w14:textId="77777777" w:rsidR="006E41DE" w:rsidRDefault="006E41DE" w:rsidP="006E41DE">
            <w:pPr>
              <w:pStyle w:val="APVMATableText"/>
            </w:pPr>
            <w:r>
              <w:t>Dermal absorption factor</w:t>
            </w:r>
          </w:p>
        </w:tc>
        <w:tc>
          <w:tcPr>
            <w:tcW w:w="662" w:type="pct"/>
            <w:tcBorders>
              <w:top w:val="single" w:sz="4" w:space="0" w:color="auto"/>
              <w:bottom w:val="single" w:sz="4" w:space="0" w:color="auto"/>
            </w:tcBorders>
          </w:tcPr>
          <w:p w14:paraId="0596440D" w14:textId="77777777" w:rsidR="006E41DE" w:rsidRDefault="006E41DE" w:rsidP="006E41DE">
            <w:pPr>
              <w:pStyle w:val="APVMATableText"/>
            </w:pPr>
            <w:r>
              <w:t>fraction</w:t>
            </w:r>
          </w:p>
        </w:tc>
        <w:tc>
          <w:tcPr>
            <w:tcW w:w="1030" w:type="pct"/>
            <w:tcBorders>
              <w:top w:val="single" w:sz="4" w:space="0" w:color="auto"/>
              <w:bottom w:val="single" w:sz="4" w:space="0" w:color="auto"/>
            </w:tcBorders>
          </w:tcPr>
          <w:p w14:paraId="70BD539B" w14:textId="77777777" w:rsidR="006E41DE" w:rsidRDefault="006E41DE" w:rsidP="006E41DE">
            <w:pPr>
              <w:pStyle w:val="APVMATableText"/>
            </w:pPr>
            <w:r>
              <w:t>1.0</w:t>
            </w:r>
          </w:p>
        </w:tc>
        <w:tc>
          <w:tcPr>
            <w:tcW w:w="2058" w:type="pct"/>
            <w:tcBorders>
              <w:top w:val="single" w:sz="4" w:space="0" w:color="auto"/>
              <w:bottom w:val="single" w:sz="4" w:space="0" w:color="auto"/>
            </w:tcBorders>
          </w:tcPr>
          <w:p w14:paraId="2A3D41F4" w14:textId="77777777" w:rsidR="006E41DE" w:rsidRDefault="006E41DE" w:rsidP="006E41DE">
            <w:pPr>
              <w:pStyle w:val="APVMATableText"/>
            </w:pPr>
            <w:r w:rsidRPr="00F4342F">
              <w:t>In the absence of product-specific data, suitable surrogate data using a valid scientific argument, such as ‘read across’ can be used.</w:t>
            </w:r>
          </w:p>
        </w:tc>
      </w:tr>
      <w:tr w:rsidR="006E41DE" w14:paraId="51896F98" w14:textId="77777777" w:rsidTr="00F807AA">
        <w:trPr>
          <w:cantSplit/>
        </w:trPr>
        <w:tc>
          <w:tcPr>
            <w:tcW w:w="515" w:type="pct"/>
            <w:tcBorders>
              <w:top w:val="single" w:sz="4" w:space="0" w:color="auto"/>
              <w:bottom w:val="single" w:sz="4" w:space="0" w:color="auto"/>
            </w:tcBorders>
          </w:tcPr>
          <w:p w14:paraId="324B9DB9" w14:textId="77777777" w:rsidR="006E41DE" w:rsidRDefault="006E41DE" w:rsidP="006E41DE">
            <w:pPr>
              <w:pStyle w:val="APVMATableText"/>
            </w:pPr>
            <w:r>
              <w:t>DepR</w:t>
            </w:r>
          </w:p>
        </w:tc>
        <w:tc>
          <w:tcPr>
            <w:tcW w:w="735" w:type="pct"/>
            <w:tcBorders>
              <w:top w:val="single" w:sz="4" w:space="0" w:color="auto"/>
              <w:bottom w:val="single" w:sz="4" w:space="0" w:color="auto"/>
            </w:tcBorders>
          </w:tcPr>
          <w:p w14:paraId="19EE7EFA" w14:textId="77777777" w:rsidR="006E41DE" w:rsidRDefault="006E41DE" w:rsidP="006E41DE">
            <w:pPr>
              <w:pStyle w:val="APVMATableText"/>
            </w:pPr>
            <w:r>
              <w:t>Deposited Residue</w:t>
            </w:r>
          </w:p>
        </w:tc>
        <w:tc>
          <w:tcPr>
            <w:tcW w:w="662" w:type="pct"/>
            <w:tcBorders>
              <w:top w:val="single" w:sz="4" w:space="0" w:color="auto"/>
              <w:bottom w:val="single" w:sz="4" w:space="0" w:color="auto"/>
            </w:tcBorders>
          </w:tcPr>
          <w:p w14:paraId="6D89FC35" w14:textId="77777777" w:rsidR="006E41DE" w:rsidRDefault="006E41DE" w:rsidP="006E41DE">
            <w:pPr>
              <w:pStyle w:val="APVMATableText"/>
            </w:pPr>
            <w:r>
              <w:t>fraction</w:t>
            </w:r>
          </w:p>
        </w:tc>
        <w:tc>
          <w:tcPr>
            <w:tcW w:w="1030" w:type="pct"/>
            <w:vMerge w:val="restart"/>
            <w:tcBorders>
              <w:top w:val="single" w:sz="4" w:space="0" w:color="auto"/>
            </w:tcBorders>
          </w:tcPr>
          <w:p w14:paraId="619D70B7" w14:textId="77777777" w:rsidR="006E41DE" w:rsidRDefault="006E41DE" w:rsidP="006E41DE">
            <w:pPr>
              <w:pStyle w:val="APVMATableText"/>
            </w:pPr>
            <w:r>
              <w:t>Combined as 0.05</w:t>
            </w:r>
          </w:p>
        </w:tc>
        <w:tc>
          <w:tcPr>
            <w:tcW w:w="2058" w:type="pct"/>
            <w:vMerge w:val="restart"/>
            <w:tcBorders>
              <w:top w:val="single" w:sz="4" w:space="0" w:color="auto"/>
            </w:tcBorders>
          </w:tcPr>
          <w:p w14:paraId="6FFA193C" w14:textId="77777777" w:rsidR="006E41DE" w:rsidRDefault="006E41DE" w:rsidP="006E41DE">
            <w:pPr>
              <w:pStyle w:val="APVMATableText"/>
            </w:pPr>
            <w:r>
              <w:t>Together, these factors constitute a transferable residue factor (DepR x Ac).</w:t>
            </w:r>
          </w:p>
          <w:p w14:paraId="68A6FD31" w14:textId="77777777" w:rsidR="006E41DE" w:rsidRDefault="006E41DE" w:rsidP="006E41DE">
            <w:pPr>
              <w:pStyle w:val="APVMATableText"/>
            </w:pPr>
            <w:r>
              <w:t>EnHealth (2012) states that default for the accessibility of organics on surfaces is 100% (1.0), and 0.01% (0.0001) for inorganics, and that the default values are to be used 'only when other reasonable information is not available'. On the basis that most agricultural chemicals are organics, the default Ac is 1.0.</w:t>
            </w:r>
          </w:p>
          <w:p w14:paraId="694C3E4E" w14:textId="77777777" w:rsidR="006E41DE" w:rsidRDefault="006E41DE" w:rsidP="006E41DE">
            <w:pPr>
              <w:pStyle w:val="APVMATableText"/>
            </w:pPr>
            <w:r>
              <w:t xml:space="preserve">The default </w:t>
            </w:r>
            <w:r w:rsidRPr="00A16DEE">
              <w:t xml:space="preserve">value </w:t>
            </w:r>
            <w:r>
              <w:t xml:space="preserve">for the DepR is 0.05, which is consistent with upper limits of </w:t>
            </w:r>
            <w:r w:rsidRPr="00A16DEE">
              <w:t>US EPA (199</w:t>
            </w:r>
            <w:r>
              <w:t>7</w:t>
            </w:r>
            <w:r w:rsidRPr="00A16DEE">
              <w:t>)</w:t>
            </w:r>
            <w:r>
              <w:t>,</w:t>
            </w:r>
            <w:r w:rsidRPr="00A16DEE">
              <w:t xml:space="preserve"> </w:t>
            </w:r>
            <w:r>
              <w:t xml:space="preserve">so it </w:t>
            </w:r>
            <w:r w:rsidRPr="00A16DEE">
              <w:t>is considered to be derived from 'reasonable information'.</w:t>
            </w:r>
          </w:p>
          <w:p w14:paraId="2CFF19B1" w14:textId="77777777" w:rsidR="006E41DE" w:rsidRDefault="006E41DE" w:rsidP="006E41DE">
            <w:pPr>
              <w:pStyle w:val="APVMATableText"/>
            </w:pPr>
            <w:r>
              <w:t xml:space="preserve">Therefore, without additional information, a default </w:t>
            </w:r>
            <w:r w:rsidRPr="00A16DEE">
              <w:t>transferable resid</w:t>
            </w:r>
            <w:r>
              <w:t>ue factor of 0.05 for turf is used.</w:t>
            </w:r>
          </w:p>
        </w:tc>
      </w:tr>
      <w:tr w:rsidR="006E41DE" w14:paraId="49212D55" w14:textId="77777777" w:rsidTr="00F807AA">
        <w:trPr>
          <w:cantSplit/>
        </w:trPr>
        <w:tc>
          <w:tcPr>
            <w:tcW w:w="515" w:type="pct"/>
            <w:tcBorders>
              <w:top w:val="single" w:sz="4" w:space="0" w:color="auto"/>
              <w:bottom w:val="single" w:sz="4" w:space="0" w:color="auto"/>
            </w:tcBorders>
          </w:tcPr>
          <w:p w14:paraId="208B0153" w14:textId="77777777" w:rsidR="006E41DE" w:rsidRDefault="006E41DE" w:rsidP="006E41DE">
            <w:pPr>
              <w:pStyle w:val="APVMATableText"/>
            </w:pPr>
            <w:r>
              <w:t>Ac</w:t>
            </w:r>
          </w:p>
        </w:tc>
        <w:tc>
          <w:tcPr>
            <w:tcW w:w="735" w:type="pct"/>
            <w:tcBorders>
              <w:top w:val="single" w:sz="4" w:space="0" w:color="auto"/>
              <w:bottom w:val="single" w:sz="4" w:space="0" w:color="auto"/>
            </w:tcBorders>
          </w:tcPr>
          <w:p w14:paraId="0FBE7E3C" w14:textId="77777777" w:rsidR="006E41DE" w:rsidRDefault="006E41DE" w:rsidP="006E41DE">
            <w:pPr>
              <w:pStyle w:val="APVMATableText"/>
            </w:pPr>
            <w:r>
              <w:t>Accessibility factor</w:t>
            </w:r>
          </w:p>
        </w:tc>
        <w:tc>
          <w:tcPr>
            <w:tcW w:w="662" w:type="pct"/>
            <w:tcBorders>
              <w:top w:val="single" w:sz="4" w:space="0" w:color="auto"/>
              <w:bottom w:val="single" w:sz="4" w:space="0" w:color="auto"/>
            </w:tcBorders>
          </w:tcPr>
          <w:p w14:paraId="19FD764D" w14:textId="77777777" w:rsidR="006E41DE" w:rsidRDefault="006E41DE" w:rsidP="006E41DE">
            <w:pPr>
              <w:pStyle w:val="APVMATableText"/>
            </w:pPr>
            <w:r>
              <w:t>fraction</w:t>
            </w:r>
          </w:p>
        </w:tc>
        <w:tc>
          <w:tcPr>
            <w:tcW w:w="1030" w:type="pct"/>
            <w:vMerge/>
            <w:tcBorders>
              <w:bottom w:val="single" w:sz="4" w:space="0" w:color="auto"/>
            </w:tcBorders>
          </w:tcPr>
          <w:p w14:paraId="2BB02BC9" w14:textId="77777777" w:rsidR="006E41DE" w:rsidRDefault="006E41DE" w:rsidP="006E41DE">
            <w:pPr>
              <w:pStyle w:val="APVMATableText"/>
            </w:pPr>
          </w:p>
        </w:tc>
        <w:tc>
          <w:tcPr>
            <w:tcW w:w="2058" w:type="pct"/>
            <w:vMerge/>
            <w:tcBorders>
              <w:bottom w:val="single" w:sz="4" w:space="0" w:color="auto"/>
            </w:tcBorders>
          </w:tcPr>
          <w:p w14:paraId="208C8042" w14:textId="77777777" w:rsidR="006E41DE" w:rsidRDefault="006E41DE" w:rsidP="006E41DE">
            <w:pPr>
              <w:pStyle w:val="APVMATableText"/>
            </w:pPr>
          </w:p>
        </w:tc>
      </w:tr>
      <w:tr w:rsidR="00EA64F5" w14:paraId="54EE8158" w14:textId="77777777" w:rsidTr="00F807AA">
        <w:trPr>
          <w:cantSplit/>
        </w:trPr>
        <w:tc>
          <w:tcPr>
            <w:tcW w:w="515" w:type="pct"/>
            <w:tcBorders>
              <w:top w:val="single" w:sz="4" w:space="0" w:color="auto"/>
              <w:bottom w:val="single" w:sz="4" w:space="0" w:color="auto"/>
            </w:tcBorders>
          </w:tcPr>
          <w:p w14:paraId="18D4E90D" w14:textId="77777777" w:rsidR="006E41DE" w:rsidRDefault="006E41DE" w:rsidP="006E41DE">
            <w:pPr>
              <w:pStyle w:val="APVMATableText"/>
            </w:pPr>
            <w:r>
              <w:t>ET</w:t>
            </w:r>
          </w:p>
        </w:tc>
        <w:tc>
          <w:tcPr>
            <w:tcW w:w="735" w:type="pct"/>
            <w:tcBorders>
              <w:top w:val="single" w:sz="4" w:space="0" w:color="auto"/>
              <w:bottom w:val="single" w:sz="4" w:space="0" w:color="auto"/>
            </w:tcBorders>
          </w:tcPr>
          <w:p w14:paraId="3AFD6307" w14:textId="77777777" w:rsidR="006E41DE" w:rsidRDefault="006E41DE" w:rsidP="006E41DE">
            <w:pPr>
              <w:pStyle w:val="APVMATableText"/>
            </w:pPr>
            <w:r>
              <w:t>Exposure time per day</w:t>
            </w:r>
          </w:p>
        </w:tc>
        <w:tc>
          <w:tcPr>
            <w:tcW w:w="662" w:type="pct"/>
            <w:tcBorders>
              <w:top w:val="single" w:sz="4" w:space="0" w:color="auto"/>
              <w:bottom w:val="single" w:sz="4" w:space="0" w:color="auto"/>
            </w:tcBorders>
          </w:tcPr>
          <w:p w14:paraId="25CCCC13" w14:textId="77777777" w:rsidR="006E41DE" w:rsidRDefault="006E41DE" w:rsidP="006E41DE">
            <w:pPr>
              <w:pStyle w:val="APVMATableText"/>
            </w:pPr>
            <w:r>
              <w:t>hours per day</w:t>
            </w:r>
          </w:p>
        </w:tc>
        <w:tc>
          <w:tcPr>
            <w:tcW w:w="1030" w:type="pct"/>
            <w:tcBorders>
              <w:top w:val="single" w:sz="4" w:space="0" w:color="auto"/>
              <w:bottom w:val="single" w:sz="4" w:space="0" w:color="auto"/>
            </w:tcBorders>
          </w:tcPr>
          <w:p w14:paraId="3CBDC826" w14:textId="77777777" w:rsidR="006E41DE" w:rsidRDefault="006E41DE" w:rsidP="006E41DE">
            <w:pPr>
              <w:pStyle w:val="APVMATableText"/>
            </w:pPr>
            <w:r>
              <w:t>1.1 (1–2 year olds)</w:t>
            </w:r>
          </w:p>
          <w:p w14:paraId="57B42C13" w14:textId="77777777" w:rsidR="006E41DE" w:rsidRDefault="006E41DE" w:rsidP="006E41DE">
            <w:pPr>
              <w:pStyle w:val="APVMATableText"/>
            </w:pPr>
            <w:r>
              <w:t>OR</w:t>
            </w:r>
          </w:p>
          <w:p w14:paraId="360BBFAD" w14:textId="77777777" w:rsidR="006E41DE" w:rsidRDefault="006E41DE" w:rsidP="006E41DE">
            <w:pPr>
              <w:pStyle w:val="APVMATableText"/>
            </w:pPr>
            <w:r>
              <w:t>1 (2–3 year olds)</w:t>
            </w:r>
          </w:p>
        </w:tc>
        <w:tc>
          <w:tcPr>
            <w:tcW w:w="2058" w:type="pct"/>
            <w:tcBorders>
              <w:top w:val="single" w:sz="4" w:space="0" w:color="auto"/>
              <w:bottom w:val="single" w:sz="4" w:space="0" w:color="auto"/>
            </w:tcBorders>
          </w:tcPr>
          <w:p w14:paraId="7BC52377" w14:textId="77777777" w:rsidR="006E41DE" w:rsidRDefault="006E41DE" w:rsidP="006E41DE">
            <w:pPr>
              <w:pStyle w:val="APVMATableText"/>
            </w:pPr>
            <w:r>
              <w:t>For time spent playing on turf, EnHealth (2012) recommends using the mean values of 1.1 (95th percentile of 2 hours) and 1 hour (95th percentile of 2 hours) for infants (1–&lt;2 years) and toddlers (2–&lt;3 years) respectively.</w:t>
            </w:r>
          </w:p>
        </w:tc>
      </w:tr>
      <w:tr w:rsidR="00EA64F5" w14:paraId="178650D2" w14:textId="77777777" w:rsidTr="00F807AA">
        <w:trPr>
          <w:cantSplit/>
        </w:trPr>
        <w:tc>
          <w:tcPr>
            <w:tcW w:w="515" w:type="pct"/>
            <w:tcBorders>
              <w:top w:val="single" w:sz="4" w:space="0" w:color="auto"/>
              <w:bottom w:val="single" w:sz="4" w:space="0" w:color="auto"/>
            </w:tcBorders>
          </w:tcPr>
          <w:p w14:paraId="5CE4E336" w14:textId="77777777" w:rsidR="006E41DE" w:rsidRDefault="006E41DE" w:rsidP="006E41DE">
            <w:pPr>
              <w:pStyle w:val="APVMATableText"/>
            </w:pPr>
            <w:r>
              <w:t>ETo</w:t>
            </w:r>
          </w:p>
        </w:tc>
        <w:tc>
          <w:tcPr>
            <w:tcW w:w="735" w:type="pct"/>
            <w:tcBorders>
              <w:top w:val="single" w:sz="4" w:space="0" w:color="auto"/>
              <w:bottom w:val="single" w:sz="4" w:space="0" w:color="auto"/>
            </w:tcBorders>
          </w:tcPr>
          <w:p w14:paraId="53ED6B14" w14:textId="77777777" w:rsidR="006E41DE" w:rsidRDefault="006E41DE" w:rsidP="006E41DE">
            <w:pPr>
              <w:pStyle w:val="APVMATableText"/>
            </w:pPr>
            <w:r>
              <w:t>Duration of hand-to-mouth actions per day</w:t>
            </w:r>
          </w:p>
        </w:tc>
        <w:tc>
          <w:tcPr>
            <w:tcW w:w="662" w:type="pct"/>
            <w:tcBorders>
              <w:top w:val="single" w:sz="4" w:space="0" w:color="auto"/>
              <w:bottom w:val="single" w:sz="4" w:space="0" w:color="auto"/>
            </w:tcBorders>
          </w:tcPr>
          <w:p w14:paraId="5631BDA6" w14:textId="77777777" w:rsidR="006E41DE" w:rsidRDefault="00EA64F5" w:rsidP="006E41DE">
            <w:pPr>
              <w:pStyle w:val="APVMATableText"/>
            </w:pPr>
            <w:r>
              <w:t>h</w:t>
            </w:r>
            <w:r w:rsidR="006E41DE">
              <w:t>ours per day</w:t>
            </w:r>
          </w:p>
        </w:tc>
        <w:tc>
          <w:tcPr>
            <w:tcW w:w="1030" w:type="pct"/>
            <w:tcBorders>
              <w:top w:val="single" w:sz="4" w:space="0" w:color="auto"/>
              <w:bottom w:val="single" w:sz="4" w:space="0" w:color="auto"/>
            </w:tcBorders>
          </w:tcPr>
          <w:p w14:paraId="4D456BE9" w14:textId="77777777" w:rsidR="006E41DE" w:rsidRDefault="006E41DE" w:rsidP="006E41DE">
            <w:pPr>
              <w:pStyle w:val="APVMATableText"/>
            </w:pPr>
            <w:r>
              <w:t>1.1 (1–2 year olds)</w:t>
            </w:r>
          </w:p>
          <w:p w14:paraId="7B49A4FB" w14:textId="77777777" w:rsidR="006E41DE" w:rsidRDefault="006E41DE" w:rsidP="006E41DE">
            <w:pPr>
              <w:pStyle w:val="APVMATableText"/>
            </w:pPr>
            <w:r>
              <w:t>OR</w:t>
            </w:r>
          </w:p>
          <w:p w14:paraId="534B1B22" w14:textId="77777777" w:rsidR="006E41DE" w:rsidRDefault="006E41DE" w:rsidP="006E41DE">
            <w:pPr>
              <w:pStyle w:val="APVMATableText"/>
            </w:pPr>
            <w:r>
              <w:t>1 (2–3 year olds)</w:t>
            </w:r>
          </w:p>
        </w:tc>
        <w:tc>
          <w:tcPr>
            <w:tcW w:w="2058" w:type="pct"/>
            <w:tcBorders>
              <w:top w:val="single" w:sz="4" w:space="0" w:color="auto"/>
              <w:bottom w:val="single" w:sz="4" w:space="0" w:color="auto"/>
            </w:tcBorders>
          </w:tcPr>
          <w:p w14:paraId="035CBB33" w14:textId="77777777" w:rsidR="006E41DE" w:rsidRDefault="006E41DE" w:rsidP="006E41DE">
            <w:pPr>
              <w:pStyle w:val="APVMATableText"/>
            </w:pPr>
            <w:r>
              <w:t>EnHealth (2012) indicates that the duration of mouthing for children is highly variable depending on the age group and the type of objects included in the estimates. Therefore, in the absence of specific mouthing duration of the hands (including fingers), a default value equivalent to the ET (Exposure time per day) is used.</w:t>
            </w:r>
          </w:p>
        </w:tc>
      </w:tr>
      <w:tr w:rsidR="00EA64F5" w14:paraId="51E17BF9" w14:textId="77777777" w:rsidTr="00F807AA">
        <w:trPr>
          <w:cantSplit/>
        </w:trPr>
        <w:tc>
          <w:tcPr>
            <w:tcW w:w="515" w:type="pct"/>
            <w:tcBorders>
              <w:top w:val="single" w:sz="4" w:space="0" w:color="auto"/>
              <w:bottom w:val="single" w:sz="4" w:space="0" w:color="auto"/>
            </w:tcBorders>
          </w:tcPr>
          <w:p w14:paraId="16D75219" w14:textId="77777777" w:rsidR="006E41DE" w:rsidRDefault="006E41DE" w:rsidP="006E41DE">
            <w:pPr>
              <w:pStyle w:val="APVMATableText"/>
            </w:pPr>
            <w:r>
              <w:lastRenderedPageBreak/>
              <w:t>FQ</w:t>
            </w:r>
          </w:p>
        </w:tc>
        <w:tc>
          <w:tcPr>
            <w:tcW w:w="735" w:type="pct"/>
            <w:tcBorders>
              <w:top w:val="single" w:sz="4" w:space="0" w:color="auto"/>
              <w:bottom w:val="single" w:sz="4" w:space="0" w:color="auto"/>
            </w:tcBorders>
          </w:tcPr>
          <w:p w14:paraId="5D753956" w14:textId="77777777" w:rsidR="006E41DE" w:rsidRDefault="006E41DE" w:rsidP="006E41DE">
            <w:pPr>
              <w:pStyle w:val="APVMATableText"/>
            </w:pPr>
            <w:r>
              <w:t>Hand-to-mouth action frequency</w:t>
            </w:r>
          </w:p>
        </w:tc>
        <w:tc>
          <w:tcPr>
            <w:tcW w:w="662" w:type="pct"/>
            <w:tcBorders>
              <w:top w:val="single" w:sz="4" w:space="0" w:color="auto"/>
              <w:bottom w:val="single" w:sz="4" w:space="0" w:color="auto"/>
            </w:tcBorders>
          </w:tcPr>
          <w:p w14:paraId="7525712E" w14:textId="77777777" w:rsidR="006E41DE" w:rsidRDefault="00EA64F5" w:rsidP="006E41DE">
            <w:pPr>
              <w:pStyle w:val="APVMATableText"/>
            </w:pPr>
            <w:r>
              <w:t>c</w:t>
            </w:r>
            <w:r w:rsidR="006E41DE">
              <w:t>ontact events per hour</w:t>
            </w:r>
          </w:p>
        </w:tc>
        <w:tc>
          <w:tcPr>
            <w:tcW w:w="1030" w:type="pct"/>
            <w:tcBorders>
              <w:top w:val="single" w:sz="4" w:space="0" w:color="auto"/>
              <w:bottom w:val="single" w:sz="4" w:space="0" w:color="auto"/>
            </w:tcBorders>
          </w:tcPr>
          <w:p w14:paraId="3873E2DA" w14:textId="77777777" w:rsidR="006E41DE" w:rsidRDefault="006E41DE" w:rsidP="006E41DE">
            <w:pPr>
              <w:pStyle w:val="APVMATableText"/>
            </w:pPr>
            <w:r>
              <w:t>14 (1–2 year olds)</w:t>
            </w:r>
          </w:p>
          <w:p w14:paraId="50D2A9D3" w14:textId="77777777" w:rsidR="006E41DE" w:rsidRDefault="006E41DE" w:rsidP="006E41DE">
            <w:pPr>
              <w:pStyle w:val="APVMATableText"/>
            </w:pPr>
            <w:r>
              <w:t>OR</w:t>
            </w:r>
          </w:p>
          <w:p w14:paraId="3CC9DB52" w14:textId="77777777" w:rsidR="006E41DE" w:rsidRDefault="006E41DE" w:rsidP="006E41DE">
            <w:pPr>
              <w:pStyle w:val="APVMATableText"/>
            </w:pPr>
            <w:r>
              <w:t>5 (2–3 year olds)</w:t>
            </w:r>
          </w:p>
        </w:tc>
        <w:tc>
          <w:tcPr>
            <w:tcW w:w="2058" w:type="pct"/>
            <w:tcBorders>
              <w:top w:val="single" w:sz="4" w:space="0" w:color="auto"/>
              <w:bottom w:val="single" w:sz="4" w:space="0" w:color="auto"/>
            </w:tcBorders>
          </w:tcPr>
          <w:p w14:paraId="26EFA033" w14:textId="77777777" w:rsidR="006E41DE" w:rsidRDefault="006E41DE" w:rsidP="00EA64F5">
            <w:pPr>
              <w:pStyle w:val="APVMATableText"/>
            </w:pPr>
            <w:r>
              <w:t>EnHealth (2012) state that the default mouthing frequency values in outdoor settings are 14 or 5 contacts per hour for 1</w:t>
            </w:r>
            <w:r w:rsidR="00EA64F5">
              <w:t>–</w:t>
            </w:r>
            <w:r>
              <w:t>2 or 2</w:t>
            </w:r>
            <w:r w:rsidR="00EA64F5">
              <w:t>–</w:t>
            </w:r>
            <w:r>
              <w:t>3 year olds, respectively.</w:t>
            </w:r>
          </w:p>
        </w:tc>
      </w:tr>
      <w:tr w:rsidR="00EA64F5" w14:paraId="6A6FC26B" w14:textId="77777777" w:rsidTr="00F807AA">
        <w:trPr>
          <w:cantSplit/>
        </w:trPr>
        <w:tc>
          <w:tcPr>
            <w:tcW w:w="515" w:type="pct"/>
            <w:tcBorders>
              <w:top w:val="single" w:sz="4" w:space="0" w:color="auto"/>
              <w:bottom w:val="single" w:sz="4" w:space="0" w:color="auto"/>
            </w:tcBorders>
          </w:tcPr>
          <w:p w14:paraId="525DE92E" w14:textId="77777777" w:rsidR="006E41DE" w:rsidRDefault="006E41DE" w:rsidP="006E41DE">
            <w:pPr>
              <w:pStyle w:val="APVMATableText"/>
            </w:pPr>
            <w:r>
              <w:t>MoE</w:t>
            </w:r>
          </w:p>
        </w:tc>
        <w:tc>
          <w:tcPr>
            <w:tcW w:w="735" w:type="pct"/>
            <w:tcBorders>
              <w:top w:val="single" w:sz="4" w:space="0" w:color="auto"/>
              <w:bottom w:val="single" w:sz="4" w:space="0" w:color="auto"/>
            </w:tcBorders>
          </w:tcPr>
          <w:p w14:paraId="77C76EDC" w14:textId="77777777" w:rsidR="006E41DE" w:rsidRDefault="006E41DE" w:rsidP="006E41DE">
            <w:pPr>
              <w:pStyle w:val="APVMATableText"/>
            </w:pPr>
            <w:r>
              <w:t>Margin of Exposure</w:t>
            </w:r>
          </w:p>
        </w:tc>
        <w:tc>
          <w:tcPr>
            <w:tcW w:w="662" w:type="pct"/>
            <w:tcBorders>
              <w:top w:val="single" w:sz="4" w:space="0" w:color="auto"/>
              <w:bottom w:val="single" w:sz="4" w:space="0" w:color="auto"/>
            </w:tcBorders>
          </w:tcPr>
          <w:p w14:paraId="38F4F65E" w14:textId="77777777" w:rsidR="006E41DE" w:rsidRDefault="006E41DE" w:rsidP="006E41DE">
            <w:pPr>
              <w:pStyle w:val="APVMATableText"/>
            </w:pPr>
            <w:r>
              <w:t>factor</w:t>
            </w:r>
          </w:p>
        </w:tc>
        <w:tc>
          <w:tcPr>
            <w:tcW w:w="1030" w:type="pct"/>
            <w:tcBorders>
              <w:top w:val="single" w:sz="4" w:space="0" w:color="auto"/>
              <w:bottom w:val="single" w:sz="4" w:space="0" w:color="auto"/>
            </w:tcBorders>
          </w:tcPr>
          <w:p w14:paraId="289C4526" w14:textId="77777777" w:rsidR="006E41DE" w:rsidRDefault="006E41DE" w:rsidP="006E41DE">
            <w:pPr>
              <w:pStyle w:val="APVMATableText"/>
            </w:pPr>
            <w:r>
              <w:t>100</w:t>
            </w:r>
          </w:p>
        </w:tc>
        <w:tc>
          <w:tcPr>
            <w:tcW w:w="2058" w:type="pct"/>
            <w:tcBorders>
              <w:top w:val="single" w:sz="4" w:space="0" w:color="auto"/>
              <w:bottom w:val="single" w:sz="4" w:space="0" w:color="auto"/>
            </w:tcBorders>
          </w:tcPr>
          <w:p w14:paraId="0E1583D9" w14:textId="77777777" w:rsidR="006E41DE" w:rsidRDefault="006E41DE" w:rsidP="006E41DE">
            <w:pPr>
              <w:pStyle w:val="APVMATableText"/>
            </w:pPr>
            <w:r>
              <w:t>The MoE is the ratio of no-observed-adverse-effect-level (NOAEL) for the critical effect to the estimated exposure dose or concentration of a substance, as stated in OECD (2003). An MoE of 100 or higher is considered acceptable for this risk assessment. This comprises of a 10-fold safety factor for both potential intraspecies variability and interspecies variability (ie 10 x 10 = 100).</w:t>
            </w:r>
          </w:p>
        </w:tc>
      </w:tr>
      <w:tr w:rsidR="00EA64F5" w14:paraId="5F485C64" w14:textId="77777777" w:rsidTr="00F807AA">
        <w:trPr>
          <w:cantSplit/>
        </w:trPr>
        <w:tc>
          <w:tcPr>
            <w:tcW w:w="515" w:type="pct"/>
            <w:tcBorders>
              <w:top w:val="single" w:sz="4" w:space="0" w:color="auto"/>
              <w:bottom w:val="single" w:sz="4" w:space="0" w:color="auto"/>
            </w:tcBorders>
          </w:tcPr>
          <w:p w14:paraId="5C82719D" w14:textId="77777777" w:rsidR="006E41DE" w:rsidRDefault="006E41DE" w:rsidP="006E41DE">
            <w:pPr>
              <w:pStyle w:val="APVMATableText"/>
            </w:pPr>
            <w:r>
              <w:t>NOAEL</w:t>
            </w:r>
          </w:p>
        </w:tc>
        <w:tc>
          <w:tcPr>
            <w:tcW w:w="735" w:type="pct"/>
            <w:tcBorders>
              <w:top w:val="single" w:sz="4" w:space="0" w:color="auto"/>
              <w:bottom w:val="single" w:sz="4" w:space="0" w:color="auto"/>
            </w:tcBorders>
          </w:tcPr>
          <w:p w14:paraId="134D7FB6" w14:textId="77777777" w:rsidR="006E41DE" w:rsidRDefault="006E41DE" w:rsidP="006E41DE">
            <w:pPr>
              <w:pStyle w:val="APVMATableText"/>
            </w:pPr>
            <w:r>
              <w:t>No Observed Adverse Effect Level</w:t>
            </w:r>
          </w:p>
        </w:tc>
        <w:tc>
          <w:tcPr>
            <w:tcW w:w="662" w:type="pct"/>
            <w:tcBorders>
              <w:top w:val="single" w:sz="4" w:space="0" w:color="auto"/>
              <w:bottom w:val="single" w:sz="4" w:space="0" w:color="auto"/>
            </w:tcBorders>
          </w:tcPr>
          <w:p w14:paraId="1F291D45" w14:textId="77777777" w:rsidR="006E41DE" w:rsidRDefault="006E41DE" w:rsidP="006E41DE">
            <w:pPr>
              <w:pStyle w:val="APVMATableText"/>
            </w:pPr>
            <w:r>
              <w:t>mg/kg</w:t>
            </w:r>
          </w:p>
        </w:tc>
        <w:tc>
          <w:tcPr>
            <w:tcW w:w="1030" w:type="pct"/>
            <w:tcBorders>
              <w:top w:val="single" w:sz="4" w:space="0" w:color="auto"/>
              <w:bottom w:val="single" w:sz="4" w:space="0" w:color="auto"/>
            </w:tcBorders>
          </w:tcPr>
          <w:p w14:paraId="0754A3BB" w14:textId="77777777" w:rsidR="006E41DE" w:rsidRDefault="006E41DE" w:rsidP="006E41DE">
            <w:pPr>
              <w:pStyle w:val="APVMATableText"/>
            </w:pPr>
            <w:r>
              <w:t>-</w:t>
            </w:r>
          </w:p>
        </w:tc>
        <w:tc>
          <w:tcPr>
            <w:tcW w:w="2058" w:type="pct"/>
            <w:tcBorders>
              <w:top w:val="single" w:sz="4" w:space="0" w:color="auto"/>
              <w:bottom w:val="single" w:sz="4" w:space="0" w:color="auto"/>
            </w:tcBorders>
          </w:tcPr>
          <w:p w14:paraId="5519F13C" w14:textId="77777777" w:rsidR="006E41DE" w:rsidRDefault="006E41DE" w:rsidP="006E41DE">
            <w:pPr>
              <w:pStyle w:val="APVMATableText"/>
            </w:pPr>
            <w:r w:rsidRPr="009B23CB">
              <w:t>No-observed-adverse-effect level (NOAEL): greatest concentration or amount of a substance, found by experiment or observation, that causes no detectable adverse alteration of morphology, functional capacity, growth, development, or lifespan of the target organism under defined conditions of exposure. WHO (2009) Environmental Health Criteria, No. 240.</w:t>
            </w:r>
          </w:p>
        </w:tc>
      </w:tr>
      <w:tr w:rsidR="00EA64F5" w14:paraId="07035524" w14:textId="77777777" w:rsidTr="00F807AA">
        <w:trPr>
          <w:cantSplit/>
        </w:trPr>
        <w:tc>
          <w:tcPr>
            <w:tcW w:w="515" w:type="pct"/>
            <w:tcBorders>
              <w:top w:val="single" w:sz="4" w:space="0" w:color="auto"/>
              <w:bottom w:val="single" w:sz="4" w:space="0" w:color="auto"/>
            </w:tcBorders>
          </w:tcPr>
          <w:p w14:paraId="760D611C" w14:textId="77777777" w:rsidR="006E41DE" w:rsidRDefault="006E41DE" w:rsidP="006E41DE">
            <w:pPr>
              <w:pStyle w:val="APVMATableText"/>
            </w:pPr>
            <w:r>
              <w:t>SAo</w:t>
            </w:r>
          </w:p>
        </w:tc>
        <w:tc>
          <w:tcPr>
            <w:tcW w:w="735" w:type="pct"/>
            <w:tcBorders>
              <w:top w:val="single" w:sz="4" w:space="0" w:color="auto"/>
              <w:bottom w:val="single" w:sz="4" w:space="0" w:color="auto"/>
            </w:tcBorders>
          </w:tcPr>
          <w:p w14:paraId="7A5367E1" w14:textId="77777777" w:rsidR="006E41DE" w:rsidRDefault="006E41DE" w:rsidP="006E41DE">
            <w:pPr>
              <w:pStyle w:val="APVMATableText"/>
            </w:pPr>
            <w:r>
              <w:t>Surface area potentially exposed from hand-to-mouth actions</w:t>
            </w:r>
          </w:p>
        </w:tc>
        <w:tc>
          <w:tcPr>
            <w:tcW w:w="662" w:type="pct"/>
            <w:tcBorders>
              <w:top w:val="single" w:sz="4" w:space="0" w:color="auto"/>
              <w:bottom w:val="single" w:sz="4" w:space="0" w:color="auto"/>
            </w:tcBorders>
          </w:tcPr>
          <w:p w14:paraId="6CC5148D" w14:textId="77777777" w:rsidR="006E41DE" w:rsidRDefault="006E41DE" w:rsidP="006E41DE">
            <w:pPr>
              <w:pStyle w:val="APVMATableText"/>
            </w:pPr>
            <w:r>
              <w:t>cm</w:t>
            </w:r>
            <w:r w:rsidRPr="00B15EA0">
              <w:rPr>
                <w:vertAlign w:val="superscript"/>
              </w:rPr>
              <w:t>2</w:t>
            </w:r>
            <w:r>
              <w:t xml:space="preserve"> per contact event</w:t>
            </w:r>
          </w:p>
        </w:tc>
        <w:tc>
          <w:tcPr>
            <w:tcW w:w="1030" w:type="pct"/>
            <w:tcBorders>
              <w:top w:val="single" w:sz="4" w:space="0" w:color="auto"/>
              <w:bottom w:val="single" w:sz="4" w:space="0" w:color="auto"/>
            </w:tcBorders>
          </w:tcPr>
          <w:p w14:paraId="5FB26220" w14:textId="77777777" w:rsidR="006E41DE" w:rsidRDefault="006E41DE" w:rsidP="006E41DE">
            <w:pPr>
              <w:pStyle w:val="APVMATableText"/>
            </w:pPr>
            <w:r>
              <w:t>19</w:t>
            </w:r>
          </w:p>
        </w:tc>
        <w:tc>
          <w:tcPr>
            <w:tcW w:w="2058" w:type="pct"/>
            <w:tcBorders>
              <w:top w:val="single" w:sz="4" w:space="0" w:color="auto"/>
              <w:bottom w:val="single" w:sz="4" w:space="0" w:color="auto"/>
            </w:tcBorders>
          </w:tcPr>
          <w:p w14:paraId="596B5E09" w14:textId="77777777" w:rsidR="006E41DE" w:rsidRDefault="006E41DE" w:rsidP="006E41DE">
            <w:pPr>
              <w:pStyle w:val="APVMATableText"/>
            </w:pPr>
            <w:r>
              <w:t>The value of 19 cm</w:t>
            </w:r>
            <w:r w:rsidRPr="00F84F52">
              <w:rPr>
                <w:vertAlign w:val="superscript"/>
              </w:rPr>
              <w:t>2</w:t>
            </w:r>
            <w:r>
              <w:t xml:space="preserve"> per contact event is used for area mouthed per mouthing event. This is based on US EPA (1997) where a value of 0.127 for the fraction of hand surface area mouthed is used and in combination with EnHealth (2012) value for the surface area of a single hand (150 cm</w:t>
            </w:r>
            <w:r w:rsidRPr="00F84F52">
              <w:rPr>
                <w:vertAlign w:val="superscript"/>
              </w:rPr>
              <w:t>2</w:t>
            </w:r>
            <w:r>
              <w:t>) (150 cm x 0.127), the area of a hand (including fingers) mouthed equals 19.55 cm</w:t>
            </w:r>
            <w:r w:rsidRPr="00F84F52">
              <w:rPr>
                <w:vertAlign w:val="superscript"/>
              </w:rPr>
              <w:t>2</w:t>
            </w:r>
            <w:r>
              <w:t>, rounded to 19 cm</w:t>
            </w:r>
            <w:r w:rsidRPr="00F84F52">
              <w:rPr>
                <w:vertAlign w:val="superscript"/>
              </w:rPr>
              <w:t>2</w:t>
            </w:r>
            <w:r w:rsidR="00EA64F5">
              <w:t>.</w:t>
            </w:r>
          </w:p>
        </w:tc>
      </w:tr>
      <w:tr w:rsidR="00EA64F5" w14:paraId="7DD5E73F" w14:textId="77777777" w:rsidTr="00F807AA">
        <w:trPr>
          <w:cantSplit/>
        </w:trPr>
        <w:tc>
          <w:tcPr>
            <w:tcW w:w="515" w:type="pct"/>
            <w:tcBorders>
              <w:top w:val="single" w:sz="4" w:space="0" w:color="auto"/>
              <w:bottom w:val="single" w:sz="4" w:space="0" w:color="auto"/>
            </w:tcBorders>
          </w:tcPr>
          <w:p w14:paraId="25E5FFB3" w14:textId="77777777" w:rsidR="006E41DE" w:rsidRDefault="006E41DE" w:rsidP="006E41DE">
            <w:pPr>
              <w:pStyle w:val="APVMATableText"/>
            </w:pPr>
            <w:r>
              <w:t>TC</w:t>
            </w:r>
          </w:p>
        </w:tc>
        <w:tc>
          <w:tcPr>
            <w:tcW w:w="735" w:type="pct"/>
            <w:tcBorders>
              <w:top w:val="single" w:sz="4" w:space="0" w:color="auto"/>
              <w:bottom w:val="single" w:sz="4" w:space="0" w:color="auto"/>
            </w:tcBorders>
          </w:tcPr>
          <w:p w14:paraId="038F43A8" w14:textId="77777777" w:rsidR="006E41DE" w:rsidRDefault="006E41DE" w:rsidP="006E41DE">
            <w:pPr>
              <w:pStyle w:val="APVMATableText"/>
            </w:pPr>
            <w:r>
              <w:t>Transfer coefficient</w:t>
            </w:r>
          </w:p>
        </w:tc>
        <w:tc>
          <w:tcPr>
            <w:tcW w:w="662" w:type="pct"/>
            <w:tcBorders>
              <w:top w:val="single" w:sz="4" w:space="0" w:color="auto"/>
              <w:bottom w:val="single" w:sz="4" w:space="0" w:color="auto"/>
            </w:tcBorders>
          </w:tcPr>
          <w:p w14:paraId="2A233E67" w14:textId="77777777" w:rsidR="006E41DE" w:rsidRDefault="006E41DE" w:rsidP="006E41DE">
            <w:pPr>
              <w:pStyle w:val="APVMATableText"/>
            </w:pPr>
            <w:r w:rsidRPr="000A4BA4">
              <w:t>cm</w:t>
            </w:r>
            <w:r w:rsidRPr="00655A27">
              <w:rPr>
                <w:vertAlign w:val="superscript"/>
              </w:rPr>
              <w:t>2</w:t>
            </w:r>
            <w:r>
              <w:t>/h</w:t>
            </w:r>
            <w:r w:rsidRPr="000A4BA4">
              <w:t>r</w:t>
            </w:r>
          </w:p>
        </w:tc>
        <w:tc>
          <w:tcPr>
            <w:tcW w:w="1030" w:type="pct"/>
            <w:tcBorders>
              <w:top w:val="single" w:sz="4" w:space="0" w:color="auto"/>
              <w:bottom w:val="single" w:sz="4" w:space="0" w:color="auto"/>
            </w:tcBorders>
          </w:tcPr>
          <w:p w14:paraId="251DBC01" w14:textId="77777777" w:rsidR="006E41DE" w:rsidRDefault="006E41DE" w:rsidP="006E41DE">
            <w:pPr>
              <w:pStyle w:val="APVMATableText"/>
            </w:pPr>
            <w:r w:rsidRPr="000A4BA4">
              <w:t>7</w:t>
            </w:r>
            <w:r>
              <w:t>,</w:t>
            </w:r>
            <w:r w:rsidRPr="000A4BA4">
              <w:t xml:space="preserve">073 </w:t>
            </w:r>
            <w:r>
              <w:t>(1–2 year olds)</w:t>
            </w:r>
          </w:p>
          <w:p w14:paraId="00C229E4" w14:textId="77777777" w:rsidR="006E41DE" w:rsidRDefault="006E41DE" w:rsidP="006E41DE">
            <w:pPr>
              <w:pStyle w:val="APVMATableText"/>
            </w:pPr>
            <w:r>
              <w:t>OR</w:t>
            </w:r>
          </w:p>
          <w:p w14:paraId="33CDB3CB" w14:textId="77777777" w:rsidR="006E41DE" w:rsidRPr="000A4BA4" w:rsidRDefault="006E41DE" w:rsidP="006E41DE">
            <w:pPr>
              <w:pStyle w:val="APVMATableText"/>
            </w:pPr>
            <w:r w:rsidRPr="000A4BA4">
              <w:t>8</w:t>
            </w:r>
            <w:r>
              <w:t>,</w:t>
            </w:r>
            <w:r w:rsidRPr="000A4BA4">
              <w:t xml:space="preserve">700 </w:t>
            </w:r>
            <w:r>
              <w:t>(2–3 year olds)</w:t>
            </w:r>
          </w:p>
        </w:tc>
        <w:tc>
          <w:tcPr>
            <w:tcW w:w="2058" w:type="pct"/>
            <w:tcBorders>
              <w:top w:val="single" w:sz="4" w:space="0" w:color="auto"/>
              <w:bottom w:val="single" w:sz="4" w:space="0" w:color="auto"/>
            </w:tcBorders>
          </w:tcPr>
          <w:p w14:paraId="757753C7" w14:textId="77777777" w:rsidR="006E41DE" w:rsidRDefault="006E41DE" w:rsidP="006E41DE">
            <w:pPr>
              <w:pStyle w:val="APVMATableText"/>
            </w:pPr>
            <w:r w:rsidRPr="000A4BA4">
              <w:t>The default TC value for 2</w:t>
            </w:r>
            <w:r>
              <w:t>–</w:t>
            </w:r>
            <w:r w:rsidRPr="000A4BA4">
              <w:t xml:space="preserve">3 year olds playing on turf </w:t>
            </w:r>
            <w:r>
              <w:t>is</w:t>
            </w:r>
            <w:r w:rsidRPr="000A4BA4">
              <w:t xml:space="preserve"> 8700 cm</w:t>
            </w:r>
            <w:r w:rsidRPr="00655A27">
              <w:t>2</w:t>
            </w:r>
            <w:r>
              <w:t>/h</w:t>
            </w:r>
            <w:r w:rsidRPr="000A4BA4">
              <w:t>r which is the US EPA (1997) upper percentile value for toddlers playing on turf. Extrapolating the value to 1</w:t>
            </w:r>
            <w:r>
              <w:t>–</w:t>
            </w:r>
            <w:r w:rsidRPr="000A4BA4">
              <w:t>2 year olds based on a 1.23</w:t>
            </w:r>
            <w:r>
              <w:t>–</w:t>
            </w:r>
            <w:r w:rsidRPr="000A4BA4">
              <w:t>fold lower exposed surface area vs 2</w:t>
            </w:r>
            <w:r>
              <w:t>–</w:t>
            </w:r>
            <w:r w:rsidRPr="000A4BA4">
              <w:t>3 year olds gives a TC of 7073 cm</w:t>
            </w:r>
            <w:r w:rsidRPr="00655A27">
              <w:t>2</w:t>
            </w:r>
            <w:r>
              <w:t>/h</w:t>
            </w:r>
            <w:r w:rsidRPr="000A4BA4">
              <w:t>r.</w:t>
            </w:r>
          </w:p>
        </w:tc>
      </w:tr>
    </w:tbl>
    <w:p w14:paraId="12155E57" w14:textId="47A65559" w:rsidR="00EA64F5" w:rsidRDefault="008029D3" w:rsidP="008029D3">
      <w:pPr>
        <w:pStyle w:val="NormalText"/>
      </w:pPr>
      <w:r>
        <w:t>Note</w:t>
      </w:r>
      <w:r w:rsidR="00EA64F5" w:rsidRPr="00CC746B">
        <w:t>: The formula above, and its variables and defaults, is based on the 1997 version of the US EPA Standard Operating Procedure (SOPs) for Residential Exposure Assessments</w:t>
      </w:r>
      <w:r w:rsidR="00EA64F5">
        <w:t>,</w:t>
      </w:r>
      <w:r w:rsidR="00EA64F5" w:rsidRPr="00CC746B">
        <w:t xml:space="preserve"> which has since been updated to a</w:t>
      </w:r>
      <w:r w:rsidR="00EA64F5">
        <w:t xml:space="preserve"> </w:t>
      </w:r>
      <w:hyperlink r:id="rId51" w:history="1">
        <w:r w:rsidR="00EA64F5" w:rsidRPr="00CC746B">
          <w:rPr>
            <w:rStyle w:val="Hyperlink"/>
          </w:rPr>
          <w:t>2012 version</w:t>
        </w:r>
      </w:hyperlink>
      <w:r w:rsidR="00EA64F5">
        <w:t>. (</w:t>
      </w:r>
      <w:r w:rsidR="00EA64F5" w:rsidRPr="000423E7">
        <w:t>Note:</w:t>
      </w:r>
      <w:r w:rsidR="00EA64F5" w:rsidRPr="00CC746B">
        <w:t xml:space="preserve"> In accordance with government policy on recognition of international guidelines, the APVMA is currently determining the suitability of this updated version and</w:t>
      </w:r>
      <w:r w:rsidR="00EA64F5">
        <w:t>,</w:t>
      </w:r>
      <w:r w:rsidR="00EA64F5" w:rsidRPr="00CC746B">
        <w:t xml:space="preserve"> if accepted, this section will be updated accordingly.</w:t>
      </w:r>
      <w:r w:rsidR="00EA64F5">
        <w:t>)</w:t>
      </w:r>
    </w:p>
    <w:p w14:paraId="58D0EC39" w14:textId="77777777" w:rsidR="006E41DE" w:rsidRDefault="00EA64F5" w:rsidP="00EA64F5">
      <w:pPr>
        <w:pStyle w:val="Heading4"/>
      </w:pPr>
      <w:r>
        <w:t>Conversion of bystander area RAL units</w:t>
      </w:r>
    </w:p>
    <w:p w14:paraId="62031E85" w14:textId="2AC604FC" w:rsidR="00EA64F5" w:rsidRDefault="00EA64F5" w:rsidP="00EA64F5">
      <w:pPr>
        <w:pStyle w:val="NormalText"/>
      </w:pPr>
      <w:r w:rsidRPr="00EA64F5">
        <w:t>In order to convert mg ac/cm</w:t>
      </w:r>
      <w:r w:rsidRPr="00EA64F5">
        <w:rPr>
          <w:vertAlign w:val="superscript"/>
        </w:rPr>
        <w:t>2</w:t>
      </w:r>
      <w:r w:rsidRPr="00EA64F5">
        <w:t xml:space="preserve"> to g ac/ha, a multiplication factor of 10</w:t>
      </w:r>
      <w:r w:rsidR="00460E9D">
        <w:t>0,000 is required, as shown in e</w:t>
      </w:r>
      <w:r w:rsidRPr="00EA64F5">
        <w:t>quation 3.</w:t>
      </w:r>
      <w:r>
        <w:br w:type="page"/>
      </w:r>
    </w:p>
    <w:p w14:paraId="2CB6D006" w14:textId="77777777" w:rsidR="00EA64F5" w:rsidRDefault="00EA64F5" w:rsidP="00EA64F5">
      <w:pPr>
        <w:pStyle w:val="Caption"/>
      </w:pPr>
      <w:r w:rsidRPr="00EA64F5">
        <w:lastRenderedPageBreak/>
        <w:t>Equation 3: Conversion of units for bystander area RAL</w:t>
      </w:r>
    </w:p>
    <w:p w14:paraId="7C574BBF" w14:textId="77777777" w:rsidR="00EA64F5" w:rsidRPr="00EA64F5" w:rsidRDefault="008516F4" w:rsidP="00EA64F5">
      <w:pPr>
        <w:pStyle w:val="RGNormalText"/>
        <w:spacing w:before="720" w:after="720"/>
      </w:pPr>
      <m:oMathPara>
        <m:oMath>
          <m:f>
            <m:fPr>
              <m:ctrlPr>
                <w:rPr>
                  <w:rFonts w:ascii="Cambria Math" w:hAnsi="Cambria Math"/>
                  <w:i/>
                </w:rPr>
              </m:ctrlPr>
            </m:fPr>
            <m:num>
              <m:r>
                <w:rPr>
                  <w:rFonts w:ascii="Cambria Math" w:hAnsi="Cambria Math"/>
                </w:rPr>
                <m:t>1 mg ac</m:t>
              </m:r>
            </m:num>
            <m:den>
              <m:sSup>
                <m:sSupPr>
                  <m:ctrlPr>
                    <w:rPr>
                      <w:rFonts w:ascii="Cambria Math" w:hAnsi="Cambria Math"/>
                      <w:i/>
                    </w:rPr>
                  </m:ctrlPr>
                </m:sSupPr>
                <m:e>
                  <m:r>
                    <w:rPr>
                      <w:rFonts w:ascii="Cambria Math" w:hAnsi="Cambria Math"/>
                    </w:rPr>
                    <m:t>cm</m:t>
                  </m:r>
                </m:e>
                <m:sup>
                  <m:r>
                    <w:rPr>
                      <w:rFonts w:ascii="Cambria Math" w:hAnsi="Cambria Math"/>
                    </w:rPr>
                    <m:t>2</m:t>
                  </m:r>
                </m:sup>
              </m:sSup>
            </m:den>
          </m:f>
          <m:r>
            <w:rPr>
              <w:rFonts w:ascii="Cambria Math" w:hAnsi="Cambria Math"/>
            </w:rPr>
            <m:t>×</m:t>
          </m:r>
          <m:f>
            <m:fPr>
              <m:ctrlPr>
                <w:rPr>
                  <w:rFonts w:ascii="Cambria Math" w:hAnsi="Cambria Math"/>
                  <w:i/>
                </w:rPr>
              </m:ctrlPr>
            </m:fPr>
            <m:num>
              <m:r>
                <w:rPr>
                  <w:rFonts w:ascii="Cambria Math" w:hAnsi="Cambria Math"/>
                </w:rPr>
                <m:t>1 g</m:t>
              </m:r>
            </m:num>
            <m:den>
              <m:r>
                <w:rPr>
                  <w:rFonts w:ascii="Cambria Math" w:hAnsi="Cambria Math"/>
                </w:rPr>
                <m:t>1,000 mg</m:t>
              </m:r>
            </m:den>
          </m:f>
          <m:r>
            <w:rPr>
              <w:rFonts w:ascii="Cambria Math" w:hAnsi="Cambria Math"/>
            </w:rPr>
            <m:t>×</m:t>
          </m:r>
          <m:f>
            <m:fPr>
              <m:ctrlPr>
                <w:rPr>
                  <w:rFonts w:ascii="Cambria Math" w:hAnsi="Cambria Math"/>
                  <w:i/>
                </w:rPr>
              </m:ctrlPr>
            </m:fPr>
            <m:num>
              <m:r>
                <w:rPr>
                  <w:rFonts w:ascii="Cambria Math" w:hAnsi="Cambria Math"/>
                </w:rPr>
                <m:t>100,000,000 c</m:t>
              </m:r>
              <m:sSup>
                <m:sSupPr>
                  <m:ctrlPr>
                    <w:rPr>
                      <w:rFonts w:ascii="Cambria Math" w:hAnsi="Cambria Math"/>
                      <w:i/>
                    </w:rPr>
                  </m:ctrlPr>
                </m:sSupPr>
                <m:e>
                  <m:r>
                    <w:rPr>
                      <w:rFonts w:ascii="Cambria Math" w:hAnsi="Cambria Math"/>
                    </w:rPr>
                    <m:t>m</m:t>
                  </m:r>
                </m:e>
                <m:sup>
                  <m:r>
                    <w:rPr>
                      <w:rFonts w:ascii="Cambria Math" w:hAnsi="Cambria Math"/>
                    </w:rPr>
                    <m:t>2</m:t>
                  </m:r>
                </m:sup>
              </m:sSup>
            </m:num>
            <m:den>
              <m:r>
                <w:rPr>
                  <w:rFonts w:ascii="Cambria Math" w:hAnsi="Cambria Math"/>
                </w:rPr>
                <m:t xml:space="preserve">1 </m:t>
              </m:r>
              <m:r>
                <w:rPr>
                  <w:rFonts w:ascii="Cambria Math" w:hAnsi="Cambria Math"/>
                </w:rPr>
                <m:t>ha</m:t>
              </m:r>
            </m:den>
          </m:f>
          <m:r>
            <w:rPr>
              <w:rFonts w:ascii="Cambria Math" w:hAnsi="Cambria Math"/>
            </w:rPr>
            <m:t>=</m:t>
          </m:r>
          <m:f>
            <m:fPr>
              <m:ctrlPr>
                <w:rPr>
                  <w:rFonts w:ascii="Cambria Math" w:hAnsi="Cambria Math"/>
                  <w:i/>
                </w:rPr>
              </m:ctrlPr>
            </m:fPr>
            <m:num>
              <m:r>
                <w:rPr>
                  <w:rFonts w:ascii="Cambria Math" w:hAnsi="Cambria Math"/>
                </w:rPr>
                <m:t>1 mg ac</m:t>
              </m:r>
            </m:num>
            <m:den>
              <m:sSup>
                <m:sSupPr>
                  <m:ctrlPr>
                    <w:rPr>
                      <w:rFonts w:ascii="Cambria Math" w:hAnsi="Cambria Math"/>
                      <w:i/>
                    </w:rPr>
                  </m:ctrlPr>
                </m:sSupPr>
                <m:e>
                  <m:r>
                    <w:rPr>
                      <w:rFonts w:ascii="Cambria Math" w:hAnsi="Cambria Math"/>
                    </w:rPr>
                    <m:t>cm</m:t>
                  </m:r>
                </m:e>
                <m:sup>
                  <m:r>
                    <w:rPr>
                      <w:rFonts w:ascii="Cambria Math" w:hAnsi="Cambria Math"/>
                    </w:rPr>
                    <m:t>2</m:t>
                  </m:r>
                </m:sup>
              </m:sSup>
            </m:den>
          </m:f>
          <m:r>
            <w:rPr>
              <w:rFonts w:ascii="Cambria Math" w:hAnsi="Cambria Math"/>
            </w:rPr>
            <m:t>×</m:t>
          </m:r>
          <m:f>
            <m:fPr>
              <m:ctrlPr>
                <w:rPr>
                  <w:rFonts w:ascii="Cambria Math" w:hAnsi="Cambria Math"/>
                  <w:i/>
                </w:rPr>
              </m:ctrlPr>
            </m:fPr>
            <m:num>
              <m:r>
                <w:rPr>
                  <w:rFonts w:ascii="Cambria Math" w:hAnsi="Cambria Math"/>
                </w:rPr>
                <m:t xml:space="preserve">100,000 g </m:t>
              </m:r>
              <m:sSup>
                <m:sSupPr>
                  <m:ctrlPr>
                    <w:rPr>
                      <w:rFonts w:ascii="Cambria Math" w:hAnsi="Cambria Math"/>
                      <w:i/>
                    </w:rPr>
                  </m:ctrlPr>
                </m:sSupPr>
                <m:e>
                  <m:r>
                    <w:rPr>
                      <w:rFonts w:ascii="Cambria Math" w:hAnsi="Cambria Math"/>
                    </w:rPr>
                    <m:t>cm</m:t>
                  </m:r>
                </m:e>
                <m:sup>
                  <m:r>
                    <w:rPr>
                      <w:rFonts w:ascii="Cambria Math" w:hAnsi="Cambria Math"/>
                    </w:rPr>
                    <m:t>2</m:t>
                  </m:r>
                </m:sup>
              </m:sSup>
            </m:num>
            <m:den>
              <m:r>
                <w:rPr>
                  <w:rFonts w:ascii="Cambria Math" w:hAnsi="Cambria Math"/>
                </w:rPr>
                <m:t>mg ha</m:t>
              </m:r>
            </m:den>
          </m:f>
          <m:r>
            <w:rPr>
              <w:rFonts w:ascii="Cambria Math" w:hAnsi="Cambria Math"/>
            </w:rPr>
            <m:t>=</m:t>
          </m:r>
          <m:f>
            <m:fPr>
              <m:ctrlPr>
                <w:rPr>
                  <w:rFonts w:ascii="Cambria Math" w:hAnsi="Cambria Math"/>
                  <w:i/>
                </w:rPr>
              </m:ctrlPr>
            </m:fPr>
            <m:num>
              <m:r>
                <w:rPr>
                  <w:rFonts w:ascii="Cambria Math" w:hAnsi="Cambria Math"/>
                </w:rPr>
                <m:t>100,000 g ac</m:t>
              </m:r>
            </m:num>
            <m:den>
              <m:r>
                <w:rPr>
                  <w:rFonts w:ascii="Cambria Math" w:hAnsi="Cambria Math"/>
                </w:rPr>
                <m:t>ha</m:t>
              </m:r>
            </m:den>
          </m:f>
        </m:oMath>
      </m:oMathPara>
    </w:p>
    <w:p w14:paraId="3C01C8DC" w14:textId="77777777" w:rsidR="00EA64F5" w:rsidRDefault="00EA64F5" w:rsidP="00EA64F5">
      <w:pPr>
        <w:pStyle w:val="Heading3"/>
        <w:numPr>
          <w:ilvl w:val="0"/>
          <w:numId w:val="0"/>
        </w:numPr>
      </w:pPr>
      <w:bookmarkStart w:id="20" w:name="_Toc14340835"/>
      <w:r>
        <w:t>Natural aquatic areas</w:t>
      </w:r>
      <w:bookmarkEnd w:id="20"/>
    </w:p>
    <w:p w14:paraId="2B837E1C" w14:textId="77777777" w:rsidR="00EA64F5" w:rsidRDefault="0052090E" w:rsidP="0052090E">
      <w:pPr>
        <w:pStyle w:val="Heading4"/>
      </w:pPr>
      <w:r>
        <w:t>Determination of natural aquatic area RAL</w:t>
      </w:r>
    </w:p>
    <w:p w14:paraId="6E89B802" w14:textId="77777777" w:rsidR="0052090E" w:rsidRPr="0052090E" w:rsidRDefault="0052090E" w:rsidP="0052090E">
      <w:pPr>
        <w:pStyle w:val="NormalText"/>
      </w:pPr>
      <w:r w:rsidRPr="0052090E">
        <w:t xml:space="preserve">The standard non-target aquatic environment risk assessment method is followed in accordance with the </w:t>
      </w:r>
      <w:hyperlink r:id="rId52" w:history="1">
        <w:r w:rsidRPr="0052090E">
          <w:rPr>
            <w:rStyle w:val="Hyperlink"/>
          </w:rPr>
          <w:t>Environment (Part 7) data guideline</w:t>
        </w:r>
      </w:hyperlink>
      <w:r w:rsidRPr="0052090E">
        <w:rPr>
          <w:rStyle w:val="Hyperlink"/>
          <w:color w:val="auto"/>
          <w:u w:val="none"/>
        </w:rPr>
        <w:t>,</w:t>
      </w:r>
      <w:r w:rsidRPr="0052090E">
        <w:t xml:space="preserve"> with consideration of available international guidance. It is assumed that the sensitive water body being protected runs parallel with the downwind edge of the application site and is 100 metres long (one sid</w:t>
      </w:r>
      <w:r>
        <w:t>e of a square shaped hectare), three</w:t>
      </w:r>
      <w:r w:rsidRPr="0052090E">
        <w:t xml:space="preserve"> metres wide, and 0.15 metres deep.</w:t>
      </w:r>
    </w:p>
    <w:p w14:paraId="34651BA4" w14:textId="77777777" w:rsidR="0052090E" w:rsidRPr="0052090E" w:rsidRDefault="0052090E" w:rsidP="0052090E">
      <w:pPr>
        <w:pStyle w:val="NormalText"/>
      </w:pPr>
      <w:r w:rsidRPr="0052090E">
        <w:t>It is important to note that this determination is made on the basis of acceptable impact, not on the basis of zero impact. Although users may refer to buffer zones established with this RAL, these buffers should not be relied upon for the protection of areas of commercial interest (eg aquaculture and non-target crops) in all instances since some level of impact may occur. The most effective way to prevent impact to aquaculture is to use appropriate equipment and only spray when the wind direction is away from sensitive aquaculture production areas.</w:t>
      </w:r>
    </w:p>
    <w:p w14:paraId="25E2203F" w14:textId="77777777" w:rsidR="0052090E" w:rsidRDefault="0052090E" w:rsidP="0052090E">
      <w:pPr>
        <w:pStyle w:val="Heading4"/>
      </w:pPr>
      <w:r>
        <w:t>Conversion of natural aquatic area RAL units</w:t>
      </w:r>
    </w:p>
    <w:p w14:paraId="6EFBD72B" w14:textId="407F288E" w:rsidR="0052090E" w:rsidRPr="0052090E" w:rsidRDefault="0052090E" w:rsidP="0052090E">
      <w:pPr>
        <w:pStyle w:val="NormalText"/>
      </w:pPr>
      <w:r w:rsidRPr="0052090E">
        <w:t>In order to convert µg ac/L to g ac/ha, a multiplication factor o</w:t>
      </w:r>
      <w:r w:rsidR="00460E9D">
        <w:t>f 1.5 is required, as shown in e</w:t>
      </w:r>
      <w:r w:rsidRPr="0052090E">
        <w:t>quation 4. This is derived by considering the volume of the water body described above (100 m x 3 m x 0.15 m = 45 m</w:t>
      </w:r>
      <w:r w:rsidRPr="0052090E">
        <w:rPr>
          <w:vertAlign w:val="superscript"/>
        </w:rPr>
        <w:t>3</w:t>
      </w:r>
      <w:r w:rsidRPr="0052090E">
        <w:t>) as well as the area of its surface (100 m x 3 m = 300 m</w:t>
      </w:r>
      <w:r w:rsidRPr="0052090E">
        <w:rPr>
          <w:vertAlign w:val="superscript"/>
        </w:rPr>
        <w:t>2</w:t>
      </w:r>
      <w:r w:rsidRPr="0052090E">
        <w:t>) on which spray drift would be deposited.</w:t>
      </w:r>
    </w:p>
    <w:p w14:paraId="4E7A74FF" w14:textId="77777777" w:rsidR="0052090E" w:rsidRPr="0052090E" w:rsidRDefault="0052090E" w:rsidP="0052090E">
      <w:pPr>
        <w:pStyle w:val="Caption"/>
      </w:pPr>
      <w:r w:rsidRPr="0052090E">
        <w:t>Equation 4: Conversion of units for natural aquatic area RAL</w:t>
      </w:r>
    </w:p>
    <w:p w14:paraId="4AE73586" w14:textId="77777777" w:rsidR="0052090E" w:rsidRPr="0052090E" w:rsidRDefault="008516F4" w:rsidP="0052090E">
      <w:pPr>
        <w:pStyle w:val="RGNormalText"/>
        <w:spacing w:before="720" w:after="720"/>
      </w:pPr>
      <m:oMathPara>
        <m:oMath>
          <m:f>
            <m:fPr>
              <m:ctrlPr>
                <w:rPr>
                  <w:rFonts w:ascii="Cambria Math" w:hAnsi="Cambria Math"/>
                  <w:i/>
                </w:rPr>
              </m:ctrlPr>
            </m:fPr>
            <m:num>
              <m:r>
                <w:rPr>
                  <w:rFonts w:ascii="Cambria Math" w:hAnsi="Cambria Math"/>
                </w:rPr>
                <m:t>1 μg ac</m:t>
              </m:r>
            </m:num>
            <m:den>
              <m:r>
                <w:rPr>
                  <w:rFonts w:ascii="Cambria Math" w:hAnsi="Cambria Math"/>
                </w:rPr>
                <m:t>L</m:t>
              </m:r>
            </m:den>
          </m:f>
          <m:r>
            <w:rPr>
              <w:rFonts w:ascii="Cambria Math" w:hAnsi="Cambria Math"/>
            </w:rPr>
            <m:t>×</m:t>
          </m:r>
          <m:f>
            <m:fPr>
              <m:ctrlPr>
                <w:rPr>
                  <w:rFonts w:ascii="Cambria Math" w:hAnsi="Cambria Math"/>
                  <w:i/>
                </w:rPr>
              </m:ctrlPr>
            </m:fPr>
            <m:num>
              <m:r>
                <w:rPr>
                  <w:rFonts w:ascii="Cambria Math" w:hAnsi="Cambria Math"/>
                </w:rPr>
                <m:t>1 g</m:t>
              </m:r>
            </m:num>
            <m:den>
              <m:r>
                <w:rPr>
                  <w:rFonts w:ascii="Cambria Math" w:hAnsi="Cambria Math"/>
                </w:rPr>
                <m:t>1,000,000 μg</m:t>
              </m:r>
            </m:den>
          </m:f>
          <m:r>
            <w:rPr>
              <w:rFonts w:ascii="Cambria Math" w:hAnsi="Cambria Math"/>
            </w:rPr>
            <m:t xml:space="preserve">×45 </m:t>
          </m:r>
          <m:sSup>
            <m:sSupPr>
              <m:ctrlPr>
                <w:rPr>
                  <w:rFonts w:ascii="Cambria Math" w:hAnsi="Cambria Math"/>
                  <w:i/>
                </w:rPr>
              </m:ctrlPr>
            </m:sSupPr>
            <m:e>
              <m:r>
                <w:rPr>
                  <w:rFonts w:ascii="Cambria Math" w:hAnsi="Cambria Math"/>
                </w:rPr>
                <m:t>m</m:t>
              </m:r>
            </m:e>
            <m:sup>
              <m:r>
                <w:rPr>
                  <w:rFonts w:ascii="Cambria Math" w:hAnsi="Cambria Math"/>
                </w:rPr>
                <m:t>3</m:t>
              </m:r>
            </m:sup>
          </m:sSup>
          <m:r>
            <w:rPr>
              <w:rFonts w:ascii="Cambria Math" w:hAnsi="Cambria Math"/>
            </w:rPr>
            <m:t>×</m:t>
          </m:r>
          <m:f>
            <m:fPr>
              <m:ctrlPr>
                <w:rPr>
                  <w:rFonts w:ascii="Cambria Math" w:hAnsi="Cambria Math"/>
                  <w:i/>
                </w:rPr>
              </m:ctrlPr>
            </m:fPr>
            <m:num>
              <m:r>
                <w:rPr>
                  <w:rFonts w:ascii="Cambria Math" w:hAnsi="Cambria Math"/>
                </w:rPr>
                <m:t>1,000 L</m:t>
              </m:r>
            </m:num>
            <m:den>
              <m:sSup>
                <m:sSupPr>
                  <m:ctrlPr>
                    <w:rPr>
                      <w:rFonts w:ascii="Cambria Math" w:hAnsi="Cambria Math"/>
                      <w:i/>
                    </w:rPr>
                  </m:ctrlPr>
                </m:sSupPr>
                <m:e>
                  <m:r>
                    <w:rPr>
                      <w:rFonts w:ascii="Cambria Math" w:hAnsi="Cambria Math"/>
                    </w:rPr>
                    <m:t xml:space="preserve"> 1 m</m:t>
                  </m:r>
                </m:e>
                <m:sup>
                  <m:r>
                    <w:rPr>
                      <w:rFonts w:ascii="Cambria Math" w:hAnsi="Cambria Math"/>
                    </w:rPr>
                    <m:t>3</m:t>
                  </m:r>
                </m:sup>
              </m:sSup>
            </m:den>
          </m:f>
          <m:r>
            <w:rPr>
              <w:rFonts w:ascii="Cambria Math" w:hAnsi="Cambria Math"/>
            </w:rPr>
            <m:t>×</m:t>
          </m:r>
          <m:f>
            <m:fPr>
              <m:ctrlPr>
                <w:rPr>
                  <w:rFonts w:ascii="Cambria Math" w:hAnsi="Cambria Math"/>
                  <w:i/>
                </w:rPr>
              </m:ctrlPr>
            </m:fPr>
            <m:num>
              <m:r>
                <w:rPr>
                  <w:rFonts w:ascii="Cambria Math" w:hAnsi="Cambria Math"/>
                </w:rPr>
                <m:t xml:space="preserve">10,000 </m:t>
              </m:r>
              <m:sSup>
                <m:sSupPr>
                  <m:ctrlPr>
                    <w:rPr>
                      <w:rFonts w:ascii="Cambria Math" w:hAnsi="Cambria Math"/>
                      <w:i/>
                    </w:rPr>
                  </m:ctrlPr>
                </m:sSupPr>
                <m:e>
                  <m:r>
                    <w:rPr>
                      <w:rFonts w:ascii="Cambria Math" w:hAnsi="Cambria Math"/>
                    </w:rPr>
                    <m:t>m</m:t>
                  </m:r>
                </m:e>
                <m:sup>
                  <m:r>
                    <w:rPr>
                      <w:rFonts w:ascii="Cambria Math" w:hAnsi="Cambria Math"/>
                    </w:rPr>
                    <m:t>2</m:t>
                  </m:r>
                </m:sup>
              </m:sSup>
            </m:num>
            <m:den>
              <m:r>
                <w:rPr>
                  <w:rFonts w:ascii="Cambria Math" w:hAnsi="Cambria Math"/>
                </w:rPr>
                <m:t xml:space="preserve">1 </m:t>
              </m:r>
              <m:r>
                <w:rPr>
                  <w:rFonts w:ascii="Cambria Math" w:hAnsi="Cambria Math"/>
                </w:rPr>
                <m:t>ha</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 xml:space="preserve">300 </m:t>
              </m:r>
              <m:sSup>
                <m:sSupPr>
                  <m:ctrlPr>
                    <w:rPr>
                      <w:rFonts w:ascii="Cambria Math" w:hAnsi="Cambria Math"/>
                      <w:i/>
                    </w:rPr>
                  </m:ctrlPr>
                </m:sSupPr>
                <m:e>
                  <m:r>
                    <w:rPr>
                      <w:rFonts w:ascii="Cambria Math" w:hAnsi="Cambria Math"/>
                    </w:rPr>
                    <m:t>m</m:t>
                  </m:r>
                </m:e>
                <m:sup>
                  <m:r>
                    <w:rPr>
                      <w:rFonts w:ascii="Cambria Math" w:hAnsi="Cambria Math"/>
                    </w:rPr>
                    <m:t>2</m:t>
                  </m:r>
                </m:sup>
              </m:sSup>
            </m:den>
          </m:f>
          <m:r>
            <w:rPr>
              <w:rFonts w:ascii="Cambria Math" w:hAnsi="Cambria Math"/>
            </w:rPr>
            <m:t>=</m:t>
          </m:r>
          <m:f>
            <m:fPr>
              <m:ctrlPr>
                <w:rPr>
                  <w:rFonts w:ascii="Cambria Math" w:hAnsi="Cambria Math"/>
                  <w:i/>
                </w:rPr>
              </m:ctrlPr>
            </m:fPr>
            <m:num>
              <m:r>
                <w:rPr>
                  <w:rFonts w:ascii="Cambria Math" w:hAnsi="Cambria Math"/>
                </w:rPr>
                <m:t>1 μg ac</m:t>
              </m:r>
            </m:num>
            <m:den>
              <m:r>
                <w:rPr>
                  <w:rFonts w:ascii="Cambria Math" w:hAnsi="Cambria Math"/>
                </w:rPr>
                <m:t>L</m:t>
              </m:r>
            </m:den>
          </m:f>
          <m:r>
            <w:rPr>
              <w:rFonts w:ascii="Cambria Math" w:hAnsi="Cambria Math"/>
            </w:rPr>
            <m:t>×</m:t>
          </m:r>
          <m:f>
            <m:fPr>
              <m:ctrlPr>
                <w:rPr>
                  <w:rFonts w:ascii="Cambria Math" w:hAnsi="Cambria Math"/>
                  <w:i/>
                </w:rPr>
              </m:ctrlPr>
            </m:fPr>
            <m:num>
              <m:r>
                <w:rPr>
                  <w:rFonts w:ascii="Cambria Math" w:hAnsi="Cambria Math"/>
                </w:rPr>
                <m:t xml:space="preserve">1.5 g </m:t>
              </m:r>
              <m:sSup>
                <m:sSupPr>
                  <m:ctrlPr>
                    <w:rPr>
                      <w:rFonts w:ascii="Cambria Math" w:hAnsi="Cambria Math"/>
                      <w:i/>
                    </w:rPr>
                  </m:ctrlPr>
                </m:sSupPr>
                <m:e>
                  <m:r>
                    <w:rPr>
                      <w:rFonts w:ascii="Cambria Math" w:hAnsi="Cambria Math"/>
                    </w:rPr>
                    <m:t>m</m:t>
                  </m:r>
                </m:e>
                <m:sup>
                  <m:r>
                    <w:rPr>
                      <w:rFonts w:ascii="Cambria Math" w:hAnsi="Cambria Math"/>
                    </w:rPr>
                    <m:t>3</m:t>
                  </m:r>
                </m:sup>
              </m:sSup>
              <m:r>
                <w:rPr>
                  <w:rFonts w:ascii="Cambria Math" w:hAnsi="Cambria Math"/>
                </w:rPr>
                <m:t xml:space="preserve"> L </m:t>
              </m:r>
              <m:sSup>
                <m:sSupPr>
                  <m:ctrlPr>
                    <w:rPr>
                      <w:rFonts w:ascii="Cambria Math" w:hAnsi="Cambria Math"/>
                      <w:i/>
                    </w:rPr>
                  </m:ctrlPr>
                </m:sSupPr>
                <m:e>
                  <m:r>
                    <w:rPr>
                      <w:rFonts w:ascii="Cambria Math" w:hAnsi="Cambria Math"/>
                    </w:rPr>
                    <m:t>m</m:t>
                  </m:r>
                </m:e>
                <m:sup>
                  <m:r>
                    <w:rPr>
                      <w:rFonts w:ascii="Cambria Math" w:hAnsi="Cambria Math"/>
                    </w:rPr>
                    <m:t>2</m:t>
                  </m:r>
                </m:sup>
              </m:sSup>
            </m:num>
            <m:den>
              <m:r>
                <w:rPr>
                  <w:rFonts w:ascii="Cambria Math" w:hAnsi="Cambria Math"/>
                </w:rPr>
                <m:t>μg</m:t>
              </m:r>
              <m:sSup>
                <m:sSupPr>
                  <m:ctrlPr>
                    <w:rPr>
                      <w:rFonts w:ascii="Cambria Math" w:hAnsi="Cambria Math"/>
                      <w:i/>
                    </w:rPr>
                  </m:ctrlPr>
                </m:sSupPr>
                <m:e>
                  <m:r>
                    <w:rPr>
                      <w:rFonts w:ascii="Cambria Math" w:hAnsi="Cambria Math"/>
                    </w:rPr>
                    <m:t xml:space="preserve"> m</m:t>
                  </m:r>
                </m:e>
                <m:sup>
                  <m:r>
                    <w:rPr>
                      <w:rFonts w:ascii="Cambria Math" w:hAnsi="Cambria Math"/>
                    </w:rPr>
                    <m:t>3</m:t>
                  </m:r>
                </m:sup>
              </m:sSup>
              <m:r>
                <w:rPr>
                  <w:rFonts w:ascii="Cambria Math" w:hAnsi="Cambria Math"/>
                </w:rPr>
                <m:t xml:space="preserve"> ha </m:t>
              </m:r>
              <m:sSup>
                <m:sSupPr>
                  <m:ctrlPr>
                    <w:rPr>
                      <w:rFonts w:ascii="Cambria Math" w:hAnsi="Cambria Math"/>
                      <w:i/>
                    </w:rPr>
                  </m:ctrlPr>
                </m:sSupPr>
                <m:e>
                  <m:r>
                    <w:rPr>
                      <w:rFonts w:ascii="Cambria Math" w:hAnsi="Cambria Math"/>
                    </w:rPr>
                    <m:t>m</m:t>
                  </m:r>
                </m:e>
                <m:sup>
                  <m:r>
                    <w:rPr>
                      <w:rFonts w:ascii="Cambria Math" w:hAnsi="Cambria Math"/>
                    </w:rPr>
                    <m:t>2</m:t>
                  </m:r>
                </m:sup>
              </m:sSup>
            </m:den>
          </m:f>
          <m:r>
            <w:rPr>
              <w:rFonts w:ascii="Cambria Math" w:hAnsi="Cambria Math"/>
            </w:rPr>
            <m:t>=</m:t>
          </m:r>
          <m:f>
            <m:fPr>
              <m:ctrlPr>
                <w:rPr>
                  <w:rFonts w:ascii="Cambria Math" w:hAnsi="Cambria Math"/>
                  <w:i/>
                </w:rPr>
              </m:ctrlPr>
            </m:fPr>
            <m:num>
              <m:r>
                <w:rPr>
                  <w:rFonts w:ascii="Cambria Math" w:hAnsi="Cambria Math"/>
                </w:rPr>
                <m:t>1.5 g ac</m:t>
              </m:r>
            </m:num>
            <m:den>
              <m:r>
                <w:rPr>
                  <w:rFonts w:ascii="Cambria Math" w:hAnsi="Cambria Math"/>
                </w:rPr>
                <m:t>ha</m:t>
              </m:r>
            </m:den>
          </m:f>
        </m:oMath>
      </m:oMathPara>
    </w:p>
    <w:p w14:paraId="22FD3C2F" w14:textId="77777777" w:rsidR="00EA64F5" w:rsidRDefault="0052090E" w:rsidP="0052090E">
      <w:pPr>
        <w:pStyle w:val="Heading3"/>
      </w:pPr>
      <w:bookmarkStart w:id="21" w:name="_Toc14340836"/>
      <w:r>
        <w:t>Pollinator areas</w:t>
      </w:r>
      <w:bookmarkEnd w:id="21"/>
    </w:p>
    <w:p w14:paraId="67FA9D21" w14:textId="0CBC10F1" w:rsidR="0052090E" w:rsidRPr="0052090E" w:rsidRDefault="0052090E" w:rsidP="0052090E">
      <w:pPr>
        <w:pStyle w:val="NormalText"/>
      </w:pPr>
      <w:r w:rsidRPr="0052090E">
        <w:t xml:space="preserve">In 2017, </w:t>
      </w:r>
      <w:r w:rsidR="00321107">
        <w:t xml:space="preserve">the </w:t>
      </w:r>
      <w:r w:rsidRPr="0052090E">
        <w:t xml:space="preserve">APVMA published a short guide outlining a tiered approach to risk assessments for bees and other insect pollinators, titled the </w:t>
      </w:r>
      <w:hyperlink r:id="rId53" w:history="1">
        <w:r w:rsidRPr="0052090E">
          <w:rPr>
            <w:rStyle w:val="Hyperlink"/>
          </w:rPr>
          <w:t>Roadmap for insect pollinator risk assessment</w:t>
        </w:r>
      </w:hyperlink>
      <w:r w:rsidRPr="0052090E">
        <w:t xml:space="preserve">. This included a proposal to establish buffer zones for the protection of managed honey bee hives in accordance with the recommendations of a </w:t>
      </w:r>
      <w:hyperlink r:id="rId54" w:history="1">
        <w:r w:rsidRPr="0052090E">
          <w:rPr>
            <w:rStyle w:val="Hyperlink"/>
          </w:rPr>
          <w:t>2014 Senate enquiry</w:t>
        </w:r>
      </w:hyperlink>
      <w:r w:rsidRPr="0052090E">
        <w:t>.</w:t>
      </w:r>
    </w:p>
    <w:p w14:paraId="146AF4D3" w14:textId="77777777" w:rsidR="0052090E" w:rsidRPr="0052090E" w:rsidRDefault="0052090E" w:rsidP="00E6159D">
      <w:pPr>
        <w:pStyle w:val="Heading4"/>
      </w:pPr>
      <w:r>
        <w:t>Determination of pollinator area RAL</w:t>
      </w:r>
    </w:p>
    <w:p w14:paraId="663F0377" w14:textId="5038AB70" w:rsidR="00DA5C1B" w:rsidRDefault="00DA5C1B" w:rsidP="00DA5C1B">
      <w:pPr>
        <w:pStyle w:val="NormalText"/>
      </w:pPr>
      <w:r w:rsidRPr="00DA5C1B">
        <w:t>The formula for determining the RAL for the protection of manag</w:t>
      </w:r>
      <w:r w:rsidR="00460E9D">
        <w:t>ed honey bee hives is shown in e</w:t>
      </w:r>
      <w:r w:rsidRPr="00DA5C1B">
        <w:t xml:space="preserve">quation 5 and the variables and </w:t>
      </w:r>
      <w:r w:rsidR="0043717A">
        <w:t>defaults used are described in t</w:t>
      </w:r>
      <w:r w:rsidRPr="00DA5C1B">
        <w:t>able 4.</w:t>
      </w:r>
    </w:p>
    <w:p w14:paraId="1A74CAA5" w14:textId="77777777" w:rsidR="00DA5C1B" w:rsidRPr="00DA5C1B" w:rsidRDefault="00DA5C1B" w:rsidP="00DA5C1B">
      <w:pPr>
        <w:pStyle w:val="Caption"/>
      </w:pPr>
      <w:r w:rsidRPr="00DA5C1B">
        <w:lastRenderedPageBreak/>
        <w:t>Equation 5: Formula for calculating RAL for pollinator areas</w:t>
      </w:r>
    </w:p>
    <w:p w14:paraId="0D8ECA53" w14:textId="77777777" w:rsidR="00DA5C1B" w:rsidRPr="00DA5C1B" w:rsidRDefault="00DA5C1B" w:rsidP="00DA5C1B">
      <w:pPr>
        <w:pStyle w:val="RGNormalText"/>
        <w:spacing w:before="720" w:after="720"/>
      </w:pPr>
      <m:oMathPara>
        <m:oMath>
          <m:r>
            <w:rPr>
              <w:rFonts w:ascii="Cambria Math" w:hAnsi="Cambria Math"/>
            </w:rPr>
            <m:t xml:space="preserve">RAL </m:t>
          </m:r>
          <m:d>
            <m:dPr>
              <m:ctrlPr>
                <w:rPr>
                  <w:rFonts w:ascii="Cambria Math" w:hAnsi="Cambria Math"/>
                  <w:i/>
                </w:rPr>
              </m:ctrlPr>
            </m:dPr>
            <m:e>
              <m:r>
                <w:rPr>
                  <w:rFonts w:ascii="Cambria Math" w:hAnsi="Cambria Math"/>
                </w:rPr>
                <m:t>kg</m:t>
              </m:r>
              <m:f>
                <m:fPr>
                  <m:ctrlPr>
                    <w:rPr>
                      <w:rFonts w:ascii="Cambria Math" w:hAnsi="Cambria Math"/>
                      <w:i/>
                    </w:rPr>
                  </m:ctrlPr>
                </m:fPr>
                <m:num>
                  <m:r>
                    <w:rPr>
                      <w:rFonts w:ascii="Cambria Math" w:hAnsi="Cambria Math"/>
                    </w:rPr>
                    <m:t>ac</m:t>
                  </m:r>
                </m:num>
                <m:den>
                  <m:r>
                    <w:rPr>
                      <w:rFonts w:ascii="Cambria Math" w:hAnsi="Cambria Math"/>
                    </w:rPr>
                    <m:t>ha</m:t>
                  </m:r>
                </m:den>
              </m:f>
            </m:e>
          </m:d>
          <m:r>
            <w:rPr>
              <w:rFonts w:ascii="Cambria Math" w:hAnsi="Cambria Math"/>
            </w:rPr>
            <m:t>=</m:t>
          </m:r>
          <m:f>
            <m:fPr>
              <m:ctrlPr>
                <w:rPr>
                  <w:rFonts w:ascii="Cambria Math" w:hAnsi="Cambria Math"/>
                  <w:i/>
                </w:rPr>
              </m:ctrlPr>
            </m:fPr>
            <m:num>
              <m:r>
                <w:rPr>
                  <w:rFonts w:ascii="Cambria Math" w:hAnsi="Cambria Math"/>
                </w:rPr>
                <m:t xml:space="preserve">LOC× </m:t>
              </m:r>
              <m:sSub>
                <m:sSubPr>
                  <m:ctrlPr>
                    <w:rPr>
                      <w:rFonts w:ascii="Cambria Math" w:hAnsi="Cambria Math"/>
                      <w:i/>
                    </w:rPr>
                  </m:ctrlPr>
                </m:sSubPr>
                <m:e>
                  <m:r>
                    <w:rPr>
                      <w:rFonts w:ascii="Cambria Math" w:hAnsi="Cambria Math"/>
                    </w:rPr>
                    <m:t>LD</m:t>
                  </m:r>
                </m:e>
                <m:sub>
                  <m:r>
                    <w:rPr>
                      <w:rFonts w:ascii="Cambria Math" w:hAnsi="Cambria Math"/>
                    </w:rPr>
                    <m:t>50</m:t>
                  </m:r>
                </m:sub>
              </m:sSub>
            </m:num>
            <m:den>
              <m:r>
                <w:rPr>
                  <w:rFonts w:ascii="Cambria Math" w:hAnsi="Cambria Math"/>
                </w:rPr>
                <m:t>ExpE</m:t>
              </m:r>
            </m:den>
          </m:f>
        </m:oMath>
      </m:oMathPara>
    </w:p>
    <w:p w14:paraId="39F49656" w14:textId="77777777" w:rsidR="00DA5C1B" w:rsidRDefault="00DA5C1B" w:rsidP="00DA5C1B">
      <w:pPr>
        <w:pStyle w:val="Caption"/>
      </w:pPr>
      <w:bookmarkStart w:id="22" w:name="_Toc14340883"/>
      <w:r>
        <w:t xml:space="preserve">Table </w:t>
      </w:r>
      <w:r w:rsidR="00371051">
        <w:rPr>
          <w:noProof/>
        </w:rPr>
        <w:fldChar w:fldCharType="begin"/>
      </w:r>
      <w:r w:rsidR="00371051">
        <w:rPr>
          <w:noProof/>
        </w:rPr>
        <w:instrText xml:space="preserve"> SEQ Table \* ARABIC </w:instrText>
      </w:r>
      <w:r w:rsidR="00371051">
        <w:rPr>
          <w:noProof/>
        </w:rPr>
        <w:fldChar w:fldCharType="separate"/>
      </w:r>
      <w:r w:rsidR="00037DBD">
        <w:rPr>
          <w:noProof/>
        </w:rPr>
        <w:t>4</w:t>
      </w:r>
      <w:r w:rsidR="00371051">
        <w:rPr>
          <w:noProof/>
        </w:rPr>
        <w:fldChar w:fldCharType="end"/>
      </w:r>
      <w:r>
        <w:t>:</w:t>
      </w:r>
      <w:r>
        <w:tab/>
        <w:t>Pollinator area RAL units and default values</w:t>
      </w:r>
      <w:bookmarkEnd w:id="22"/>
    </w:p>
    <w:tbl>
      <w:tblPr>
        <w:tblW w:w="5000" w:type="pct"/>
        <w:tblBorders>
          <w:bottom w:val="dotted" w:sz="2" w:space="0" w:color="auto"/>
          <w:insideH w:val="dotted" w:sz="2" w:space="0" w:color="auto"/>
        </w:tblBorders>
        <w:tblLook w:val="01E0" w:firstRow="1" w:lastRow="1" w:firstColumn="1" w:lastColumn="1" w:noHBand="0" w:noVBand="0"/>
      </w:tblPr>
      <w:tblGrid>
        <w:gridCol w:w="998"/>
        <w:gridCol w:w="1133"/>
        <w:gridCol w:w="1133"/>
        <w:gridCol w:w="1559"/>
        <w:gridCol w:w="4815"/>
      </w:tblGrid>
      <w:tr w:rsidR="00DA5C1B" w14:paraId="5C602F31" w14:textId="77777777" w:rsidTr="00EB576C">
        <w:trPr>
          <w:cantSplit/>
          <w:tblHeader/>
        </w:trPr>
        <w:tc>
          <w:tcPr>
            <w:tcW w:w="1104" w:type="pct"/>
            <w:gridSpan w:val="2"/>
            <w:tcBorders>
              <w:bottom w:val="single" w:sz="4" w:space="0" w:color="auto"/>
            </w:tcBorders>
            <w:shd w:val="clear" w:color="auto" w:fill="53284F"/>
            <w:vAlign w:val="bottom"/>
          </w:tcPr>
          <w:p w14:paraId="77384651" w14:textId="77777777" w:rsidR="00DA5C1B" w:rsidRDefault="00DA5C1B" w:rsidP="00DE4D2F">
            <w:pPr>
              <w:pStyle w:val="APVMATableHead"/>
            </w:pPr>
            <w:r>
              <w:t>Variable</w:t>
            </w:r>
          </w:p>
        </w:tc>
        <w:tc>
          <w:tcPr>
            <w:tcW w:w="588" w:type="pct"/>
            <w:tcBorders>
              <w:bottom w:val="single" w:sz="4" w:space="0" w:color="auto"/>
            </w:tcBorders>
            <w:shd w:val="clear" w:color="auto" w:fill="53284F"/>
            <w:vAlign w:val="bottom"/>
          </w:tcPr>
          <w:p w14:paraId="44EE92E7" w14:textId="77777777" w:rsidR="00DA5C1B" w:rsidRDefault="00DA5C1B" w:rsidP="00DE4D2F">
            <w:pPr>
              <w:pStyle w:val="APVMATableHead"/>
            </w:pPr>
            <w:r>
              <w:t>Units</w:t>
            </w:r>
          </w:p>
        </w:tc>
        <w:tc>
          <w:tcPr>
            <w:tcW w:w="809" w:type="pct"/>
            <w:tcBorders>
              <w:bottom w:val="single" w:sz="4" w:space="0" w:color="auto"/>
            </w:tcBorders>
            <w:shd w:val="clear" w:color="auto" w:fill="53284F"/>
            <w:vAlign w:val="bottom"/>
          </w:tcPr>
          <w:p w14:paraId="0F867CF7" w14:textId="77777777" w:rsidR="00DA5C1B" w:rsidRDefault="00DA5C1B" w:rsidP="00DE4D2F">
            <w:pPr>
              <w:pStyle w:val="APVMATableHead"/>
            </w:pPr>
            <w:r>
              <w:t>Default value</w:t>
            </w:r>
          </w:p>
        </w:tc>
        <w:tc>
          <w:tcPr>
            <w:tcW w:w="2499" w:type="pct"/>
            <w:tcBorders>
              <w:bottom w:val="single" w:sz="4" w:space="0" w:color="auto"/>
            </w:tcBorders>
            <w:shd w:val="clear" w:color="auto" w:fill="53284F"/>
            <w:vAlign w:val="bottom"/>
          </w:tcPr>
          <w:p w14:paraId="3574C96D" w14:textId="77777777" w:rsidR="00DA5C1B" w:rsidRDefault="00DA5C1B" w:rsidP="00DE4D2F">
            <w:pPr>
              <w:pStyle w:val="APVMATableHead"/>
            </w:pPr>
            <w:r>
              <w:t>Comment</w:t>
            </w:r>
          </w:p>
        </w:tc>
      </w:tr>
      <w:tr w:rsidR="00DA5C1B" w14:paraId="35A2EC93" w14:textId="77777777" w:rsidTr="00EB576C">
        <w:trPr>
          <w:cantSplit/>
        </w:trPr>
        <w:tc>
          <w:tcPr>
            <w:tcW w:w="517" w:type="pct"/>
            <w:tcBorders>
              <w:top w:val="single" w:sz="4" w:space="0" w:color="auto"/>
              <w:bottom w:val="single" w:sz="4" w:space="0" w:color="auto"/>
            </w:tcBorders>
          </w:tcPr>
          <w:p w14:paraId="70FF4769" w14:textId="77777777" w:rsidR="00DA5C1B" w:rsidRPr="00DA5C1B" w:rsidRDefault="00DA5C1B" w:rsidP="00DA5C1B">
            <w:pPr>
              <w:pStyle w:val="APVMATableText"/>
            </w:pPr>
            <w:r w:rsidRPr="00DA5C1B">
              <w:t>LOC</w:t>
            </w:r>
          </w:p>
        </w:tc>
        <w:tc>
          <w:tcPr>
            <w:tcW w:w="588" w:type="pct"/>
            <w:tcBorders>
              <w:top w:val="single" w:sz="4" w:space="0" w:color="auto"/>
              <w:bottom w:val="single" w:sz="4" w:space="0" w:color="auto"/>
            </w:tcBorders>
          </w:tcPr>
          <w:p w14:paraId="0C637478" w14:textId="5CB7B45A" w:rsidR="00DA5C1B" w:rsidRPr="00DA5C1B" w:rsidRDefault="00160D80" w:rsidP="00DA5C1B">
            <w:pPr>
              <w:pStyle w:val="APVMATableText"/>
            </w:pPr>
            <w:r>
              <w:t>Level of c</w:t>
            </w:r>
            <w:r w:rsidR="00DA5C1B" w:rsidRPr="00DA5C1B">
              <w:t>oncern</w:t>
            </w:r>
          </w:p>
        </w:tc>
        <w:tc>
          <w:tcPr>
            <w:tcW w:w="588" w:type="pct"/>
            <w:tcBorders>
              <w:top w:val="single" w:sz="4" w:space="0" w:color="auto"/>
              <w:bottom w:val="single" w:sz="4" w:space="0" w:color="auto"/>
            </w:tcBorders>
          </w:tcPr>
          <w:p w14:paraId="5E77D3AB" w14:textId="77777777" w:rsidR="00DA5C1B" w:rsidRPr="00DA5C1B" w:rsidRDefault="00DA5C1B" w:rsidP="00DA5C1B">
            <w:pPr>
              <w:pStyle w:val="APVMATableText"/>
            </w:pPr>
            <w:r w:rsidRPr="00DA5C1B">
              <w:t>fraction</w:t>
            </w:r>
          </w:p>
        </w:tc>
        <w:tc>
          <w:tcPr>
            <w:tcW w:w="809" w:type="pct"/>
            <w:tcBorders>
              <w:top w:val="single" w:sz="4" w:space="0" w:color="auto"/>
              <w:bottom w:val="single" w:sz="4" w:space="0" w:color="auto"/>
            </w:tcBorders>
          </w:tcPr>
          <w:p w14:paraId="36002A2D" w14:textId="77777777" w:rsidR="00DA5C1B" w:rsidRPr="00DA5C1B" w:rsidRDefault="00DA5C1B" w:rsidP="00DA5C1B">
            <w:pPr>
              <w:pStyle w:val="APVMATableText"/>
            </w:pPr>
            <w:r w:rsidRPr="00DA5C1B">
              <w:t>0.4</w:t>
            </w:r>
          </w:p>
        </w:tc>
        <w:tc>
          <w:tcPr>
            <w:tcW w:w="2499" w:type="pct"/>
            <w:tcBorders>
              <w:top w:val="single" w:sz="4" w:space="0" w:color="auto"/>
              <w:bottom w:val="single" w:sz="4" w:space="0" w:color="auto"/>
            </w:tcBorders>
          </w:tcPr>
          <w:p w14:paraId="3F5EDF22" w14:textId="77777777" w:rsidR="00DA5C1B" w:rsidRPr="00DA5C1B" w:rsidRDefault="00DA5C1B" w:rsidP="00DA5C1B">
            <w:pPr>
              <w:pStyle w:val="APVMATableText"/>
            </w:pPr>
            <w:r w:rsidRPr="00DA5C1B">
              <w:t>An LOC of 0.4 is consistent with the guidance of US EPA et a</w:t>
            </w:r>
            <w:r>
              <w:t>l</w:t>
            </w:r>
            <w:r w:rsidRPr="00DA5C1B">
              <w:t xml:space="preserve"> (2014).</w:t>
            </w:r>
          </w:p>
        </w:tc>
      </w:tr>
      <w:tr w:rsidR="00DA5C1B" w14:paraId="74177844" w14:textId="77777777" w:rsidTr="00EB576C">
        <w:trPr>
          <w:cantSplit/>
        </w:trPr>
        <w:tc>
          <w:tcPr>
            <w:tcW w:w="517" w:type="pct"/>
            <w:tcBorders>
              <w:top w:val="single" w:sz="4" w:space="0" w:color="auto"/>
              <w:bottom w:val="single" w:sz="4" w:space="0" w:color="auto"/>
            </w:tcBorders>
          </w:tcPr>
          <w:p w14:paraId="465A9958" w14:textId="77777777" w:rsidR="00DA5C1B" w:rsidRPr="00DA5C1B" w:rsidRDefault="00DA5C1B" w:rsidP="00DA5C1B">
            <w:pPr>
              <w:pStyle w:val="APVMATableText"/>
            </w:pPr>
            <w:r w:rsidRPr="00DA5C1B">
              <w:t>LD</w:t>
            </w:r>
            <w:r w:rsidRPr="00DA5C1B">
              <w:rPr>
                <w:vertAlign w:val="subscript"/>
              </w:rPr>
              <w:t>50</w:t>
            </w:r>
          </w:p>
        </w:tc>
        <w:tc>
          <w:tcPr>
            <w:tcW w:w="588" w:type="pct"/>
            <w:tcBorders>
              <w:top w:val="single" w:sz="4" w:space="0" w:color="auto"/>
              <w:bottom w:val="single" w:sz="4" w:space="0" w:color="auto"/>
            </w:tcBorders>
          </w:tcPr>
          <w:p w14:paraId="1CB9ABEC" w14:textId="77777777" w:rsidR="00DA5C1B" w:rsidRPr="00DA5C1B" w:rsidRDefault="00DA5C1B" w:rsidP="00DA5C1B">
            <w:pPr>
              <w:pStyle w:val="APVMATableText"/>
            </w:pPr>
            <w:r w:rsidRPr="00DA5C1B">
              <w:t>Acute LD</w:t>
            </w:r>
            <w:r w:rsidRPr="00DA5C1B">
              <w:rPr>
                <w:vertAlign w:val="subscript"/>
              </w:rPr>
              <w:t>50</w:t>
            </w:r>
            <w:r w:rsidRPr="00DA5C1B">
              <w:t xml:space="preserve"> (contact)</w:t>
            </w:r>
          </w:p>
        </w:tc>
        <w:tc>
          <w:tcPr>
            <w:tcW w:w="588" w:type="pct"/>
            <w:tcBorders>
              <w:top w:val="single" w:sz="4" w:space="0" w:color="auto"/>
              <w:bottom w:val="single" w:sz="4" w:space="0" w:color="auto"/>
            </w:tcBorders>
          </w:tcPr>
          <w:p w14:paraId="1A05463E" w14:textId="77777777" w:rsidR="00DA5C1B" w:rsidRPr="00DA5C1B" w:rsidRDefault="00DA5C1B" w:rsidP="00DA5C1B">
            <w:pPr>
              <w:pStyle w:val="APVMATableText"/>
            </w:pPr>
            <w:r w:rsidRPr="00DA5C1B">
              <w:t>μg ac/bee</w:t>
            </w:r>
          </w:p>
        </w:tc>
        <w:tc>
          <w:tcPr>
            <w:tcW w:w="809" w:type="pct"/>
            <w:tcBorders>
              <w:top w:val="single" w:sz="4" w:space="0" w:color="auto"/>
              <w:bottom w:val="single" w:sz="4" w:space="0" w:color="auto"/>
            </w:tcBorders>
          </w:tcPr>
          <w:p w14:paraId="57647344" w14:textId="77777777" w:rsidR="00DA5C1B" w:rsidRPr="00DA5C1B" w:rsidRDefault="00DA5C1B" w:rsidP="00DA5C1B">
            <w:pPr>
              <w:pStyle w:val="APVMATableText"/>
            </w:pPr>
            <w:r w:rsidRPr="00DA5C1B">
              <w:t>-</w:t>
            </w:r>
          </w:p>
        </w:tc>
        <w:tc>
          <w:tcPr>
            <w:tcW w:w="2499" w:type="pct"/>
            <w:tcBorders>
              <w:top w:val="single" w:sz="4" w:space="0" w:color="auto"/>
              <w:bottom w:val="single" w:sz="4" w:space="0" w:color="auto"/>
            </w:tcBorders>
          </w:tcPr>
          <w:p w14:paraId="43A6E121" w14:textId="490196F8" w:rsidR="00DA5C1B" w:rsidRPr="00DA5C1B" w:rsidRDefault="00DA5C1B" w:rsidP="00AE348B">
            <w:pPr>
              <w:pStyle w:val="APVMATableText"/>
            </w:pPr>
            <w:r w:rsidRPr="00DA5C1B">
              <w:t xml:space="preserve">Value determined from standard acute contact testing for adult honey bees </w:t>
            </w:r>
            <w:r w:rsidR="00AE348B" w:rsidRPr="00AE348B">
              <w:t xml:space="preserve">according to </w:t>
            </w:r>
            <w:hyperlink r:id="rId55" w:history="1">
              <w:r w:rsidR="00AE348B" w:rsidRPr="00AE348B">
                <w:rPr>
                  <w:rStyle w:val="Hyperlink"/>
                </w:rPr>
                <w:t>OECD guideline 214</w:t>
              </w:r>
            </w:hyperlink>
            <w:r w:rsidR="00AE348B">
              <w:t xml:space="preserve"> (1998).</w:t>
            </w:r>
          </w:p>
        </w:tc>
      </w:tr>
      <w:tr w:rsidR="00DA5C1B" w14:paraId="6D269A55" w14:textId="77777777" w:rsidTr="00EB576C">
        <w:trPr>
          <w:cantSplit/>
        </w:trPr>
        <w:tc>
          <w:tcPr>
            <w:tcW w:w="517" w:type="pct"/>
            <w:tcBorders>
              <w:top w:val="single" w:sz="4" w:space="0" w:color="auto"/>
              <w:bottom w:val="single" w:sz="4" w:space="0" w:color="auto"/>
            </w:tcBorders>
          </w:tcPr>
          <w:p w14:paraId="436DBB45" w14:textId="77777777" w:rsidR="00DA5C1B" w:rsidRPr="00DA5C1B" w:rsidRDefault="00DA5C1B" w:rsidP="00DA5C1B">
            <w:pPr>
              <w:pStyle w:val="APVMATableText"/>
            </w:pPr>
            <w:r w:rsidRPr="00DA5C1B">
              <w:t>ExpE</w:t>
            </w:r>
          </w:p>
        </w:tc>
        <w:tc>
          <w:tcPr>
            <w:tcW w:w="588" w:type="pct"/>
            <w:tcBorders>
              <w:top w:val="single" w:sz="4" w:space="0" w:color="auto"/>
              <w:bottom w:val="single" w:sz="4" w:space="0" w:color="auto"/>
            </w:tcBorders>
          </w:tcPr>
          <w:p w14:paraId="63B61590" w14:textId="15910031" w:rsidR="00DA5C1B" w:rsidRPr="00DA5C1B" w:rsidRDefault="00DA5C1B" w:rsidP="00160D80">
            <w:pPr>
              <w:pStyle w:val="APVMATableText"/>
            </w:pPr>
            <w:r w:rsidRPr="00DA5C1B">
              <w:t xml:space="preserve">Exposure </w:t>
            </w:r>
            <w:r w:rsidR="00160D80">
              <w:t>e</w:t>
            </w:r>
            <w:r w:rsidRPr="00DA5C1B">
              <w:t>stimate</w:t>
            </w:r>
          </w:p>
        </w:tc>
        <w:tc>
          <w:tcPr>
            <w:tcW w:w="588" w:type="pct"/>
            <w:tcBorders>
              <w:top w:val="single" w:sz="4" w:space="0" w:color="auto"/>
              <w:bottom w:val="single" w:sz="4" w:space="0" w:color="auto"/>
            </w:tcBorders>
          </w:tcPr>
          <w:p w14:paraId="5B662ACC" w14:textId="77777777" w:rsidR="00DA5C1B" w:rsidRPr="00DA5C1B" w:rsidRDefault="00DA5C1B" w:rsidP="00DA5C1B">
            <w:pPr>
              <w:pStyle w:val="APVMATableText"/>
            </w:pPr>
            <w:r w:rsidRPr="00DA5C1B">
              <w:t>μg ac/bee</w:t>
            </w:r>
          </w:p>
        </w:tc>
        <w:tc>
          <w:tcPr>
            <w:tcW w:w="809" w:type="pct"/>
            <w:tcBorders>
              <w:top w:val="single" w:sz="4" w:space="0" w:color="auto"/>
              <w:bottom w:val="single" w:sz="4" w:space="0" w:color="auto"/>
            </w:tcBorders>
          </w:tcPr>
          <w:p w14:paraId="7984CD1E" w14:textId="77777777" w:rsidR="00DA5C1B" w:rsidRPr="00DA5C1B" w:rsidRDefault="00DA5C1B" w:rsidP="00DA5C1B">
            <w:pPr>
              <w:pStyle w:val="APVMATableText"/>
            </w:pPr>
            <w:r w:rsidRPr="00DA5C1B">
              <w:t xml:space="preserve">2.4 </w:t>
            </w:r>
          </w:p>
        </w:tc>
        <w:tc>
          <w:tcPr>
            <w:tcW w:w="2499" w:type="pct"/>
            <w:tcBorders>
              <w:top w:val="single" w:sz="4" w:space="0" w:color="auto"/>
              <w:bottom w:val="single" w:sz="4" w:space="0" w:color="auto"/>
            </w:tcBorders>
          </w:tcPr>
          <w:p w14:paraId="76BDDF26" w14:textId="77777777" w:rsidR="00DA5C1B" w:rsidRPr="00DA5C1B" w:rsidRDefault="00DA5C1B" w:rsidP="00DA5C1B">
            <w:pPr>
              <w:pStyle w:val="APVMATableText"/>
            </w:pPr>
            <w:r w:rsidRPr="00DA5C1B">
              <w:t>An ExpE of 2.4 μg ac/bee is consistent with the guidance of US EPA et al (2014).</w:t>
            </w:r>
          </w:p>
        </w:tc>
      </w:tr>
    </w:tbl>
    <w:p w14:paraId="7CFB8D83" w14:textId="77777777" w:rsidR="00EA64F5" w:rsidRDefault="00DA5C1B" w:rsidP="00DA5C1B">
      <w:pPr>
        <w:pStyle w:val="Heading4"/>
      </w:pPr>
      <w:r>
        <w:t>Conversion of pollinator area RAL</w:t>
      </w:r>
    </w:p>
    <w:p w14:paraId="5970C450" w14:textId="6A288210" w:rsidR="00DA5C1B" w:rsidRPr="00DA5C1B" w:rsidRDefault="00DA5C1B" w:rsidP="00DA5C1B">
      <w:pPr>
        <w:pStyle w:val="NormalText"/>
      </w:pPr>
      <w:r w:rsidRPr="00DA5C1B">
        <w:t>In order to convert from kg ac/ha to g ac/ha a conversion factor of</w:t>
      </w:r>
      <w:r w:rsidR="00460E9D">
        <w:t xml:space="preserve"> 1,000 is required as shown in e</w:t>
      </w:r>
      <w:r w:rsidRPr="00DA5C1B">
        <w:t>quation 6.</w:t>
      </w:r>
    </w:p>
    <w:p w14:paraId="5628164A" w14:textId="77777777" w:rsidR="00DA5C1B" w:rsidRPr="00DA5C1B" w:rsidRDefault="00DA5C1B" w:rsidP="00DA5C1B">
      <w:pPr>
        <w:pStyle w:val="Caption"/>
      </w:pPr>
      <w:r w:rsidRPr="00DA5C1B">
        <w:t>Equation 6: Conversion of units for natural aquatic area RAL</w:t>
      </w:r>
    </w:p>
    <w:p w14:paraId="5AEBFDEE" w14:textId="77777777" w:rsidR="00DA5C1B" w:rsidRDefault="008516F4" w:rsidP="00DA5C1B">
      <w:pPr>
        <w:pStyle w:val="RGNormalText"/>
        <w:spacing w:before="720" w:after="720"/>
      </w:pPr>
      <m:oMathPara>
        <m:oMath>
          <m:f>
            <m:fPr>
              <m:ctrlPr>
                <w:rPr>
                  <w:rFonts w:ascii="Cambria Math" w:hAnsi="Cambria Math"/>
                  <w:i/>
                </w:rPr>
              </m:ctrlPr>
            </m:fPr>
            <m:num>
              <m:r>
                <w:rPr>
                  <w:rFonts w:ascii="Cambria Math" w:hAnsi="Cambria Math"/>
                </w:rPr>
                <m:t>1 kg ac</m:t>
              </m:r>
            </m:num>
            <m:den>
              <m:r>
                <w:rPr>
                  <w:rFonts w:ascii="Cambria Math" w:hAnsi="Cambria Math"/>
                </w:rPr>
                <m:t>ha</m:t>
              </m:r>
            </m:den>
          </m:f>
          <m:r>
            <w:rPr>
              <w:rFonts w:ascii="Cambria Math" w:hAnsi="Cambria Math"/>
            </w:rPr>
            <m:t>×</m:t>
          </m:r>
          <m:f>
            <m:fPr>
              <m:ctrlPr>
                <w:rPr>
                  <w:rFonts w:ascii="Cambria Math" w:hAnsi="Cambria Math"/>
                  <w:i/>
                </w:rPr>
              </m:ctrlPr>
            </m:fPr>
            <m:num>
              <m:r>
                <w:rPr>
                  <w:rFonts w:ascii="Cambria Math" w:hAnsi="Cambria Math"/>
                </w:rPr>
                <m:t>1,000 g</m:t>
              </m:r>
            </m:num>
            <m:den>
              <m:r>
                <w:rPr>
                  <w:rFonts w:ascii="Cambria Math" w:hAnsi="Cambria Math"/>
                </w:rPr>
                <m:t>kg</m:t>
              </m:r>
            </m:den>
          </m:f>
          <m:r>
            <w:rPr>
              <w:rFonts w:ascii="Cambria Math" w:hAnsi="Cambria Math"/>
            </w:rPr>
            <m:t>=</m:t>
          </m:r>
          <m:f>
            <m:fPr>
              <m:ctrlPr>
                <w:rPr>
                  <w:rFonts w:ascii="Cambria Math" w:hAnsi="Cambria Math"/>
                  <w:i/>
                </w:rPr>
              </m:ctrlPr>
            </m:fPr>
            <m:num>
              <m:r>
                <w:rPr>
                  <w:rFonts w:ascii="Cambria Math" w:hAnsi="Cambria Math"/>
                </w:rPr>
                <m:t>1,000 g ac</m:t>
              </m:r>
            </m:num>
            <m:den>
              <m:r>
                <w:rPr>
                  <w:rFonts w:ascii="Cambria Math" w:hAnsi="Cambria Math"/>
                </w:rPr>
                <m:t>ha</m:t>
              </m:r>
            </m:den>
          </m:f>
        </m:oMath>
      </m:oMathPara>
    </w:p>
    <w:p w14:paraId="2A7986A1" w14:textId="77777777" w:rsidR="00DA5C1B" w:rsidRDefault="00DA5C1B" w:rsidP="00DA5C1B">
      <w:pPr>
        <w:pStyle w:val="Heading3"/>
      </w:pPr>
      <w:bookmarkStart w:id="23" w:name="_Toc14340837"/>
      <w:r>
        <w:t>Vegetation areas</w:t>
      </w:r>
      <w:bookmarkEnd w:id="23"/>
    </w:p>
    <w:p w14:paraId="132E88EF" w14:textId="77777777" w:rsidR="00DA5C1B" w:rsidRDefault="00DA5C1B" w:rsidP="00DA5C1B">
      <w:pPr>
        <w:pStyle w:val="Heading4"/>
      </w:pPr>
      <w:r>
        <w:t>Determination of vegetation area RAL</w:t>
      </w:r>
    </w:p>
    <w:p w14:paraId="7B48065F" w14:textId="77777777" w:rsidR="00DA5C1B" w:rsidRPr="00DA5C1B" w:rsidRDefault="00DA5C1B" w:rsidP="00DA5C1B">
      <w:pPr>
        <w:pStyle w:val="NormalText"/>
      </w:pPr>
      <w:r w:rsidRPr="00DA5C1B">
        <w:t xml:space="preserve">The standard non-target vegetation risk assessment method is in accordance with the </w:t>
      </w:r>
      <w:hyperlink r:id="rId56" w:history="1">
        <w:r w:rsidRPr="00DA5C1B">
          <w:rPr>
            <w:rStyle w:val="Hyperlink"/>
          </w:rPr>
          <w:t>Environment (Part 7) data guideline</w:t>
        </w:r>
      </w:hyperlink>
      <w:r w:rsidRPr="00DA5C1B">
        <w:t xml:space="preserve"> with consideration of available international guidance. It is assumed that the sensitive area being protected runs parallel with the downwind edge of the ap</w:t>
      </w:r>
      <w:r>
        <w:t xml:space="preserve">plication site and is three </w:t>
      </w:r>
      <w:r w:rsidRPr="00DA5C1B">
        <w:t>metres wide.</w:t>
      </w:r>
    </w:p>
    <w:p w14:paraId="15296AA4" w14:textId="77777777" w:rsidR="00DA5C1B" w:rsidRPr="00DA5C1B" w:rsidRDefault="00DA5C1B" w:rsidP="00DA5C1B">
      <w:pPr>
        <w:pStyle w:val="NormalText"/>
      </w:pPr>
      <w:r w:rsidRPr="00DA5C1B">
        <w:t>It is important to note that this determination is made on the basis of terrestrial habitat survival, not on the basis of zero damage and/or yield loss in agricultural crops or landscaped gardens. Although users may refer to buffer zones established with this RAL, these zones should not be relied upon for the protection of agricultural crops or landscaped gardens in all instances since some level of damage and/or yield loss may occur. The most effective way to prevent damage and/or yield loss is to use appropriate equipment and only spray when the wind direction is away from sensitive agricultural crops or landscaped gardens.</w:t>
      </w:r>
    </w:p>
    <w:p w14:paraId="70ECE06E" w14:textId="77777777" w:rsidR="00DA5C1B" w:rsidRDefault="00DA5C1B" w:rsidP="00DA5C1B">
      <w:pPr>
        <w:pStyle w:val="Heading4"/>
      </w:pPr>
      <w:r>
        <w:lastRenderedPageBreak/>
        <w:t>Conversion of vegetation area RAL units</w:t>
      </w:r>
    </w:p>
    <w:p w14:paraId="4A6AC768" w14:textId="77777777" w:rsidR="00DA5C1B" w:rsidRDefault="00DA5C1B" w:rsidP="00DA5C1B">
      <w:pPr>
        <w:pStyle w:val="NormalText"/>
      </w:pPr>
      <w:r w:rsidRPr="00DA5C1B">
        <w:t>Not required (the RAL is already in units of g ac/ha).</w:t>
      </w:r>
    </w:p>
    <w:p w14:paraId="7D70CCE6" w14:textId="77777777" w:rsidR="00DA5C1B" w:rsidRDefault="00DA5C1B" w:rsidP="00DA5C1B">
      <w:pPr>
        <w:pStyle w:val="Heading3"/>
      </w:pPr>
      <w:bookmarkStart w:id="24" w:name="_Toc14340838"/>
      <w:r>
        <w:t>Determination of livestock area RAL</w:t>
      </w:r>
      <w:bookmarkEnd w:id="24"/>
    </w:p>
    <w:p w14:paraId="6B7197E0" w14:textId="77777777" w:rsidR="00DA5C1B" w:rsidRPr="00DA5C1B" w:rsidRDefault="00DA5C1B" w:rsidP="00DA5C1B">
      <w:pPr>
        <w:pStyle w:val="NormalText"/>
      </w:pPr>
      <w:r w:rsidRPr="00DA5C1B">
        <w:t xml:space="preserve">A standard assessment used to determine export slaughter intervals for stock in order to ensure compliance with Maximum Residue Limits (MRLs) of significant markets for major species is followed in accordance with the </w:t>
      </w:r>
      <w:hyperlink r:id="rId57" w:history="1">
        <w:r w:rsidRPr="00DA5C1B">
          <w:rPr>
            <w:rStyle w:val="Hyperlink"/>
          </w:rPr>
          <w:t>Overseas trade (Part 5B) data guideline</w:t>
        </w:r>
      </w:hyperlink>
      <w:r w:rsidRPr="00DA5C1B">
        <w:t>.</w:t>
      </w:r>
    </w:p>
    <w:p w14:paraId="7FDC642F" w14:textId="77777777" w:rsidR="00DA5C1B" w:rsidRDefault="00DE4D2F" w:rsidP="00DE4D2F">
      <w:pPr>
        <w:pStyle w:val="Heading4"/>
      </w:pPr>
      <w:r>
        <w:t>Conversion of livestock area RAL units</w:t>
      </w:r>
    </w:p>
    <w:p w14:paraId="44FC49FF" w14:textId="44BBB0C6" w:rsidR="00DE4D2F" w:rsidRPr="00DE4D2F" w:rsidRDefault="00DE4D2F" w:rsidP="00DE4D2F">
      <w:pPr>
        <w:pStyle w:val="NormalText"/>
      </w:pPr>
      <w:r w:rsidRPr="00DE4D2F">
        <w:t>In order to convert mg ac/kg to g ac/ha, a multiplication factor</w:t>
      </w:r>
      <w:r w:rsidR="00460E9D">
        <w:t xml:space="preserve"> of 3 is required, as shown in e</w:t>
      </w:r>
      <w:r w:rsidRPr="00DE4D2F">
        <w:t>quation 7. This is derived by considering the density of the off-target pasture where livestock may graze. Publications from the main grazing based livestock industries (</w:t>
      </w:r>
      <w:hyperlink r:id="rId58" w:history="1">
        <w:r w:rsidRPr="00DE4D2F">
          <w:rPr>
            <w:rStyle w:val="Hyperlink"/>
          </w:rPr>
          <w:t>sheep</w:t>
        </w:r>
      </w:hyperlink>
      <w:r w:rsidRPr="00DE4D2F">
        <w:t xml:space="preserve">, </w:t>
      </w:r>
      <w:hyperlink r:id="rId59" w:history="1">
        <w:r w:rsidRPr="00DE4D2F">
          <w:rPr>
            <w:rStyle w:val="Hyperlink"/>
          </w:rPr>
          <w:t>beef</w:t>
        </w:r>
      </w:hyperlink>
      <w:r w:rsidRPr="00DE4D2F">
        <w:t>) indicate an approximate minimum pasture density of 1,500 kg of dry matter equivalent per hectare (1,500 kg DM/ha) before removing stock.</w:t>
      </w:r>
    </w:p>
    <w:p w14:paraId="1DAF9D45" w14:textId="77777777" w:rsidR="00DE4D2F" w:rsidRPr="00DE4D2F" w:rsidRDefault="00DE4D2F" w:rsidP="00DE4D2F">
      <w:pPr>
        <w:pStyle w:val="NormalText"/>
      </w:pPr>
      <w:r w:rsidRPr="00DE4D2F">
        <w:t>For the determination of the livestock area RAL, a pasture density of 3,000 kg DM/ha is used. This approximates standard extensive production practices where stock graze over a large area and/or are fed other food sources than pasture (ie it is assumed that livestock on a pasture of 1,5000 kg DM/ha would source half their dietary intake from a pasture with residues deposited from spray drift and the other half from a different source).</w:t>
      </w:r>
    </w:p>
    <w:p w14:paraId="75312D8A" w14:textId="77777777" w:rsidR="00DE4D2F" w:rsidRPr="00DE4D2F" w:rsidRDefault="00DE4D2F" w:rsidP="00DE4D2F">
      <w:pPr>
        <w:pStyle w:val="Caption"/>
      </w:pPr>
      <w:r w:rsidRPr="00DE4D2F">
        <w:t>Equation 7: Conversion of units for livestock area RAL</w:t>
      </w:r>
    </w:p>
    <w:p w14:paraId="7AAD004A" w14:textId="77777777" w:rsidR="00DE4D2F" w:rsidRPr="009216EE" w:rsidRDefault="008516F4" w:rsidP="00DE4D2F">
      <w:pPr>
        <w:pStyle w:val="RGNormalText"/>
        <w:spacing w:before="720" w:after="720"/>
        <w:rPr>
          <w:rFonts w:ascii="Cambria Math" w:hAnsi="Cambria Math"/>
          <w:i/>
        </w:rPr>
      </w:pPr>
      <m:oMathPara>
        <m:oMath>
          <m:f>
            <m:fPr>
              <m:ctrlPr>
                <w:rPr>
                  <w:rFonts w:ascii="Cambria Math" w:hAnsi="Cambria Math"/>
                  <w:i/>
                </w:rPr>
              </m:ctrlPr>
            </m:fPr>
            <m:num>
              <m:r>
                <w:rPr>
                  <w:rFonts w:ascii="Cambria Math" w:hAnsi="Cambria Math"/>
                </w:rPr>
                <m:t>1 mg ac</m:t>
              </m:r>
            </m:num>
            <m:den>
              <m:r>
                <w:rPr>
                  <w:rFonts w:ascii="Cambria Math" w:hAnsi="Cambria Math"/>
                </w:rPr>
                <m:t>kg</m:t>
              </m:r>
            </m:den>
          </m:f>
          <m:r>
            <w:rPr>
              <w:rFonts w:ascii="Cambria Math" w:hAnsi="Cambria Math"/>
            </w:rPr>
            <m:t>×</m:t>
          </m:r>
          <m:f>
            <m:fPr>
              <m:ctrlPr>
                <w:rPr>
                  <w:rFonts w:ascii="Cambria Math" w:hAnsi="Cambria Math"/>
                  <w:i/>
                </w:rPr>
              </m:ctrlPr>
            </m:fPr>
            <m:num>
              <m:r>
                <w:rPr>
                  <w:rFonts w:ascii="Cambria Math" w:hAnsi="Cambria Math"/>
                </w:rPr>
                <m:t>3,000 kg</m:t>
              </m:r>
            </m:num>
            <m:den>
              <m:r>
                <w:rPr>
                  <w:rFonts w:ascii="Cambria Math" w:hAnsi="Cambria Math"/>
                </w:rPr>
                <m:t>ha</m:t>
              </m:r>
            </m:den>
          </m:f>
          <m:r>
            <w:rPr>
              <w:rFonts w:ascii="Cambria Math" w:hAnsi="Cambria Math"/>
            </w:rPr>
            <m:t>×</m:t>
          </m:r>
          <m:f>
            <m:fPr>
              <m:ctrlPr>
                <w:rPr>
                  <w:rFonts w:ascii="Cambria Math" w:hAnsi="Cambria Math"/>
                  <w:i/>
                </w:rPr>
              </m:ctrlPr>
            </m:fPr>
            <m:num>
              <m:r>
                <w:rPr>
                  <w:rFonts w:ascii="Cambria Math" w:hAnsi="Cambria Math"/>
                </w:rPr>
                <m:t>1 g</m:t>
              </m:r>
            </m:num>
            <m:den>
              <m:r>
                <w:rPr>
                  <w:rFonts w:ascii="Cambria Math" w:hAnsi="Cambria Math"/>
                </w:rPr>
                <m:t>1,000 mg</m:t>
              </m:r>
            </m:den>
          </m:f>
          <m:r>
            <w:rPr>
              <w:rFonts w:ascii="Cambria Math" w:hAnsi="Cambria Math"/>
            </w:rPr>
            <m:t>=</m:t>
          </m:r>
          <m:f>
            <m:fPr>
              <m:ctrlPr>
                <w:rPr>
                  <w:rFonts w:ascii="Cambria Math" w:hAnsi="Cambria Math"/>
                  <w:i/>
                </w:rPr>
              </m:ctrlPr>
            </m:fPr>
            <m:num>
              <m:r>
                <w:rPr>
                  <w:rFonts w:ascii="Cambria Math" w:hAnsi="Cambria Math"/>
                </w:rPr>
                <m:t>1 mg ac</m:t>
              </m:r>
            </m:num>
            <m:den>
              <m:r>
                <w:rPr>
                  <w:rFonts w:ascii="Cambria Math" w:hAnsi="Cambria Math"/>
                </w:rPr>
                <m:t>kg</m:t>
              </m:r>
            </m:den>
          </m:f>
          <m:r>
            <w:rPr>
              <w:rFonts w:ascii="Cambria Math" w:hAnsi="Cambria Math"/>
            </w:rPr>
            <m:t>×</m:t>
          </m:r>
          <m:f>
            <m:fPr>
              <m:ctrlPr>
                <w:rPr>
                  <w:rFonts w:ascii="Cambria Math" w:hAnsi="Cambria Math"/>
                  <w:i/>
                </w:rPr>
              </m:ctrlPr>
            </m:fPr>
            <m:num>
              <m:r>
                <w:rPr>
                  <w:rFonts w:ascii="Cambria Math" w:hAnsi="Cambria Math"/>
                </w:rPr>
                <m:t>3 kg g</m:t>
              </m:r>
            </m:num>
            <m:den>
              <m:r>
                <w:rPr>
                  <w:rFonts w:ascii="Cambria Math" w:hAnsi="Cambria Math"/>
                </w:rPr>
                <m:t>ha mg</m:t>
              </m:r>
            </m:den>
          </m:f>
          <m:r>
            <w:rPr>
              <w:rFonts w:ascii="Cambria Math" w:hAnsi="Cambria Math"/>
            </w:rPr>
            <m:t>=</m:t>
          </m:r>
          <m:f>
            <m:fPr>
              <m:ctrlPr>
                <w:rPr>
                  <w:rFonts w:ascii="Cambria Math" w:hAnsi="Cambria Math"/>
                  <w:i/>
                </w:rPr>
              </m:ctrlPr>
            </m:fPr>
            <m:num>
              <m:r>
                <w:rPr>
                  <w:rFonts w:ascii="Cambria Math" w:hAnsi="Cambria Math"/>
                </w:rPr>
                <m:t>3 g ac</m:t>
              </m:r>
            </m:num>
            <m:den>
              <m:r>
                <w:rPr>
                  <w:rFonts w:ascii="Cambria Math" w:hAnsi="Cambria Math"/>
                </w:rPr>
                <m:t>ha</m:t>
              </m:r>
            </m:den>
          </m:f>
        </m:oMath>
      </m:oMathPara>
    </w:p>
    <w:p w14:paraId="59F10C25" w14:textId="77777777" w:rsidR="00DE4D2F" w:rsidRDefault="00DE4D2F" w:rsidP="00DE4D2F">
      <w:pPr>
        <w:pStyle w:val="Heading2"/>
      </w:pPr>
      <w:bookmarkStart w:id="25" w:name="_Toc14340839"/>
      <w:r>
        <w:t>Expression of RALs as fraction of applied rate</w:t>
      </w:r>
      <w:bookmarkEnd w:id="25"/>
    </w:p>
    <w:p w14:paraId="0F6BCBA0" w14:textId="2A9398E1" w:rsidR="00DE4D2F" w:rsidRPr="00DE4D2F" w:rsidRDefault="00DE4D2F" w:rsidP="00DE4D2F">
      <w:pPr>
        <w:pStyle w:val="NormalText"/>
      </w:pPr>
      <w:r w:rsidRPr="00DE4D2F">
        <w:t>To allow RALs to be used in conjunction with deposition curves to calculate buffer zones, they are expressed as a fraction of the app</w:t>
      </w:r>
      <w:r w:rsidR="00460E9D">
        <w:t>lied rate. This is outlined in e</w:t>
      </w:r>
      <w:r w:rsidRPr="00DE4D2F">
        <w:t>quation 8.</w:t>
      </w:r>
    </w:p>
    <w:p w14:paraId="356F66FB" w14:textId="77777777" w:rsidR="00DE4D2F" w:rsidRPr="00DE4D2F" w:rsidRDefault="00DE4D2F" w:rsidP="00DE4D2F">
      <w:pPr>
        <w:pStyle w:val="Caption"/>
      </w:pPr>
      <w:r w:rsidRPr="00DE4D2F">
        <w:t>Equation 8: Expression of RALs as fraction applied rate</w:t>
      </w:r>
    </w:p>
    <w:p w14:paraId="0DCE8B52" w14:textId="77777777" w:rsidR="00DE4D2F" w:rsidRPr="00431A9E" w:rsidRDefault="00DE4D2F" w:rsidP="00DE4D2F">
      <w:pPr>
        <w:pStyle w:val="RGNormalText"/>
        <w:spacing w:before="720" w:after="720"/>
        <w:rPr>
          <w:rFonts w:ascii="Cambria Math" w:hAnsi="Cambria Math"/>
          <w:i/>
        </w:rPr>
      </w:pPr>
      <m:oMathPara>
        <m:oMath>
          <m:r>
            <w:rPr>
              <w:rFonts w:ascii="Cambria Math" w:hAnsi="Cambria Math"/>
            </w:rPr>
            <m:t xml:space="preserve">RAL </m:t>
          </m:r>
          <m:d>
            <m:dPr>
              <m:ctrlPr>
                <w:rPr>
                  <w:rFonts w:ascii="Cambria Math" w:hAnsi="Cambria Math"/>
                  <w:i/>
                </w:rPr>
              </m:ctrlPr>
            </m:dPr>
            <m:e>
              <m:r>
                <w:rPr>
                  <w:rFonts w:ascii="Cambria Math" w:hAnsi="Cambria Math"/>
                </w:rPr>
                <m:t>fraction of applied rate</m:t>
              </m:r>
            </m:e>
          </m:d>
          <m:r>
            <w:rPr>
              <w:rFonts w:ascii="Cambria Math" w:hAnsi="Cambria Math"/>
            </w:rPr>
            <m:t>=</m:t>
          </m:r>
          <m:f>
            <m:fPr>
              <m:ctrlPr>
                <w:rPr>
                  <w:rFonts w:ascii="Cambria Math" w:hAnsi="Cambria Math"/>
                  <w:i/>
                </w:rPr>
              </m:ctrlPr>
            </m:fPr>
            <m:num>
              <m:r>
                <w:rPr>
                  <w:rFonts w:ascii="Cambria Math" w:hAnsi="Cambria Math"/>
                </w:rPr>
                <m:t xml:space="preserve">RAL </m:t>
              </m:r>
              <m:d>
                <m:dPr>
                  <m:ctrlPr>
                    <w:rPr>
                      <w:rFonts w:ascii="Cambria Math" w:hAnsi="Cambria Math"/>
                      <w:i/>
                    </w:rPr>
                  </m:ctrlPr>
                </m:dPr>
                <m:e>
                  <m:f>
                    <m:fPr>
                      <m:ctrlPr>
                        <w:rPr>
                          <w:rFonts w:ascii="Cambria Math" w:hAnsi="Cambria Math"/>
                          <w:i/>
                        </w:rPr>
                      </m:ctrlPr>
                    </m:fPr>
                    <m:num>
                      <m:r>
                        <w:rPr>
                          <w:rFonts w:ascii="Cambria Math" w:hAnsi="Cambria Math"/>
                        </w:rPr>
                        <m:t>g ac</m:t>
                      </m:r>
                    </m:num>
                    <m:den>
                      <m:r>
                        <w:rPr>
                          <w:rFonts w:ascii="Cambria Math" w:hAnsi="Cambria Math"/>
                        </w:rPr>
                        <m:t>ha</m:t>
                      </m:r>
                    </m:den>
                  </m:f>
                </m:e>
              </m:d>
            </m:num>
            <m:den>
              <m:r>
                <w:rPr>
                  <w:rFonts w:ascii="Cambria Math" w:hAnsi="Cambria Math"/>
                </w:rPr>
                <m:t xml:space="preserve">Product application rate </m:t>
              </m:r>
              <m:d>
                <m:dPr>
                  <m:ctrlPr>
                    <w:rPr>
                      <w:rFonts w:ascii="Cambria Math" w:hAnsi="Cambria Math"/>
                      <w:i/>
                    </w:rPr>
                  </m:ctrlPr>
                </m:dPr>
                <m:e>
                  <m:f>
                    <m:fPr>
                      <m:ctrlPr>
                        <w:rPr>
                          <w:rFonts w:ascii="Cambria Math" w:hAnsi="Cambria Math"/>
                          <w:i/>
                        </w:rPr>
                      </m:ctrlPr>
                    </m:fPr>
                    <m:num>
                      <m:r>
                        <w:rPr>
                          <w:rFonts w:ascii="Cambria Math" w:hAnsi="Cambria Math"/>
                        </w:rPr>
                        <m:t>mL</m:t>
                      </m:r>
                    </m:num>
                    <m:den>
                      <m:r>
                        <w:rPr>
                          <w:rFonts w:ascii="Cambria Math" w:hAnsi="Cambria Math"/>
                        </w:rPr>
                        <m:t>ha</m:t>
                      </m:r>
                    </m:den>
                  </m:f>
                </m:e>
              </m:d>
              <m:r>
                <w:rPr>
                  <w:rFonts w:ascii="Cambria Math" w:hAnsi="Cambria Math"/>
                </w:rPr>
                <m:t xml:space="preserve">×Active concentration </m:t>
              </m:r>
              <m:d>
                <m:dPr>
                  <m:ctrlPr>
                    <w:rPr>
                      <w:rFonts w:ascii="Cambria Math" w:hAnsi="Cambria Math"/>
                      <w:i/>
                    </w:rPr>
                  </m:ctrlPr>
                </m:dPr>
                <m:e>
                  <m:f>
                    <m:fPr>
                      <m:ctrlPr>
                        <w:rPr>
                          <w:rFonts w:ascii="Cambria Math" w:hAnsi="Cambria Math"/>
                          <w:i/>
                        </w:rPr>
                      </m:ctrlPr>
                    </m:fPr>
                    <m:num>
                      <m:r>
                        <w:rPr>
                          <w:rFonts w:ascii="Cambria Math" w:hAnsi="Cambria Math"/>
                        </w:rPr>
                        <m:t>g ac</m:t>
                      </m:r>
                    </m:num>
                    <m:den>
                      <m:r>
                        <w:rPr>
                          <w:rFonts w:ascii="Cambria Math" w:hAnsi="Cambria Math"/>
                        </w:rPr>
                        <m:t xml:space="preserve">L </m:t>
                      </m:r>
                    </m:den>
                  </m:f>
                </m:e>
              </m:d>
              <m:r>
                <w:rPr>
                  <w:rFonts w:ascii="Cambria Math" w:hAnsi="Cambria Math"/>
                </w:rPr>
                <m:t>×</m:t>
              </m:r>
              <m:f>
                <m:fPr>
                  <m:ctrlPr>
                    <w:rPr>
                      <w:rFonts w:ascii="Cambria Math" w:hAnsi="Cambria Math"/>
                      <w:i/>
                    </w:rPr>
                  </m:ctrlPr>
                </m:fPr>
                <m:num>
                  <m:r>
                    <w:rPr>
                      <w:rFonts w:ascii="Cambria Math" w:hAnsi="Cambria Math"/>
                    </w:rPr>
                    <m:t>1 L</m:t>
                  </m:r>
                </m:num>
                <m:den>
                  <m:r>
                    <w:rPr>
                      <w:rFonts w:ascii="Cambria Math" w:hAnsi="Cambria Math"/>
                    </w:rPr>
                    <m:t>1,000mL</m:t>
                  </m:r>
                </m:den>
              </m:f>
            </m:den>
          </m:f>
        </m:oMath>
      </m:oMathPara>
    </w:p>
    <w:p w14:paraId="47C37DFD" w14:textId="77777777" w:rsidR="00DE4D2F" w:rsidRPr="00380390" w:rsidRDefault="00DE4D2F" w:rsidP="00DE4D2F">
      <w:pPr>
        <w:spacing w:before="360" w:after="240"/>
        <w:rPr>
          <w:rFonts w:eastAsiaTheme="minorEastAsia"/>
        </w:rPr>
      </w:pPr>
      <m:oMathPara>
        <m:oMath>
          <m:r>
            <w:rPr>
              <w:rFonts w:ascii="Cambria Math" w:hAnsi="Cambria Math"/>
            </w:rPr>
            <m:t>For products formulated as solids, 'm</m:t>
          </m:r>
          <m:sSup>
            <m:sSupPr>
              <m:ctrlPr>
                <w:rPr>
                  <w:rFonts w:ascii="Cambria Math" w:hAnsi="Cambria Math"/>
                  <w:i/>
                </w:rPr>
              </m:ctrlPr>
            </m:sSupPr>
            <m:e>
              <m:r>
                <w:rPr>
                  <w:rFonts w:ascii="Cambria Math" w:hAnsi="Cambria Math"/>
                </w:rPr>
                <m:t>L</m:t>
              </m:r>
            </m:e>
            <m:sup>
              <m:r>
                <w:rPr>
                  <w:rFonts w:ascii="Cambria Math" w:hAnsi="Cambria Math"/>
                </w:rPr>
                <m:t xml:space="preserve">' </m:t>
              </m:r>
            </m:sup>
          </m:sSup>
          <m:r>
            <w:rPr>
              <w:rFonts w:ascii="Cambria Math" w:hAnsi="Cambria Math"/>
            </w:rPr>
            <m:t>is substituted for 'g' and 'L' for 'kg'</m:t>
          </m:r>
        </m:oMath>
      </m:oMathPara>
    </w:p>
    <w:p w14:paraId="31C52B67" w14:textId="2F695E90" w:rsidR="00DE4D2F" w:rsidRDefault="00DE4D2F" w:rsidP="00DE4D2F">
      <w:pPr>
        <w:pStyle w:val="NormalText"/>
      </w:pPr>
      <w:r w:rsidRPr="00DE4D2F">
        <w:t xml:space="preserve">For boom sprayers and aircraft, application rates can be directly entered into the relevant equation. For vertical sprayers, application rates are stated on product labels in volumetric terms (ie g/100 L or mL/100 L) </w:t>
      </w:r>
      <w:r w:rsidR="00460E9D">
        <w:t>so must first be converted via e</w:t>
      </w:r>
      <w:r w:rsidRPr="00DE4D2F">
        <w:t>quation 9.</w:t>
      </w:r>
    </w:p>
    <w:p w14:paraId="741ED5BF" w14:textId="77777777" w:rsidR="00DE4D2F" w:rsidRPr="00DE4D2F" w:rsidRDefault="00DE4D2F" w:rsidP="00DE4D2F">
      <w:pPr>
        <w:pStyle w:val="Caption"/>
      </w:pPr>
      <w:r w:rsidRPr="00DE4D2F">
        <w:lastRenderedPageBreak/>
        <w:t>Equation 9: Determination of application rate for vertical sprayers</w:t>
      </w:r>
    </w:p>
    <w:p w14:paraId="5DFAFD97" w14:textId="77777777" w:rsidR="00DE4D2F" w:rsidRPr="00CB6F0A" w:rsidRDefault="00DE4D2F" w:rsidP="00DE4D2F">
      <w:pPr>
        <w:pStyle w:val="RGNormalText"/>
        <w:spacing w:before="720" w:after="720"/>
        <w:rPr>
          <w:rFonts w:eastAsiaTheme="minorEastAsia" w:cs="Times New Roman"/>
        </w:rPr>
      </w:pPr>
      <m:oMathPara>
        <m:oMath>
          <m:r>
            <w:rPr>
              <w:rFonts w:ascii="Cambria Math" w:hAnsi="Cambria Math"/>
            </w:rPr>
            <m:t xml:space="preserve">Product application rate </m:t>
          </m:r>
          <m:d>
            <m:dPr>
              <m:ctrlPr>
                <w:rPr>
                  <w:rFonts w:ascii="Cambria Math" w:hAnsi="Cambria Math"/>
                  <w:i/>
                </w:rPr>
              </m:ctrlPr>
            </m:dPr>
            <m:e>
              <m:f>
                <m:fPr>
                  <m:ctrlPr>
                    <w:rPr>
                      <w:rFonts w:ascii="Cambria Math" w:hAnsi="Cambria Math"/>
                      <w:i/>
                    </w:rPr>
                  </m:ctrlPr>
                </m:fPr>
                <m:num>
                  <m:r>
                    <w:rPr>
                      <w:rFonts w:ascii="Cambria Math" w:hAnsi="Cambria Math"/>
                    </w:rPr>
                    <m:t>mL</m:t>
                  </m:r>
                </m:num>
                <m:den>
                  <m:r>
                    <w:rPr>
                      <w:rFonts w:ascii="Cambria Math" w:hAnsi="Cambria Math"/>
                    </w:rPr>
                    <m:t>ha</m:t>
                  </m:r>
                </m:den>
              </m:f>
            </m:e>
          </m:d>
          <m:r>
            <w:rPr>
              <w:rFonts w:ascii="Cambria Math" w:hAnsi="Cambria Math"/>
            </w:rPr>
            <m:t xml:space="preserve">=Product dilution rate </m:t>
          </m:r>
          <m:d>
            <m:dPr>
              <m:ctrlPr>
                <w:rPr>
                  <w:rFonts w:ascii="Cambria Math" w:hAnsi="Cambria Math"/>
                  <w:i/>
                </w:rPr>
              </m:ctrlPr>
            </m:dPr>
            <m:e>
              <m:f>
                <m:fPr>
                  <m:ctrlPr>
                    <w:rPr>
                      <w:rFonts w:ascii="Cambria Math" w:hAnsi="Cambria Math"/>
                      <w:i/>
                    </w:rPr>
                  </m:ctrlPr>
                </m:fPr>
                <m:num>
                  <m:r>
                    <w:rPr>
                      <w:rFonts w:ascii="Cambria Math" w:hAnsi="Cambria Math"/>
                    </w:rPr>
                    <m:t>mL</m:t>
                  </m:r>
                </m:num>
                <m:den>
                  <m:r>
                    <w:rPr>
                      <w:rFonts w:ascii="Cambria Math" w:hAnsi="Cambria Math"/>
                    </w:rPr>
                    <m:t>100 L</m:t>
                  </m:r>
                </m:den>
              </m:f>
            </m:e>
          </m:d>
          <m:r>
            <w:rPr>
              <w:rFonts w:ascii="Cambria Math" w:hAnsi="Cambria Math"/>
            </w:rPr>
            <m:t xml:space="preserve">×Water rate </m:t>
          </m:r>
          <m:d>
            <m:dPr>
              <m:ctrlPr>
                <w:rPr>
                  <w:rFonts w:ascii="Cambria Math" w:hAnsi="Cambria Math"/>
                  <w:i/>
                </w:rPr>
              </m:ctrlPr>
            </m:dPr>
            <m:e>
              <m:f>
                <m:fPr>
                  <m:ctrlPr>
                    <w:rPr>
                      <w:rFonts w:ascii="Cambria Math" w:hAnsi="Cambria Math"/>
                      <w:i/>
                    </w:rPr>
                  </m:ctrlPr>
                </m:fPr>
                <m:num>
                  <m:r>
                    <w:rPr>
                      <w:rFonts w:ascii="Cambria Math" w:hAnsi="Cambria Math"/>
                    </w:rPr>
                    <m:t>L</m:t>
                  </m:r>
                </m:num>
                <m:den>
                  <m:r>
                    <w:rPr>
                      <w:rFonts w:ascii="Cambria Math" w:hAnsi="Cambria Math"/>
                    </w:rPr>
                    <m:t>ha</m:t>
                  </m:r>
                </m:den>
              </m:f>
            </m:e>
          </m:d>
          <m:r>
            <w:rPr>
              <w:rFonts w:ascii="Cambria Math" w:hAnsi="Cambria Math"/>
            </w:rPr>
            <m:t>×</m:t>
          </m:r>
          <m:f>
            <m:fPr>
              <m:ctrlPr>
                <w:rPr>
                  <w:rFonts w:ascii="Cambria Math" w:hAnsi="Cambria Math"/>
                  <w:i/>
                </w:rPr>
              </m:ctrlPr>
            </m:fPr>
            <m:num>
              <m:r>
                <w:rPr>
                  <w:rFonts w:ascii="Cambria Math" w:hAnsi="Cambria Math"/>
                </w:rPr>
                <m:t>1 L</m:t>
              </m:r>
            </m:num>
            <m:den>
              <m:r>
                <w:rPr>
                  <w:rFonts w:ascii="Cambria Math" w:hAnsi="Cambria Math"/>
                </w:rPr>
                <m:t>100 L</m:t>
              </m:r>
            </m:den>
          </m:f>
        </m:oMath>
      </m:oMathPara>
    </w:p>
    <w:p w14:paraId="00DF77C8" w14:textId="77777777" w:rsidR="00DE4D2F" w:rsidRPr="00380390" w:rsidRDefault="00DE4D2F" w:rsidP="00DE4D2F">
      <w:pPr>
        <w:spacing w:before="360" w:after="240"/>
        <w:rPr>
          <w:rFonts w:eastAsiaTheme="minorEastAsia"/>
        </w:rPr>
      </w:pPr>
      <m:oMathPara>
        <m:oMath>
          <m:r>
            <w:rPr>
              <w:rFonts w:ascii="Cambria Math" w:hAnsi="Cambria Math"/>
            </w:rPr>
            <m:t>For products formulated as solids,'m</m:t>
          </m:r>
          <m:sSup>
            <m:sSupPr>
              <m:ctrlPr>
                <w:rPr>
                  <w:rFonts w:ascii="Cambria Math" w:hAnsi="Cambria Math"/>
                  <w:i/>
                </w:rPr>
              </m:ctrlPr>
            </m:sSupPr>
            <m:e>
              <m:r>
                <w:rPr>
                  <w:rFonts w:ascii="Cambria Math" w:hAnsi="Cambria Math"/>
                </w:rPr>
                <m:t>L</m:t>
              </m:r>
            </m:e>
            <m:sup>
              <m:r>
                <w:rPr>
                  <w:rFonts w:ascii="Cambria Math" w:hAnsi="Cambria Math"/>
                </w:rPr>
                <m:t>'</m:t>
              </m:r>
            </m:sup>
          </m:sSup>
          <m:r>
            <w:rPr>
              <w:rFonts w:ascii="Cambria Math" w:hAnsi="Cambria Math"/>
            </w:rPr>
            <m:t>is substituted by 'g'</m:t>
          </m:r>
        </m:oMath>
      </m:oMathPara>
    </w:p>
    <w:p w14:paraId="1802D2AE" w14:textId="4288CB65" w:rsidR="00DE4D2F" w:rsidRPr="00DE4D2F" w:rsidRDefault="00460E9D" w:rsidP="00DE4D2F">
      <w:pPr>
        <w:pStyle w:val="NormalText"/>
      </w:pPr>
      <w:r>
        <w:t>The water rate in e</w:t>
      </w:r>
      <w:r w:rsidR="00DE4D2F" w:rsidRPr="00DE4D2F">
        <w:t>quation 9 depends on the type and size of crop. Unless otherwise stated on the product label, defaults based on a report by the Victorian Government (2</w:t>
      </w:r>
      <w:r w:rsidR="0043717A">
        <w:t>012) will be used as listed in t</w:t>
      </w:r>
      <w:r w:rsidR="00DE4D2F" w:rsidRPr="00DE4D2F">
        <w:t>able 5.</w:t>
      </w:r>
    </w:p>
    <w:p w14:paraId="3F591855" w14:textId="77777777" w:rsidR="00DE4D2F" w:rsidRDefault="00DE4D2F" w:rsidP="00DE4D2F">
      <w:pPr>
        <w:pStyle w:val="Caption"/>
      </w:pPr>
      <w:bookmarkStart w:id="26" w:name="_Toc14340884"/>
      <w:r>
        <w:t xml:space="preserve">Table </w:t>
      </w:r>
      <w:r w:rsidR="00371051">
        <w:rPr>
          <w:noProof/>
        </w:rPr>
        <w:fldChar w:fldCharType="begin"/>
      </w:r>
      <w:r w:rsidR="00371051">
        <w:rPr>
          <w:noProof/>
        </w:rPr>
        <w:instrText xml:space="preserve"> SEQ Table \* ARABIC </w:instrText>
      </w:r>
      <w:r w:rsidR="00371051">
        <w:rPr>
          <w:noProof/>
        </w:rPr>
        <w:fldChar w:fldCharType="separate"/>
      </w:r>
      <w:r w:rsidR="00037DBD">
        <w:rPr>
          <w:noProof/>
        </w:rPr>
        <w:t>5</w:t>
      </w:r>
      <w:r w:rsidR="00371051">
        <w:rPr>
          <w:noProof/>
        </w:rPr>
        <w:fldChar w:fldCharType="end"/>
      </w:r>
      <w:r>
        <w:t>:</w:t>
      </w:r>
      <w:r>
        <w:tab/>
        <w:t>Water rates for different crops</w:t>
      </w:r>
      <w:bookmarkEnd w:id="26"/>
    </w:p>
    <w:tbl>
      <w:tblPr>
        <w:tblW w:w="5000" w:type="pct"/>
        <w:tblBorders>
          <w:bottom w:val="dotted" w:sz="2" w:space="0" w:color="auto"/>
          <w:insideH w:val="dotted" w:sz="2" w:space="0" w:color="auto"/>
        </w:tblBorders>
        <w:tblLook w:val="01E0" w:firstRow="1" w:lastRow="1" w:firstColumn="1" w:lastColumn="1" w:noHBand="0" w:noVBand="0"/>
      </w:tblPr>
      <w:tblGrid>
        <w:gridCol w:w="3685"/>
        <w:gridCol w:w="3119"/>
        <w:gridCol w:w="2834"/>
      </w:tblGrid>
      <w:tr w:rsidR="00DE4D2F" w14:paraId="42F67034" w14:textId="77777777" w:rsidTr="00F807AA">
        <w:trPr>
          <w:cantSplit/>
          <w:tblHeader/>
        </w:trPr>
        <w:tc>
          <w:tcPr>
            <w:tcW w:w="1912" w:type="pct"/>
            <w:tcBorders>
              <w:bottom w:val="single" w:sz="4" w:space="0" w:color="auto"/>
            </w:tcBorders>
            <w:shd w:val="clear" w:color="auto" w:fill="53284F"/>
            <w:vAlign w:val="bottom"/>
          </w:tcPr>
          <w:p w14:paraId="58073FEB" w14:textId="0D11982D" w:rsidR="00DE4D2F" w:rsidRPr="00DE4D2F" w:rsidRDefault="00160D80" w:rsidP="00DE4D2F">
            <w:pPr>
              <w:pStyle w:val="APVMATableHead"/>
            </w:pPr>
            <w:r>
              <w:t>Crop t</w:t>
            </w:r>
            <w:r w:rsidR="00DE4D2F" w:rsidRPr="00DE4D2F">
              <w:t>ype</w:t>
            </w:r>
          </w:p>
        </w:tc>
        <w:tc>
          <w:tcPr>
            <w:tcW w:w="1618" w:type="pct"/>
            <w:tcBorders>
              <w:bottom w:val="single" w:sz="4" w:space="0" w:color="auto"/>
            </w:tcBorders>
            <w:shd w:val="clear" w:color="auto" w:fill="53284F"/>
            <w:vAlign w:val="bottom"/>
          </w:tcPr>
          <w:p w14:paraId="292C0406" w14:textId="77777777" w:rsidR="00DE4D2F" w:rsidRPr="00DE4D2F" w:rsidRDefault="00DE4D2F" w:rsidP="00DE4D2F">
            <w:pPr>
              <w:pStyle w:val="APVMATableHead"/>
            </w:pPr>
            <w:r w:rsidRPr="00DE4D2F">
              <w:t>Water rate for crops 2 metres tall or shorter (L/ha)</w:t>
            </w:r>
          </w:p>
        </w:tc>
        <w:tc>
          <w:tcPr>
            <w:tcW w:w="1470" w:type="pct"/>
            <w:tcBorders>
              <w:bottom w:val="single" w:sz="4" w:space="0" w:color="auto"/>
            </w:tcBorders>
            <w:shd w:val="clear" w:color="auto" w:fill="53284F"/>
            <w:vAlign w:val="bottom"/>
          </w:tcPr>
          <w:p w14:paraId="18A31201" w14:textId="77777777" w:rsidR="00DE4D2F" w:rsidRPr="00DE4D2F" w:rsidRDefault="00DE4D2F" w:rsidP="00DE4D2F">
            <w:pPr>
              <w:pStyle w:val="APVMATableHead"/>
            </w:pPr>
            <w:r w:rsidRPr="00DE4D2F">
              <w:t>Water rate for crops taller than 2 metres (L/ha)</w:t>
            </w:r>
          </w:p>
        </w:tc>
      </w:tr>
      <w:tr w:rsidR="00DE4D2F" w14:paraId="41B2391D" w14:textId="77777777" w:rsidTr="00F807AA">
        <w:trPr>
          <w:cantSplit/>
        </w:trPr>
        <w:tc>
          <w:tcPr>
            <w:tcW w:w="1912" w:type="pct"/>
            <w:tcBorders>
              <w:top w:val="single" w:sz="4" w:space="0" w:color="auto"/>
              <w:bottom w:val="single" w:sz="4" w:space="0" w:color="auto"/>
            </w:tcBorders>
          </w:tcPr>
          <w:p w14:paraId="033B4B71" w14:textId="77777777" w:rsidR="00DE4D2F" w:rsidRDefault="00DE4D2F" w:rsidP="00DE4D2F">
            <w:pPr>
              <w:pStyle w:val="APVMATableText"/>
            </w:pPr>
            <w:r>
              <w:t>Vines and fruiting vegetables</w:t>
            </w:r>
          </w:p>
        </w:tc>
        <w:tc>
          <w:tcPr>
            <w:tcW w:w="1618" w:type="pct"/>
            <w:vMerge w:val="restart"/>
            <w:tcBorders>
              <w:top w:val="single" w:sz="4" w:space="0" w:color="auto"/>
            </w:tcBorders>
          </w:tcPr>
          <w:p w14:paraId="14C9EBA5" w14:textId="77777777" w:rsidR="00DE4D2F" w:rsidRDefault="00DE4D2F" w:rsidP="00DE4D2F">
            <w:pPr>
              <w:pStyle w:val="APVMATableText"/>
            </w:pPr>
            <w:r>
              <w:t>1,000</w:t>
            </w:r>
          </w:p>
        </w:tc>
        <w:tc>
          <w:tcPr>
            <w:tcW w:w="1470" w:type="pct"/>
            <w:tcBorders>
              <w:top w:val="single" w:sz="4" w:space="0" w:color="auto"/>
              <w:bottom w:val="single" w:sz="4" w:space="0" w:color="auto"/>
            </w:tcBorders>
          </w:tcPr>
          <w:p w14:paraId="2161D843" w14:textId="77777777" w:rsidR="00DE4D2F" w:rsidRDefault="00DE4D2F" w:rsidP="00DE4D2F">
            <w:pPr>
              <w:pStyle w:val="APVMATableText"/>
            </w:pPr>
            <w:r>
              <w:t>Not applicable</w:t>
            </w:r>
          </w:p>
        </w:tc>
      </w:tr>
      <w:tr w:rsidR="00DE4D2F" w14:paraId="54C1396F" w14:textId="77777777" w:rsidTr="00F807AA">
        <w:trPr>
          <w:cantSplit/>
        </w:trPr>
        <w:tc>
          <w:tcPr>
            <w:tcW w:w="1912" w:type="pct"/>
            <w:tcBorders>
              <w:top w:val="single" w:sz="4" w:space="0" w:color="auto"/>
              <w:bottom w:val="single" w:sz="4" w:space="0" w:color="auto"/>
            </w:tcBorders>
          </w:tcPr>
          <w:p w14:paraId="6D45DEE8" w14:textId="77777777" w:rsidR="00DE4D2F" w:rsidRDefault="00DE4D2F" w:rsidP="00DE4D2F">
            <w:pPr>
              <w:pStyle w:val="APVMATableText"/>
            </w:pPr>
            <w:r>
              <w:t>Pome f</w:t>
            </w:r>
            <w:r w:rsidRPr="000236C9">
              <w:t xml:space="preserve">ruit or </w:t>
            </w:r>
            <w:r>
              <w:t>stone f</w:t>
            </w:r>
            <w:r w:rsidRPr="000236C9">
              <w:t xml:space="preserve">ruit or </w:t>
            </w:r>
            <w:r>
              <w:t>a</w:t>
            </w:r>
            <w:r w:rsidRPr="000236C9">
              <w:t>lmonds</w:t>
            </w:r>
          </w:p>
        </w:tc>
        <w:tc>
          <w:tcPr>
            <w:tcW w:w="1618" w:type="pct"/>
            <w:vMerge/>
          </w:tcPr>
          <w:p w14:paraId="2C854E2A" w14:textId="77777777" w:rsidR="00DE4D2F" w:rsidRDefault="00DE4D2F" w:rsidP="00DE4D2F">
            <w:pPr>
              <w:pStyle w:val="APVMATableText"/>
            </w:pPr>
          </w:p>
        </w:tc>
        <w:tc>
          <w:tcPr>
            <w:tcW w:w="1470" w:type="pct"/>
            <w:tcBorders>
              <w:top w:val="single" w:sz="4" w:space="0" w:color="auto"/>
              <w:bottom w:val="single" w:sz="4" w:space="0" w:color="auto"/>
            </w:tcBorders>
          </w:tcPr>
          <w:p w14:paraId="111459AF" w14:textId="77777777" w:rsidR="00DE4D2F" w:rsidRDefault="00DE4D2F" w:rsidP="00DE4D2F">
            <w:pPr>
              <w:pStyle w:val="APVMATableText"/>
            </w:pPr>
            <w:r>
              <w:t>1,500</w:t>
            </w:r>
          </w:p>
        </w:tc>
      </w:tr>
      <w:tr w:rsidR="00DE4D2F" w14:paraId="198DB6E1" w14:textId="77777777" w:rsidTr="00F807AA">
        <w:trPr>
          <w:cantSplit/>
        </w:trPr>
        <w:tc>
          <w:tcPr>
            <w:tcW w:w="1912" w:type="pct"/>
            <w:tcBorders>
              <w:top w:val="single" w:sz="4" w:space="0" w:color="auto"/>
              <w:bottom w:val="single" w:sz="4" w:space="0" w:color="auto"/>
            </w:tcBorders>
          </w:tcPr>
          <w:p w14:paraId="13C52D45" w14:textId="77777777" w:rsidR="00DE4D2F" w:rsidRDefault="00DE4D2F" w:rsidP="00DE4D2F">
            <w:pPr>
              <w:pStyle w:val="APVMATableText"/>
            </w:pPr>
            <w:r w:rsidRPr="000236C9">
              <w:t xml:space="preserve">Mango or </w:t>
            </w:r>
            <w:r>
              <w:t>a</w:t>
            </w:r>
            <w:r w:rsidRPr="000236C9">
              <w:t>vocado</w:t>
            </w:r>
          </w:p>
        </w:tc>
        <w:tc>
          <w:tcPr>
            <w:tcW w:w="1618" w:type="pct"/>
            <w:vMerge/>
          </w:tcPr>
          <w:p w14:paraId="0E6670A8" w14:textId="77777777" w:rsidR="00DE4D2F" w:rsidRDefault="00DE4D2F" w:rsidP="00DE4D2F">
            <w:pPr>
              <w:pStyle w:val="APVMATableText"/>
            </w:pPr>
          </w:p>
        </w:tc>
        <w:tc>
          <w:tcPr>
            <w:tcW w:w="1470" w:type="pct"/>
            <w:tcBorders>
              <w:top w:val="single" w:sz="4" w:space="0" w:color="auto"/>
              <w:bottom w:val="single" w:sz="4" w:space="0" w:color="auto"/>
            </w:tcBorders>
          </w:tcPr>
          <w:p w14:paraId="0AFCA68A" w14:textId="77777777" w:rsidR="00DE4D2F" w:rsidRDefault="00DE4D2F" w:rsidP="00DE4D2F">
            <w:pPr>
              <w:pStyle w:val="APVMATableText"/>
            </w:pPr>
            <w:r>
              <w:t>2,000</w:t>
            </w:r>
          </w:p>
        </w:tc>
      </w:tr>
      <w:tr w:rsidR="00DE4D2F" w14:paraId="631FCB97" w14:textId="77777777" w:rsidTr="00F807AA">
        <w:trPr>
          <w:cantSplit/>
        </w:trPr>
        <w:tc>
          <w:tcPr>
            <w:tcW w:w="1912" w:type="pct"/>
            <w:tcBorders>
              <w:top w:val="single" w:sz="4" w:space="0" w:color="auto"/>
              <w:bottom w:val="single" w:sz="4" w:space="0" w:color="auto"/>
            </w:tcBorders>
          </w:tcPr>
          <w:p w14:paraId="6CAD98CC" w14:textId="77777777" w:rsidR="00DE4D2F" w:rsidRDefault="00DE4D2F" w:rsidP="00DE4D2F">
            <w:pPr>
              <w:pStyle w:val="APVMATableText"/>
            </w:pPr>
            <w:r w:rsidRPr="000236C9">
              <w:t>Citrus or</w:t>
            </w:r>
            <w:r>
              <w:t xml:space="preserve"> tree n</w:t>
            </w:r>
            <w:r w:rsidRPr="000236C9">
              <w:t xml:space="preserve">uts </w:t>
            </w:r>
            <w:r>
              <w:t>(other than a</w:t>
            </w:r>
            <w:r w:rsidRPr="000236C9">
              <w:t>lmonds)</w:t>
            </w:r>
          </w:p>
        </w:tc>
        <w:tc>
          <w:tcPr>
            <w:tcW w:w="1618" w:type="pct"/>
            <w:vMerge/>
          </w:tcPr>
          <w:p w14:paraId="5ACBB9C0" w14:textId="77777777" w:rsidR="00DE4D2F" w:rsidRDefault="00DE4D2F" w:rsidP="00DE4D2F">
            <w:pPr>
              <w:pStyle w:val="APVMATableText"/>
            </w:pPr>
          </w:p>
        </w:tc>
        <w:tc>
          <w:tcPr>
            <w:tcW w:w="1470" w:type="pct"/>
            <w:tcBorders>
              <w:top w:val="single" w:sz="4" w:space="0" w:color="auto"/>
              <w:bottom w:val="single" w:sz="4" w:space="0" w:color="auto"/>
            </w:tcBorders>
          </w:tcPr>
          <w:p w14:paraId="54A1ED77" w14:textId="77777777" w:rsidR="00DE4D2F" w:rsidRDefault="00DE4D2F" w:rsidP="00DE4D2F">
            <w:pPr>
              <w:pStyle w:val="APVMATableText"/>
            </w:pPr>
            <w:r>
              <w:t>4,000</w:t>
            </w:r>
          </w:p>
        </w:tc>
      </w:tr>
      <w:tr w:rsidR="00DE4D2F" w14:paraId="498D6DD0" w14:textId="77777777" w:rsidTr="00F807AA">
        <w:trPr>
          <w:cantSplit/>
        </w:trPr>
        <w:tc>
          <w:tcPr>
            <w:tcW w:w="1912" w:type="pct"/>
            <w:tcBorders>
              <w:top w:val="single" w:sz="4" w:space="0" w:color="auto"/>
              <w:bottom w:val="single" w:sz="4" w:space="0" w:color="auto"/>
            </w:tcBorders>
          </w:tcPr>
          <w:p w14:paraId="55D24622" w14:textId="77777777" w:rsidR="00DE4D2F" w:rsidRDefault="00DE4D2F" w:rsidP="00DE4D2F">
            <w:pPr>
              <w:pStyle w:val="APVMATableText"/>
            </w:pPr>
            <w:r w:rsidRPr="000236C9">
              <w:t>All other crops</w:t>
            </w:r>
          </w:p>
        </w:tc>
        <w:tc>
          <w:tcPr>
            <w:tcW w:w="1618" w:type="pct"/>
            <w:vMerge/>
            <w:tcBorders>
              <w:bottom w:val="single" w:sz="4" w:space="0" w:color="auto"/>
            </w:tcBorders>
          </w:tcPr>
          <w:p w14:paraId="7ED95DDD" w14:textId="77777777" w:rsidR="00DE4D2F" w:rsidRDefault="00DE4D2F" w:rsidP="00DE4D2F">
            <w:pPr>
              <w:pStyle w:val="APVMATableText"/>
            </w:pPr>
          </w:p>
        </w:tc>
        <w:tc>
          <w:tcPr>
            <w:tcW w:w="1470" w:type="pct"/>
            <w:tcBorders>
              <w:top w:val="single" w:sz="4" w:space="0" w:color="auto"/>
              <w:bottom w:val="single" w:sz="4" w:space="0" w:color="auto"/>
            </w:tcBorders>
          </w:tcPr>
          <w:p w14:paraId="73F2ED7B" w14:textId="77777777" w:rsidR="00DE4D2F" w:rsidRDefault="00DE4D2F" w:rsidP="00DE4D2F">
            <w:pPr>
              <w:pStyle w:val="APVMATableText"/>
            </w:pPr>
            <w:r>
              <w:t>2,000</w:t>
            </w:r>
          </w:p>
        </w:tc>
      </w:tr>
    </w:tbl>
    <w:p w14:paraId="51BA8E37" w14:textId="77777777" w:rsidR="00DE4D2F" w:rsidRDefault="00DE4D2F" w:rsidP="00DE4D2F">
      <w:pPr>
        <w:pStyle w:val="Heading2"/>
      </w:pPr>
      <w:bookmarkStart w:id="27" w:name="_Toc14340840"/>
      <w:r>
        <w:t>RALs for combination products and mandatory tank-mixes</w:t>
      </w:r>
      <w:bookmarkEnd w:id="27"/>
    </w:p>
    <w:p w14:paraId="7CEEC305" w14:textId="5A73617F" w:rsidR="00DE4D2F" w:rsidRPr="00DE4D2F" w:rsidRDefault="00DE4D2F" w:rsidP="00DE4D2F">
      <w:pPr>
        <w:pStyle w:val="NormalText"/>
      </w:pPr>
      <w:r w:rsidRPr="00DE4D2F">
        <w:t xml:space="preserve">Where a product contains more than one active ingredient (ie a combination product), RALs will be expressed relative to the total proportion of active ingredients in the product. In the absence of formulation toxicity studies, if combination toxicity is relevant for a hazard assessment to determine a RAL (see section 3.1), the concentration addition approach adopted from Altenburger </w:t>
      </w:r>
      <w:r>
        <w:t>et al</w:t>
      </w:r>
      <w:r w:rsidRPr="00DE4D2F">
        <w:t xml:space="preserve"> (2</w:t>
      </w:r>
      <w:r w:rsidR="00460E9D">
        <w:t>014) will be used, as shown in e</w:t>
      </w:r>
      <w:r w:rsidRPr="00DE4D2F">
        <w:t>quation 10. For these assessments, only acute risks of the combination to non-target species that can be directly exposed immediately after one application are conducted.</w:t>
      </w:r>
    </w:p>
    <w:p w14:paraId="6EBC9E5C" w14:textId="77777777" w:rsidR="00DE4D2F" w:rsidRDefault="00DE4D2F" w:rsidP="00DE4D2F">
      <w:pPr>
        <w:pStyle w:val="Caption"/>
      </w:pPr>
      <w:r>
        <w:t>Equation 10: Formula to calculate combination toxicity through concentration addition</w:t>
      </w:r>
    </w:p>
    <w:p w14:paraId="55141FE3" w14:textId="77777777" w:rsidR="00DE4D2F" w:rsidRPr="00B53F90" w:rsidRDefault="008516F4" w:rsidP="00DE4D2F">
      <w:pPr>
        <w:spacing w:before="720" w:after="720"/>
        <w:rPr>
          <w:rFonts w:cs="Arial"/>
        </w:rPr>
      </w:pPr>
      <m:oMathPara>
        <m:oMath>
          <m:sSub>
            <m:sSubPr>
              <m:ctrlPr>
                <w:rPr>
                  <w:rFonts w:ascii="Cambria Math" w:hAnsi="Cambria Math"/>
                  <w:i/>
                </w:rPr>
              </m:ctrlPr>
            </m:sSubPr>
            <m:e>
              <m:r>
                <w:rPr>
                  <w:rFonts w:ascii="Cambria Math" w:hAnsi="Cambria Math"/>
                </w:rPr>
                <m:t>EC</m:t>
              </m:r>
            </m:e>
            <m:sub>
              <m:r>
                <w:rPr>
                  <w:rFonts w:ascii="Cambria Math" w:hAnsi="Cambria Math"/>
                </w:rPr>
                <m:t>x</m:t>
              </m:r>
            </m:sub>
          </m:sSub>
          <m:r>
            <w:rPr>
              <w:rFonts w:ascii="Cambria Math" w:hAnsi="Cambria Math"/>
            </w:rPr>
            <m:t>(mix)</m:t>
          </m:r>
          <m:r>
            <m:rPr>
              <m:sty m:val="p"/>
            </m:rPr>
            <w:rPr>
              <w:rFonts w:ascii="Cambria Math" w:hAnsi="Cambria Math"/>
            </w:rPr>
            <m:t>=</m:t>
          </m:r>
          <m:sSup>
            <m:sSupPr>
              <m:ctrlPr>
                <w:rPr>
                  <w:rFonts w:ascii="Cambria Math" w:hAnsi="Cambria Math"/>
                  <w:i/>
                </w:rPr>
              </m:ctrlPr>
            </m:sSupPr>
            <m:e>
              <m:d>
                <m:dPr>
                  <m:ctrlPr>
                    <w:rPr>
                      <w:rFonts w:ascii="Cambria Math" w:hAnsi="Cambria Math"/>
                    </w:rPr>
                  </m:ctrlPr>
                </m:dPr>
                <m:e>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i</m:t>
                              </m:r>
                            </m:sub>
                          </m:sSub>
                        </m:num>
                        <m:den>
                          <m:sSup>
                            <m:sSupPr>
                              <m:ctrlPr>
                                <w:rPr>
                                  <w:rFonts w:ascii="Cambria Math" w:hAnsi="Cambria Math"/>
                                  <w:i/>
                                </w:rPr>
                              </m:ctrlPr>
                            </m:sSupPr>
                            <m:e>
                              <m:sSub>
                                <m:sSubPr>
                                  <m:ctrlPr>
                                    <w:rPr>
                                      <w:rFonts w:ascii="Cambria Math" w:hAnsi="Cambria Math"/>
                                      <w:i/>
                                    </w:rPr>
                                  </m:ctrlPr>
                                </m:sSubPr>
                                <m:e>
                                  <m:r>
                                    <w:rPr>
                                      <w:rFonts w:ascii="Cambria Math" w:hAnsi="Cambria Math"/>
                                    </w:rPr>
                                    <m:t>F</m:t>
                                  </m:r>
                                </m:e>
                                <m:sub>
                                  <m:r>
                                    <w:rPr>
                                      <w:rFonts w:ascii="Cambria Math" w:hAnsi="Cambria Math"/>
                                    </w:rPr>
                                    <m:t>i</m:t>
                                  </m:r>
                                </m:sub>
                              </m:sSub>
                            </m:e>
                            <m:sup>
                              <m:r>
                                <w:rPr>
                                  <w:rFonts w:ascii="Cambria Math" w:hAnsi="Cambria Math"/>
                                </w:rPr>
                                <m:t>-1</m:t>
                              </m:r>
                            </m:sup>
                          </m:sSup>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den>
                      </m:f>
                    </m:e>
                  </m:nary>
                </m:e>
              </m:d>
            </m:e>
            <m:sup>
              <m:r>
                <w:rPr>
                  <w:rFonts w:ascii="Cambria Math" w:hAnsi="Cambria Math"/>
                </w:rPr>
                <m:t>-1</m:t>
              </m:r>
            </m:sup>
          </m:sSup>
        </m:oMath>
      </m:oMathPara>
    </w:p>
    <w:p w14:paraId="00183A09" w14:textId="4E30689A" w:rsidR="00DE4D2F" w:rsidRDefault="00DE4D2F" w:rsidP="00DE4D2F">
      <w:pPr>
        <w:pStyle w:val="NormalText"/>
      </w:pPr>
      <w:r w:rsidRPr="00DE4D2F">
        <w:t>An example of a concentration ad</w:t>
      </w:r>
      <w:r w:rsidR="00460E9D">
        <w:t>dition calculation is shown in equation 11. The variables in equation 10 and e</w:t>
      </w:r>
      <w:r w:rsidRPr="00DE4D2F">
        <w:t>quation 11 are shown i</w:t>
      </w:r>
      <w:r w:rsidR="0043717A">
        <w:t>n t</w:t>
      </w:r>
      <w:r w:rsidRPr="00DE4D2F">
        <w:t>able 6.</w:t>
      </w:r>
    </w:p>
    <w:p w14:paraId="3C771455" w14:textId="77777777" w:rsidR="00DE4D2F" w:rsidRPr="00DE4D2F" w:rsidRDefault="00DE4D2F" w:rsidP="00DE4D2F">
      <w:pPr>
        <w:pStyle w:val="Caption"/>
      </w:pPr>
      <w:r w:rsidRPr="00DE4D2F">
        <w:lastRenderedPageBreak/>
        <w:t>Equation 11: Example of a concentration addition calculation</w:t>
      </w:r>
    </w:p>
    <w:p w14:paraId="3F53C909" w14:textId="77777777" w:rsidR="00DE4D2F" w:rsidRPr="00237ED7" w:rsidRDefault="00DE4D2F" w:rsidP="00DE4D2F">
      <w:pPr>
        <w:spacing w:before="240" w:after="240"/>
        <w:rPr>
          <w:rFonts w:ascii="Trebuchet MS" w:hAnsi="Trebuchet MS" w:cs="Arial"/>
        </w:rPr>
      </w:pPr>
      <m:oMathPara>
        <m:oMath>
          <m:r>
            <w:rPr>
              <w:rFonts w:ascii="Cambria Math" w:hAnsi="Cambria Math"/>
            </w:rPr>
            <m:t xml:space="preserve">Consider a combination product with Active A (200 </m:t>
          </m:r>
          <m:f>
            <m:fPr>
              <m:ctrlPr>
                <w:rPr>
                  <w:rFonts w:ascii="Cambria Math" w:hAnsi="Cambria Math"/>
                  <w:i/>
                </w:rPr>
              </m:ctrlPr>
            </m:fPr>
            <m:num>
              <m:r>
                <w:rPr>
                  <w:rFonts w:ascii="Cambria Math" w:hAnsi="Cambria Math"/>
                </w:rPr>
                <m:t>g ac</m:t>
              </m:r>
            </m:num>
            <m:den>
              <m:r>
                <w:rPr>
                  <w:rFonts w:ascii="Cambria Math" w:hAnsi="Cambria Math"/>
                </w:rPr>
                <m:t>L</m:t>
              </m:r>
            </m:den>
          </m:f>
          <m:r>
            <w:rPr>
              <w:rFonts w:ascii="Cambria Math" w:hAnsi="Cambria Math"/>
            </w:rPr>
            <m:t xml:space="preserve">) and Active B (10 </m:t>
          </m:r>
          <m:f>
            <m:fPr>
              <m:ctrlPr>
                <w:rPr>
                  <w:rFonts w:ascii="Cambria Math" w:hAnsi="Cambria Math"/>
                  <w:i/>
                </w:rPr>
              </m:ctrlPr>
            </m:fPr>
            <m:num>
              <m:r>
                <w:rPr>
                  <w:rFonts w:ascii="Cambria Math" w:hAnsi="Cambria Math"/>
                </w:rPr>
                <m:t>g ac</m:t>
              </m:r>
            </m:num>
            <m:den>
              <m:r>
                <w:rPr>
                  <w:rFonts w:ascii="Cambria Math" w:hAnsi="Cambria Math"/>
                </w:rPr>
                <m:t>L</m:t>
              </m:r>
            </m:den>
          </m:f>
          <m:r>
            <w:rPr>
              <w:rFonts w:ascii="Cambria Math" w:hAnsi="Cambria Math"/>
            </w:rPr>
            <m:t>)</m:t>
          </m:r>
        </m:oMath>
      </m:oMathPara>
    </w:p>
    <w:p w14:paraId="0C5442AD" w14:textId="77777777" w:rsidR="00DE4D2F" w:rsidRPr="00491F51" w:rsidRDefault="00DE4D2F" w:rsidP="00DE4D2F">
      <w:pPr>
        <w:spacing w:before="360" w:after="240"/>
        <w:rPr>
          <w:rFonts w:eastAsiaTheme="minorEastAsia"/>
        </w:rPr>
      </w:pPr>
      <m:oMathPara>
        <m:oMath>
          <m:r>
            <w:rPr>
              <w:rFonts w:ascii="Cambria Math" w:hAnsi="Cambria Math" w:cs="Arial"/>
            </w:rPr>
            <m:t xml:space="preserve">- the total active concentration in the product is 210 </m:t>
          </m:r>
          <m:f>
            <m:fPr>
              <m:ctrlPr>
                <w:rPr>
                  <w:rFonts w:ascii="Cambria Math" w:hAnsi="Cambria Math" w:cs="Arial"/>
                  <w:i/>
                </w:rPr>
              </m:ctrlPr>
            </m:fPr>
            <m:num>
              <m:r>
                <w:rPr>
                  <w:rFonts w:ascii="Cambria Math" w:hAnsi="Cambria Math" w:cs="Arial"/>
                </w:rPr>
                <m:t>g acs</m:t>
              </m:r>
            </m:num>
            <m:den>
              <m:r>
                <w:rPr>
                  <w:rFonts w:ascii="Cambria Math" w:hAnsi="Cambria Math" w:cs="Arial"/>
                </w:rPr>
                <m:t>L</m:t>
              </m:r>
            </m:den>
          </m:f>
        </m:oMath>
      </m:oMathPara>
    </w:p>
    <w:p w14:paraId="178EA99D" w14:textId="77777777" w:rsidR="00DE4D2F" w:rsidRPr="00AA0153" w:rsidRDefault="00DE4D2F" w:rsidP="00DE4D2F">
      <w:pPr>
        <w:spacing w:before="360" w:after="240"/>
        <w:rPr>
          <w:rFonts w:ascii="Trebuchet MS" w:hAnsi="Trebuchet MS" w:cs="Arial"/>
        </w:rPr>
      </w:pPr>
      <m:oMathPara>
        <m:oMath>
          <m:r>
            <w:rPr>
              <w:rFonts w:ascii="Cambria Math" w:hAnsi="Cambria Math" w:cs="Arial"/>
            </w:rPr>
            <m:t xml:space="preserve">Both active constitents are toxic to fish, the </m:t>
          </m:r>
          <m:sSub>
            <m:sSubPr>
              <m:ctrlPr>
                <w:rPr>
                  <w:rFonts w:ascii="Cambria Math" w:hAnsi="Cambria Math" w:cs="Arial"/>
                  <w:i/>
                </w:rPr>
              </m:ctrlPr>
            </m:sSubPr>
            <m:e>
              <m:r>
                <w:rPr>
                  <w:rFonts w:ascii="Cambria Math" w:hAnsi="Cambria Math" w:cs="Arial"/>
                </w:rPr>
                <m:t>LC</m:t>
              </m:r>
            </m:e>
            <m:sub>
              <m:r>
                <w:rPr>
                  <w:rFonts w:ascii="Cambria Math" w:hAnsi="Cambria Math" w:cs="Arial"/>
                </w:rPr>
                <m:t>50</m:t>
              </m:r>
            </m:sub>
          </m:sSub>
          <m:r>
            <w:rPr>
              <w:rFonts w:ascii="Cambria Math" w:hAnsi="Cambria Math" w:cs="Arial"/>
            </w:rPr>
            <m:t xml:space="preserve"> for Active A is 300 </m:t>
          </m:r>
          <m:f>
            <m:fPr>
              <m:ctrlPr>
                <w:rPr>
                  <w:rFonts w:ascii="Cambria Math" w:hAnsi="Cambria Math" w:cs="Arial"/>
                  <w:i/>
                </w:rPr>
              </m:ctrlPr>
            </m:fPr>
            <m:num>
              <m:r>
                <w:rPr>
                  <w:rFonts w:ascii="Cambria Math" w:hAnsi="Cambria Math" w:cs="Arial"/>
                </w:rPr>
                <m:t>μg ac</m:t>
              </m:r>
            </m:num>
            <m:den>
              <m:r>
                <w:rPr>
                  <w:rFonts w:ascii="Cambria Math" w:hAnsi="Cambria Math" w:cs="Arial"/>
                </w:rPr>
                <m:t>L</m:t>
              </m:r>
            </m:den>
          </m:f>
          <m:r>
            <w:rPr>
              <w:rFonts w:ascii="Cambria Math" w:hAnsi="Cambria Math" w:cs="Arial"/>
            </w:rPr>
            <m:t xml:space="preserve">and Active B is 5 </m:t>
          </m:r>
          <m:f>
            <m:fPr>
              <m:ctrlPr>
                <w:rPr>
                  <w:rFonts w:ascii="Cambria Math" w:hAnsi="Cambria Math" w:cs="Arial"/>
                  <w:i/>
                </w:rPr>
              </m:ctrlPr>
            </m:fPr>
            <m:num>
              <m:r>
                <w:rPr>
                  <w:rFonts w:ascii="Cambria Math" w:hAnsi="Cambria Math" w:cs="Arial"/>
                </w:rPr>
                <m:t>μg ac</m:t>
              </m:r>
            </m:num>
            <m:den>
              <m:r>
                <w:rPr>
                  <w:rFonts w:ascii="Cambria Math" w:hAnsi="Cambria Math" w:cs="Arial"/>
                </w:rPr>
                <m:t>L</m:t>
              </m:r>
            </m:den>
          </m:f>
        </m:oMath>
      </m:oMathPara>
    </w:p>
    <w:p w14:paraId="570D9971" w14:textId="77777777" w:rsidR="00DE4D2F" w:rsidRDefault="00DE4D2F" w:rsidP="00DE4D2F">
      <w:pPr>
        <w:spacing w:before="240" w:after="240"/>
        <w:rPr>
          <w:rFonts w:ascii="Trebuchet MS" w:hAnsi="Trebuchet MS" w:cs="Arial"/>
        </w:rPr>
      </w:pPr>
      <m:oMathPara>
        <m:oMath>
          <m:r>
            <w:rPr>
              <w:rFonts w:ascii="Cambria Math" w:hAnsi="Cambria Math" w:cs="Arial"/>
            </w:rPr>
            <m:t>For two actives, Equation 10 can be rearranged to:</m:t>
          </m:r>
        </m:oMath>
      </m:oMathPara>
    </w:p>
    <w:p w14:paraId="3FC460BD" w14:textId="77777777" w:rsidR="00DE4D2F" w:rsidRPr="00AA0153" w:rsidRDefault="008516F4" w:rsidP="00DE4D2F">
      <w:pPr>
        <w:spacing w:before="240" w:after="240"/>
        <w:rPr>
          <w:rFonts w:eastAsiaTheme="minorEastAsia"/>
        </w:rPr>
      </w:pPr>
      <m:oMathPara>
        <m:oMath>
          <m:sSub>
            <m:sSubPr>
              <m:ctrlPr>
                <w:rPr>
                  <w:rFonts w:ascii="Cambria Math" w:hAnsi="Cambria Math"/>
                  <w:i/>
                </w:rPr>
              </m:ctrlPr>
            </m:sSubPr>
            <m:e>
              <m:r>
                <w:rPr>
                  <w:rFonts w:ascii="Cambria Math" w:hAnsi="Cambria Math"/>
                </w:rPr>
                <m:t>LC</m:t>
              </m:r>
            </m:e>
            <m:sub>
              <m:r>
                <w:rPr>
                  <w:rFonts w:ascii="Cambria Math" w:hAnsi="Cambria Math"/>
                </w:rPr>
                <m:t>50</m:t>
              </m:r>
            </m:sub>
          </m:sSub>
          <m:r>
            <w:rPr>
              <w:rFonts w:ascii="Cambria Math" w:hAnsi="Cambria Math"/>
            </w:rPr>
            <m:t>(A+B)</m:t>
          </m:r>
          <m:r>
            <m:rPr>
              <m:sty m:val="p"/>
            </m:rPr>
            <w:rPr>
              <w:rFonts w:ascii="Cambria Math" w:hAnsi="Cambria Math"/>
            </w:rPr>
            <m:t>=</m:t>
          </m:r>
          <m:f>
            <m:fPr>
              <m:ctrlPr>
                <w:rPr>
                  <w:rFonts w:ascii="Cambria Math" w:hAnsi="Cambria Math"/>
                </w:rPr>
              </m:ctrlPr>
            </m:fPr>
            <m:num>
              <m:r>
                <w:rPr>
                  <w:rFonts w:ascii="Cambria Math" w:hAnsi="Cambria Math"/>
                </w:rPr>
                <m:t>1</m:t>
              </m:r>
            </m:num>
            <m:den>
              <m:f>
                <m:fPr>
                  <m:ctrlPr>
                    <w:rPr>
                      <w:rFonts w:ascii="Cambria Math" w:hAnsi="Cambria Math"/>
                      <w:i/>
                    </w:rPr>
                  </m:ctrlPr>
                </m:fPr>
                <m:num>
                  <m:d>
                    <m:dPr>
                      <m:begChr m:val="["/>
                      <m:endChr m:val="]"/>
                      <m:ctrlPr>
                        <w:rPr>
                          <w:rFonts w:ascii="Cambria Math" w:hAnsi="Cambria Math"/>
                          <w:i/>
                        </w:rPr>
                      </m:ctrlPr>
                    </m:dPr>
                    <m:e>
                      <m:f>
                        <m:fPr>
                          <m:type m:val="skw"/>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A</m:t>
                              </m:r>
                            </m:sub>
                          </m:sSub>
                        </m:num>
                        <m:den>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B</m:t>
                              </m:r>
                            </m:sub>
                          </m:sSub>
                          <m:r>
                            <w:rPr>
                              <w:rFonts w:ascii="Cambria Math" w:hAnsi="Cambria Math"/>
                            </w:rPr>
                            <m:t>)</m:t>
                          </m:r>
                        </m:den>
                      </m:f>
                    </m:e>
                  </m:d>
                </m:num>
                <m:den>
                  <m:sSub>
                    <m:sSubPr>
                      <m:ctrlPr>
                        <w:rPr>
                          <w:rFonts w:ascii="Cambria Math" w:hAnsi="Cambria Math"/>
                          <w:i/>
                        </w:rPr>
                      </m:ctrlPr>
                    </m:sSubPr>
                    <m:e>
                      <m:r>
                        <w:rPr>
                          <w:rFonts w:ascii="Cambria Math" w:hAnsi="Cambria Math"/>
                        </w:rPr>
                        <m:t>LC</m:t>
                      </m:r>
                    </m:e>
                    <m:sub>
                      <m:r>
                        <w:rPr>
                          <w:rFonts w:ascii="Cambria Math" w:hAnsi="Cambria Math"/>
                        </w:rPr>
                        <m:t>50</m:t>
                      </m:r>
                    </m:sub>
                  </m:sSub>
                  <m:r>
                    <w:rPr>
                      <w:rFonts w:ascii="Cambria Math" w:hAnsi="Cambria Math"/>
                    </w:rPr>
                    <m:t>(A)</m:t>
                  </m:r>
                </m:den>
              </m:f>
              <m:r>
                <w:rPr>
                  <w:rFonts w:ascii="Cambria Math" w:hAnsi="Cambria Math"/>
                </w:rPr>
                <m:t>+</m:t>
              </m:r>
              <m:f>
                <m:fPr>
                  <m:ctrlPr>
                    <w:rPr>
                      <w:rFonts w:ascii="Cambria Math" w:hAnsi="Cambria Math"/>
                      <w:i/>
                    </w:rPr>
                  </m:ctrlPr>
                </m:fPr>
                <m:num>
                  <m:d>
                    <m:dPr>
                      <m:begChr m:val="["/>
                      <m:endChr m:val="]"/>
                      <m:ctrlPr>
                        <w:rPr>
                          <w:rFonts w:ascii="Cambria Math" w:hAnsi="Cambria Math"/>
                          <w:i/>
                        </w:rPr>
                      </m:ctrlPr>
                    </m:dPr>
                    <m:e>
                      <m:f>
                        <m:fPr>
                          <m:type m:val="skw"/>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B</m:t>
                              </m:r>
                            </m:sub>
                          </m:sSub>
                        </m:num>
                        <m:den>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B</m:t>
                              </m:r>
                            </m:sub>
                          </m:sSub>
                          <m:r>
                            <w:rPr>
                              <w:rFonts w:ascii="Cambria Math" w:hAnsi="Cambria Math"/>
                            </w:rPr>
                            <m:t>)</m:t>
                          </m:r>
                        </m:den>
                      </m:f>
                    </m:e>
                  </m:d>
                </m:num>
                <m:den>
                  <m:sSub>
                    <m:sSubPr>
                      <m:ctrlPr>
                        <w:rPr>
                          <w:rFonts w:ascii="Cambria Math" w:hAnsi="Cambria Math"/>
                          <w:i/>
                        </w:rPr>
                      </m:ctrlPr>
                    </m:sSubPr>
                    <m:e>
                      <m:r>
                        <w:rPr>
                          <w:rFonts w:ascii="Cambria Math" w:hAnsi="Cambria Math"/>
                        </w:rPr>
                        <m:t>LC</m:t>
                      </m:r>
                    </m:e>
                    <m:sub>
                      <m:r>
                        <w:rPr>
                          <w:rFonts w:ascii="Cambria Math" w:hAnsi="Cambria Math"/>
                        </w:rPr>
                        <m:t>50</m:t>
                      </m:r>
                    </m:sub>
                  </m:sSub>
                  <m:r>
                    <w:rPr>
                      <w:rFonts w:ascii="Cambria Math" w:hAnsi="Cambria Math"/>
                    </w:rPr>
                    <m:t>(B)</m:t>
                  </m:r>
                </m:den>
              </m:f>
            </m:den>
          </m:f>
        </m:oMath>
      </m:oMathPara>
    </w:p>
    <w:p w14:paraId="6BC00095" w14:textId="77777777" w:rsidR="00DE4D2F" w:rsidRPr="00BF33FD" w:rsidRDefault="00DE4D2F" w:rsidP="00DE4D2F">
      <w:pPr>
        <w:spacing w:before="240" w:after="240"/>
        <w:rPr>
          <w:rFonts w:eastAsiaTheme="minorEastAsia"/>
        </w:rPr>
      </w:pPr>
      <m:oMathPara>
        <m:oMath>
          <m:r>
            <w:rPr>
              <w:rFonts w:ascii="Cambria Math" w:hAnsi="Cambria Math"/>
            </w:rPr>
            <m:t xml:space="preserve">Therefore, </m:t>
          </m:r>
          <m:sSub>
            <m:sSubPr>
              <m:ctrlPr>
                <w:rPr>
                  <w:rFonts w:ascii="Cambria Math" w:hAnsi="Cambria Math"/>
                  <w:i/>
                </w:rPr>
              </m:ctrlPr>
            </m:sSubPr>
            <m:e>
              <m:r>
                <w:rPr>
                  <w:rFonts w:ascii="Cambria Math" w:hAnsi="Cambria Math"/>
                </w:rPr>
                <m:t>LC</m:t>
              </m:r>
            </m:e>
            <m:sub>
              <m:r>
                <w:rPr>
                  <w:rFonts w:ascii="Cambria Math" w:hAnsi="Cambria Math"/>
                </w:rPr>
                <m:t>50</m:t>
              </m:r>
            </m:sub>
          </m:sSub>
          <m:r>
            <w:rPr>
              <w:rFonts w:ascii="Cambria Math" w:hAnsi="Cambria Math"/>
            </w:rPr>
            <m:t>(A+B)</m:t>
          </m:r>
          <m:r>
            <m:rPr>
              <m:sty m:val="p"/>
            </m:rPr>
            <w:rPr>
              <w:rFonts w:ascii="Cambria Math" w:hAnsi="Cambria Math"/>
            </w:rPr>
            <m:t>=</m:t>
          </m:r>
          <m:f>
            <m:fPr>
              <m:ctrlPr>
                <w:rPr>
                  <w:rFonts w:ascii="Cambria Math" w:hAnsi="Cambria Math"/>
                </w:rPr>
              </m:ctrlPr>
            </m:fPr>
            <m:num>
              <m:r>
                <w:rPr>
                  <w:rFonts w:ascii="Cambria Math" w:hAnsi="Cambria Math"/>
                </w:rPr>
                <m:t>1</m:t>
              </m:r>
            </m:num>
            <m:den>
              <m:f>
                <m:fPr>
                  <m:ctrlPr>
                    <w:rPr>
                      <w:rFonts w:ascii="Cambria Math" w:hAnsi="Cambria Math"/>
                      <w:i/>
                    </w:rPr>
                  </m:ctrlPr>
                </m:fPr>
                <m:num>
                  <m:d>
                    <m:dPr>
                      <m:begChr m:val="["/>
                      <m:endChr m:val="]"/>
                      <m:ctrlPr>
                        <w:rPr>
                          <w:rFonts w:ascii="Cambria Math" w:hAnsi="Cambria Math"/>
                          <w:i/>
                        </w:rPr>
                      </m:ctrlPr>
                    </m:dPr>
                    <m:e>
                      <m:f>
                        <m:fPr>
                          <m:type m:val="skw"/>
                          <m:ctrlPr>
                            <w:rPr>
                              <w:rFonts w:ascii="Cambria Math" w:hAnsi="Cambria Math"/>
                              <w:i/>
                            </w:rPr>
                          </m:ctrlPr>
                        </m:fPr>
                        <m:num>
                          <m:r>
                            <w:rPr>
                              <w:rFonts w:ascii="Cambria Math" w:hAnsi="Cambria Math"/>
                            </w:rPr>
                            <m:t>200</m:t>
                          </m:r>
                        </m:num>
                        <m:den>
                          <m:r>
                            <w:rPr>
                              <w:rFonts w:ascii="Cambria Math" w:hAnsi="Cambria Math"/>
                            </w:rPr>
                            <m:t>(200+10)</m:t>
                          </m:r>
                        </m:den>
                      </m:f>
                    </m:e>
                  </m:d>
                </m:num>
                <m:den>
                  <m:r>
                    <w:rPr>
                      <w:rFonts w:ascii="Cambria Math" w:hAnsi="Cambria Math"/>
                    </w:rPr>
                    <m:t>300</m:t>
                  </m:r>
                </m:den>
              </m:f>
              <m:r>
                <w:rPr>
                  <w:rFonts w:ascii="Cambria Math" w:hAnsi="Cambria Math"/>
                </w:rPr>
                <m:t>+</m:t>
              </m:r>
              <m:f>
                <m:fPr>
                  <m:ctrlPr>
                    <w:rPr>
                      <w:rFonts w:ascii="Cambria Math" w:hAnsi="Cambria Math"/>
                      <w:i/>
                    </w:rPr>
                  </m:ctrlPr>
                </m:fPr>
                <m:num>
                  <m:d>
                    <m:dPr>
                      <m:begChr m:val="["/>
                      <m:endChr m:val="]"/>
                      <m:ctrlPr>
                        <w:rPr>
                          <w:rFonts w:ascii="Cambria Math" w:hAnsi="Cambria Math"/>
                          <w:i/>
                        </w:rPr>
                      </m:ctrlPr>
                    </m:dPr>
                    <m:e>
                      <m:f>
                        <m:fPr>
                          <m:type m:val="skw"/>
                          <m:ctrlPr>
                            <w:rPr>
                              <w:rFonts w:ascii="Cambria Math" w:hAnsi="Cambria Math"/>
                              <w:i/>
                            </w:rPr>
                          </m:ctrlPr>
                        </m:fPr>
                        <m:num>
                          <m:r>
                            <w:rPr>
                              <w:rFonts w:ascii="Cambria Math" w:hAnsi="Cambria Math"/>
                            </w:rPr>
                            <m:t>10</m:t>
                          </m:r>
                        </m:num>
                        <m:den>
                          <m:r>
                            <w:rPr>
                              <w:rFonts w:ascii="Cambria Math" w:hAnsi="Cambria Math"/>
                            </w:rPr>
                            <m:t>(200+10)</m:t>
                          </m:r>
                        </m:den>
                      </m:f>
                    </m:e>
                  </m:d>
                </m:num>
                <m:den>
                  <m:r>
                    <w:rPr>
                      <w:rFonts w:ascii="Cambria Math" w:hAnsi="Cambria Math"/>
                    </w:rPr>
                    <m:t>5</m:t>
                  </m:r>
                </m:den>
              </m:f>
            </m:den>
          </m:f>
          <m:r>
            <w:rPr>
              <w:rFonts w:ascii="Cambria Math" w:hAnsi="Cambria Math"/>
            </w:rPr>
            <m:t xml:space="preserve">=79 </m:t>
          </m:r>
          <m:f>
            <m:fPr>
              <m:ctrlPr>
                <w:rPr>
                  <w:rFonts w:ascii="Cambria Math" w:hAnsi="Cambria Math" w:cs="Arial"/>
                  <w:i/>
                </w:rPr>
              </m:ctrlPr>
            </m:fPr>
            <m:num>
              <m:r>
                <w:rPr>
                  <w:rFonts w:ascii="Cambria Math" w:hAnsi="Cambria Math" w:cs="Arial"/>
                </w:rPr>
                <m:t>μg acs</m:t>
              </m:r>
            </m:num>
            <m:den>
              <m:r>
                <w:rPr>
                  <w:rFonts w:ascii="Cambria Math" w:hAnsi="Cambria Math" w:cs="Arial"/>
                </w:rPr>
                <m:t>L</m:t>
              </m:r>
            </m:den>
          </m:f>
        </m:oMath>
      </m:oMathPara>
    </w:p>
    <w:p w14:paraId="3FE350BC" w14:textId="77777777" w:rsidR="00DE4D2F" w:rsidRPr="00185D05" w:rsidRDefault="00DE4D2F" w:rsidP="00DE4D2F">
      <w:pPr>
        <w:spacing w:before="240" w:after="240"/>
        <w:rPr>
          <w:rFonts w:eastAsiaTheme="minorEastAsia"/>
        </w:rPr>
      </w:pPr>
      <m:oMathPara>
        <m:oMath>
          <m:r>
            <w:rPr>
              <w:rFonts w:ascii="Cambria Math" w:hAnsi="Cambria Math"/>
            </w:rPr>
            <m:t>Therefore, assuming a safety factor of 10:</m:t>
          </m:r>
        </m:oMath>
      </m:oMathPara>
    </w:p>
    <w:p w14:paraId="0E9D18D6" w14:textId="77777777" w:rsidR="00DE4D2F" w:rsidRPr="00185D05" w:rsidRDefault="00DE4D2F" w:rsidP="00DE4D2F">
      <w:pPr>
        <w:spacing w:before="360" w:after="240"/>
        <w:rPr>
          <w:rFonts w:eastAsiaTheme="minorEastAsia"/>
        </w:rPr>
      </w:pPr>
      <m:oMathPara>
        <m:oMath>
          <m:r>
            <w:rPr>
              <w:rFonts w:ascii="Cambria Math" w:hAnsi="Cambria Math"/>
            </w:rPr>
            <m:t xml:space="preserve">- the natural aquatic environment RAL is 7.9 </m:t>
          </m:r>
          <m:f>
            <m:fPr>
              <m:ctrlPr>
                <w:rPr>
                  <w:rFonts w:ascii="Cambria Math" w:hAnsi="Cambria Math" w:cs="Arial"/>
                  <w:i/>
                </w:rPr>
              </m:ctrlPr>
            </m:fPr>
            <m:num>
              <m:r>
                <w:rPr>
                  <w:rFonts w:ascii="Cambria Math" w:hAnsi="Cambria Math" w:cs="Arial"/>
                </w:rPr>
                <m:t>μg acs</m:t>
              </m:r>
            </m:num>
            <m:den>
              <m:r>
                <w:rPr>
                  <w:rFonts w:ascii="Cambria Math" w:hAnsi="Cambria Math" w:cs="Arial"/>
                </w:rPr>
                <m:t>L</m:t>
              </m:r>
            </m:den>
          </m:f>
        </m:oMath>
      </m:oMathPara>
    </w:p>
    <w:p w14:paraId="3BCE89BB" w14:textId="411B5C6B" w:rsidR="00DE4D2F" w:rsidRDefault="00DE4D2F" w:rsidP="00DE4D2F">
      <w:pPr>
        <w:pStyle w:val="Caption"/>
      </w:pPr>
      <w:bookmarkStart w:id="28" w:name="_Toc14340885"/>
      <w:r>
        <w:t xml:space="preserve">Table </w:t>
      </w:r>
      <w:r w:rsidR="00371051">
        <w:rPr>
          <w:noProof/>
        </w:rPr>
        <w:fldChar w:fldCharType="begin"/>
      </w:r>
      <w:r w:rsidR="00371051">
        <w:rPr>
          <w:noProof/>
        </w:rPr>
        <w:instrText xml:space="preserve"> SEQ Table \* ARABIC </w:instrText>
      </w:r>
      <w:r w:rsidR="00371051">
        <w:rPr>
          <w:noProof/>
        </w:rPr>
        <w:fldChar w:fldCharType="separate"/>
      </w:r>
      <w:r w:rsidR="00037DBD">
        <w:rPr>
          <w:noProof/>
        </w:rPr>
        <w:t>6</w:t>
      </w:r>
      <w:r w:rsidR="00371051">
        <w:rPr>
          <w:noProof/>
        </w:rPr>
        <w:fldChar w:fldCharType="end"/>
      </w:r>
      <w:r>
        <w:t>:</w:t>
      </w:r>
      <w:r>
        <w:tab/>
        <w:t>Variables</w:t>
      </w:r>
      <w:r w:rsidR="00953980">
        <w:t xml:space="preserve"> used in </w:t>
      </w:r>
      <w:r w:rsidR="00460E9D">
        <w:t>equation 10 and e</w:t>
      </w:r>
      <w:r w:rsidR="00953980">
        <w:t>quation 11</w:t>
      </w:r>
      <w:bookmarkEnd w:id="28"/>
    </w:p>
    <w:tbl>
      <w:tblPr>
        <w:tblW w:w="5000" w:type="pct"/>
        <w:tblBorders>
          <w:bottom w:val="dotted" w:sz="2" w:space="0" w:color="auto"/>
          <w:insideH w:val="dotted" w:sz="2" w:space="0" w:color="auto"/>
        </w:tblBorders>
        <w:tblLook w:val="01E0" w:firstRow="1" w:lastRow="1" w:firstColumn="1" w:lastColumn="1" w:noHBand="0" w:noVBand="0"/>
      </w:tblPr>
      <w:tblGrid>
        <w:gridCol w:w="1700"/>
        <w:gridCol w:w="7938"/>
      </w:tblGrid>
      <w:tr w:rsidR="00953980" w14:paraId="321E4996" w14:textId="77777777" w:rsidTr="00F807AA">
        <w:trPr>
          <w:cantSplit/>
          <w:tblHeader/>
        </w:trPr>
        <w:tc>
          <w:tcPr>
            <w:tcW w:w="5000" w:type="pct"/>
            <w:gridSpan w:val="2"/>
            <w:tcBorders>
              <w:bottom w:val="single" w:sz="4" w:space="0" w:color="auto"/>
            </w:tcBorders>
            <w:shd w:val="clear" w:color="auto" w:fill="53284F"/>
            <w:vAlign w:val="bottom"/>
          </w:tcPr>
          <w:p w14:paraId="7D86A96A" w14:textId="77777777" w:rsidR="00953980" w:rsidRPr="00DE4D2F" w:rsidRDefault="00953980" w:rsidP="00547DF2">
            <w:pPr>
              <w:pStyle w:val="APVMATableHead"/>
            </w:pPr>
            <w:r>
              <w:t>Variable</w:t>
            </w:r>
          </w:p>
        </w:tc>
      </w:tr>
      <w:tr w:rsidR="00953980" w14:paraId="6E40A739" w14:textId="77777777" w:rsidTr="00F807AA">
        <w:trPr>
          <w:cantSplit/>
        </w:trPr>
        <w:tc>
          <w:tcPr>
            <w:tcW w:w="882" w:type="pct"/>
            <w:tcBorders>
              <w:top w:val="single" w:sz="4" w:space="0" w:color="auto"/>
              <w:bottom w:val="single" w:sz="4" w:space="0" w:color="auto"/>
            </w:tcBorders>
          </w:tcPr>
          <w:p w14:paraId="4EF9BF8E" w14:textId="77777777" w:rsidR="00953980" w:rsidRPr="00953980" w:rsidRDefault="00953980" w:rsidP="00953980">
            <w:pPr>
              <w:pStyle w:val="APVMATableText"/>
            </w:pPr>
            <w:r w:rsidRPr="00953980">
              <w:t>ECx(mix)</w:t>
            </w:r>
          </w:p>
        </w:tc>
        <w:tc>
          <w:tcPr>
            <w:tcW w:w="4118" w:type="pct"/>
            <w:tcBorders>
              <w:top w:val="single" w:sz="4" w:space="0" w:color="auto"/>
              <w:bottom w:val="single" w:sz="4" w:space="0" w:color="auto"/>
            </w:tcBorders>
          </w:tcPr>
          <w:p w14:paraId="5E36900A" w14:textId="3462A4BD" w:rsidR="00953980" w:rsidRPr="00953980" w:rsidRDefault="00953980" w:rsidP="00953980">
            <w:pPr>
              <w:pStyle w:val="APVMATableText"/>
            </w:pPr>
            <w:r w:rsidRPr="00953980">
              <w:t>Effect concentration at effect level x for the mixtu</w:t>
            </w:r>
            <w:r w:rsidR="00460E9D">
              <w:t>re (equivalent to EC50(A+B) in e</w:t>
            </w:r>
            <w:r w:rsidRPr="00953980">
              <w:t>quation 11)</w:t>
            </w:r>
          </w:p>
        </w:tc>
      </w:tr>
      <w:tr w:rsidR="00953980" w14:paraId="79A0ACE1" w14:textId="77777777" w:rsidTr="00F807AA">
        <w:trPr>
          <w:cantSplit/>
        </w:trPr>
        <w:tc>
          <w:tcPr>
            <w:tcW w:w="882" w:type="pct"/>
            <w:tcBorders>
              <w:top w:val="single" w:sz="4" w:space="0" w:color="auto"/>
              <w:bottom w:val="single" w:sz="4" w:space="0" w:color="auto"/>
            </w:tcBorders>
          </w:tcPr>
          <w:p w14:paraId="415C1C82" w14:textId="77777777" w:rsidR="00953980" w:rsidRPr="00953980" w:rsidRDefault="00953980" w:rsidP="00953980">
            <w:pPr>
              <w:pStyle w:val="APVMATableText"/>
            </w:pPr>
            <w:r w:rsidRPr="00953980">
              <w:t>pi</w:t>
            </w:r>
          </w:p>
        </w:tc>
        <w:tc>
          <w:tcPr>
            <w:tcW w:w="4118" w:type="pct"/>
            <w:tcBorders>
              <w:top w:val="single" w:sz="4" w:space="0" w:color="auto"/>
              <w:bottom w:val="single" w:sz="4" w:space="0" w:color="auto"/>
            </w:tcBorders>
          </w:tcPr>
          <w:p w14:paraId="05BE8929" w14:textId="6315E359" w:rsidR="00953980" w:rsidRPr="00953980" w:rsidRDefault="00953980" w:rsidP="00953980">
            <w:pPr>
              <w:pStyle w:val="APVMATableText"/>
            </w:pPr>
            <w:r w:rsidRPr="00953980">
              <w:t xml:space="preserve">Fraction of active in the mixture (equal </w:t>
            </w:r>
            <w:r w:rsidR="00460E9D">
              <w:t>to cA/(cA+cB) or cB/(cA+cB) in e</w:t>
            </w:r>
            <w:r w:rsidRPr="00953980">
              <w:t>quation 9, where cA or cB is the concentration of active constituent A or B)</w:t>
            </w:r>
          </w:p>
        </w:tc>
      </w:tr>
      <w:tr w:rsidR="00953980" w14:paraId="0547404E" w14:textId="77777777" w:rsidTr="00F807AA">
        <w:trPr>
          <w:cantSplit/>
        </w:trPr>
        <w:tc>
          <w:tcPr>
            <w:tcW w:w="882" w:type="pct"/>
            <w:tcBorders>
              <w:top w:val="single" w:sz="4" w:space="0" w:color="auto"/>
              <w:bottom w:val="single" w:sz="4" w:space="0" w:color="auto"/>
            </w:tcBorders>
          </w:tcPr>
          <w:p w14:paraId="24151C6A" w14:textId="77777777" w:rsidR="00953980" w:rsidRPr="00953980" w:rsidRDefault="00953980" w:rsidP="00953980">
            <w:pPr>
              <w:pStyle w:val="APVMATableText"/>
            </w:pPr>
            <w:r w:rsidRPr="00953980">
              <w:t>Fi-1(xi)</w:t>
            </w:r>
          </w:p>
        </w:tc>
        <w:tc>
          <w:tcPr>
            <w:tcW w:w="4118" w:type="pct"/>
            <w:tcBorders>
              <w:top w:val="single" w:sz="4" w:space="0" w:color="auto"/>
              <w:bottom w:val="single" w:sz="4" w:space="0" w:color="auto"/>
            </w:tcBorders>
          </w:tcPr>
          <w:p w14:paraId="58EFDEE8" w14:textId="29ADC6F3" w:rsidR="00953980" w:rsidRPr="00953980" w:rsidRDefault="00953980" w:rsidP="00953980">
            <w:pPr>
              <w:pStyle w:val="APVMATableText"/>
            </w:pPr>
            <w:r w:rsidRPr="00953980">
              <w:t>Selected endpoint for active i (equal to LC</w:t>
            </w:r>
            <w:r w:rsidRPr="00953980">
              <w:rPr>
                <w:vertAlign w:val="subscript"/>
              </w:rPr>
              <w:t>50</w:t>
            </w:r>
            <w:r w:rsidRPr="00953980">
              <w:t>(A) or LC</w:t>
            </w:r>
            <w:r w:rsidRPr="00953980">
              <w:rPr>
                <w:vertAlign w:val="subscript"/>
              </w:rPr>
              <w:t>50</w:t>
            </w:r>
            <w:r w:rsidR="00460E9D">
              <w:t>(B) in e</w:t>
            </w:r>
            <w:r w:rsidRPr="00953980">
              <w:t>quation 11)</w:t>
            </w:r>
          </w:p>
        </w:tc>
      </w:tr>
    </w:tbl>
    <w:p w14:paraId="197A9188" w14:textId="77777777" w:rsidR="00953980" w:rsidRPr="00953980" w:rsidRDefault="00953980" w:rsidP="00953980">
      <w:pPr>
        <w:pStyle w:val="NormalText"/>
      </w:pPr>
      <w:r w:rsidRPr="00953980">
        <w:t>However, sometimes risks of the combination can be attributed to only one of the active constituents on the basis of their relative toxicity contributions to the combined toxicity estimate (see equation below). If the toxicity of one of the active constituents is determined to contribute ≥90</w:t>
      </w:r>
      <w:r>
        <w:t xml:space="preserve"> per cent</w:t>
      </w:r>
      <w:r w:rsidRPr="00953980">
        <w:t xml:space="preserve"> to the combined toxicity estimate, then the spray drift assessment is based on the individual active constituents. In these cases, a spray drift assessment on the combination or tank mix is not conducted.</w:t>
      </w:r>
    </w:p>
    <w:p w14:paraId="0E2DD3CB" w14:textId="77777777" w:rsidR="00953980" w:rsidRPr="00160D80" w:rsidRDefault="008516F4" w:rsidP="00953980">
      <w:pPr>
        <w:pStyle w:val="NormalText"/>
        <w:spacing w:before="360" w:line="240" w:lineRule="auto"/>
        <w:rPr>
          <w:sz w:val="20"/>
        </w:rPr>
      </w:pPr>
      <m:oMathPara>
        <m:oMath>
          <m:sSub>
            <m:sSubPr>
              <m:ctrlPr>
                <w:rPr>
                  <w:rFonts w:ascii="Cambria Math" w:hAnsi="Cambria Math"/>
                  <w:i/>
                  <w:sz w:val="20"/>
                  <w:szCs w:val="18"/>
                </w:rPr>
              </m:ctrlPr>
            </m:sSubPr>
            <m:e>
              <m:r>
                <w:rPr>
                  <w:rFonts w:ascii="Cambria Math" w:hAnsi="Cambria Math"/>
                  <w:sz w:val="20"/>
                  <w:szCs w:val="18"/>
                </w:rPr>
                <m:t>%</m:t>
              </m:r>
            </m:e>
            <m:sub>
              <m:r>
                <w:rPr>
                  <w:rFonts w:ascii="Cambria Math" w:hAnsi="Cambria Math"/>
                  <w:sz w:val="20"/>
                  <w:szCs w:val="18"/>
                </w:rPr>
                <m:t>relative_ecotoxicity_contribution</m:t>
              </m:r>
            </m:sub>
          </m:sSub>
          <m:r>
            <w:rPr>
              <w:rFonts w:ascii="Cambria Math" w:hAnsi="Cambria Math"/>
              <w:sz w:val="20"/>
              <w:szCs w:val="18"/>
            </w:rPr>
            <m:t>=</m:t>
          </m:r>
          <m:f>
            <m:fPr>
              <m:ctrlPr>
                <w:rPr>
                  <w:rFonts w:ascii="Cambria Math" w:hAnsi="Cambria Math"/>
                  <w:i/>
                  <w:sz w:val="20"/>
                  <w:szCs w:val="18"/>
                </w:rPr>
              </m:ctrlPr>
            </m:fPr>
            <m:num>
              <m:f>
                <m:fPr>
                  <m:ctrlPr>
                    <w:rPr>
                      <w:rFonts w:ascii="Cambria Math" w:hAnsi="Cambria Math"/>
                      <w:i/>
                      <w:sz w:val="20"/>
                      <w:szCs w:val="18"/>
                    </w:rPr>
                  </m:ctrlPr>
                </m:fPr>
                <m:num>
                  <m:sSub>
                    <m:sSubPr>
                      <m:ctrlPr>
                        <w:rPr>
                          <w:rFonts w:ascii="Cambria Math" w:hAnsi="Cambria Math"/>
                          <w:i/>
                          <w:sz w:val="20"/>
                          <w:szCs w:val="18"/>
                        </w:rPr>
                      </m:ctrlPr>
                    </m:sSubPr>
                    <m:e>
                      <m:r>
                        <w:rPr>
                          <w:rFonts w:ascii="Cambria Math" w:hAnsi="Cambria Math"/>
                          <w:sz w:val="20"/>
                          <w:szCs w:val="18"/>
                        </w:rPr>
                        <m:t>p</m:t>
                      </m:r>
                    </m:e>
                    <m:sub>
                      <m:r>
                        <w:rPr>
                          <w:rFonts w:ascii="Cambria Math" w:hAnsi="Cambria Math"/>
                          <w:sz w:val="20"/>
                          <w:szCs w:val="18"/>
                        </w:rPr>
                        <m:t>i</m:t>
                      </m:r>
                    </m:sub>
                  </m:sSub>
                </m:num>
                <m:den>
                  <m:sSub>
                    <m:sSubPr>
                      <m:ctrlPr>
                        <w:rPr>
                          <w:rFonts w:ascii="Cambria Math" w:hAnsi="Cambria Math"/>
                          <w:i/>
                          <w:sz w:val="20"/>
                          <w:szCs w:val="18"/>
                        </w:rPr>
                      </m:ctrlPr>
                    </m:sSubPr>
                    <m:e>
                      <m:r>
                        <w:rPr>
                          <w:rFonts w:ascii="Cambria Math" w:hAnsi="Cambria Math"/>
                          <w:sz w:val="20"/>
                          <w:szCs w:val="18"/>
                        </w:rPr>
                        <m:t>EC</m:t>
                      </m:r>
                    </m:e>
                    <m:sub>
                      <m:sSub>
                        <m:sSubPr>
                          <m:ctrlPr>
                            <w:rPr>
                              <w:rFonts w:ascii="Cambria Math" w:hAnsi="Cambria Math"/>
                              <w:i/>
                              <w:sz w:val="20"/>
                              <w:szCs w:val="18"/>
                            </w:rPr>
                          </m:ctrlPr>
                        </m:sSubPr>
                        <m:e>
                          <m:r>
                            <w:rPr>
                              <w:rFonts w:ascii="Cambria Math" w:hAnsi="Cambria Math"/>
                              <w:sz w:val="20"/>
                              <w:szCs w:val="18"/>
                            </w:rPr>
                            <m:t>x</m:t>
                          </m:r>
                        </m:e>
                        <m:sub>
                          <m:r>
                            <w:rPr>
                              <w:rFonts w:ascii="Cambria Math" w:hAnsi="Cambria Math"/>
                              <w:sz w:val="20"/>
                              <w:szCs w:val="18"/>
                            </w:rPr>
                            <m:t>i</m:t>
                          </m:r>
                        </m:sub>
                      </m:sSub>
                    </m:sub>
                  </m:sSub>
                </m:den>
              </m:f>
            </m:num>
            <m:den>
              <m:nary>
                <m:naryPr>
                  <m:chr m:val="∑"/>
                  <m:limLoc m:val="undOvr"/>
                  <m:ctrlPr>
                    <w:rPr>
                      <w:rFonts w:ascii="Cambria Math" w:hAnsi="Cambria Math"/>
                      <w:i/>
                      <w:sz w:val="20"/>
                      <w:szCs w:val="18"/>
                    </w:rPr>
                  </m:ctrlPr>
                </m:naryPr>
                <m:sub>
                  <m:r>
                    <w:rPr>
                      <w:rFonts w:ascii="Cambria Math" w:hAnsi="Cambria Math"/>
                      <w:sz w:val="20"/>
                      <w:szCs w:val="18"/>
                    </w:rPr>
                    <m:t>i=1</m:t>
                  </m:r>
                </m:sub>
                <m:sup>
                  <m:r>
                    <w:rPr>
                      <w:rFonts w:ascii="Cambria Math" w:hAnsi="Cambria Math"/>
                      <w:sz w:val="20"/>
                      <w:szCs w:val="18"/>
                    </w:rPr>
                    <m:t>n</m:t>
                  </m:r>
                </m:sup>
                <m:e>
                  <m:f>
                    <m:fPr>
                      <m:ctrlPr>
                        <w:rPr>
                          <w:rFonts w:ascii="Cambria Math" w:hAnsi="Cambria Math"/>
                          <w:i/>
                          <w:sz w:val="20"/>
                          <w:szCs w:val="18"/>
                        </w:rPr>
                      </m:ctrlPr>
                    </m:fPr>
                    <m:num>
                      <m:sSub>
                        <m:sSubPr>
                          <m:ctrlPr>
                            <w:rPr>
                              <w:rFonts w:ascii="Cambria Math" w:hAnsi="Cambria Math"/>
                              <w:i/>
                              <w:sz w:val="20"/>
                              <w:szCs w:val="18"/>
                            </w:rPr>
                          </m:ctrlPr>
                        </m:sSubPr>
                        <m:e>
                          <m:r>
                            <w:rPr>
                              <w:rFonts w:ascii="Cambria Math" w:hAnsi="Cambria Math"/>
                              <w:sz w:val="20"/>
                              <w:szCs w:val="18"/>
                            </w:rPr>
                            <m:t>p</m:t>
                          </m:r>
                        </m:e>
                        <m:sub>
                          <m:r>
                            <w:rPr>
                              <w:rFonts w:ascii="Cambria Math" w:hAnsi="Cambria Math"/>
                              <w:sz w:val="20"/>
                              <w:szCs w:val="18"/>
                            </w:rPr>
                            <m:t>i</m:t>
                          </m:r>
                        </m:sub>
                      </m:sSub>
                    </m:num>
                    <m:den>
                      <m:sSub>
                        <m:sSubPr>
                          <m:ctrlPr>
                            <w:rPr>
                              <w:rFonts w:ascii="Cambria Math" w:hAnsi="Cambria Math"/>
                              <w:i/>
                              <w:sz w:val="20"/>
                              <w:szCs w:val="18"/>
                            </w:rPr>
                          </m:ctrlPr>
                        </m:sSubPr>
                        <m:e>
                          <m:r>
                            <w:rPr>
                              <w:rFonts w:ascii="Cambria Math" w:hAnsi="Cambria Math"/>
                              <w:sz w:val="20"/>
                              <w:szCs w:val="18"/>
                            </w:rPr>
                            <m:t>EC</m:t>
                          </m:r>
                        </m:e>
                        <m:sub>
                          <m:sSub>
                            <m:sSubPr>
                              <m:ctrlPr>
                                <w:rPr>
                                  <w:rFonts w:ascii="Cambria Math" w:hAnsi="Cambria Math"/>
                                  <w:i/>
                                  <w:sz w:val="20"/>
                                  <w:szCs w:val="18"/>
                                </w:rPr>
                              </m:ctrlPr>
                            </m:sSubPr>
                            <m:e>
                              <m:r>
                                <w:rPr>
                                  <w:rFonts w:ascii="Cambria Math" w:hAnsi="Cambria Math"/>
                                  <w:sz w:val="20"/>
                                  <w:szCs w:val="18"/>
                                </w:rPr>
                                <m:t>x</m:t>
                              </m:r>
                            </m:e>
                            <m:sub>
                              <m:r>
                                <w:rPr>
                                  <w:rFonts w:ascii="Cambria Math" w:hAnsi="Cambria Math"/>
                                  <w:sz w:val="20"/>
                                  <w:szCs w:val="18"/>
                                </w:rPr>
                                <m:t>i</m:t>
                              </m:r>
                            </m:sub>
                          </m:sSub>
                        </m:sub>
                      </m:sSub>
                    </m:den>
                  </m:f>
                </m:e>
              </m:nary>
            </m:den>
          </m:f>
          <m:r>
            <w:rPr>
              <w:rFonts w:ascii="Cambria Math" w:hAnsi="Cambria Math"/>
              <w:sz w:val="20"/>
              <w:szCs w:val="18"/>
            </w:rPr>
            <m:t>×100</m:t>
          </m:r>
        </m:oMath>
      </m:oMathPara>
    </w:p>
    <w:p w14:paraId="0F22CDDE" w14:textId="77777777" w:rsidR="00953980" w:rsidRPr="00953980" w:rsidRDefault="00953980" w:rsidP="00953980">
      <w:pPr>
        <w:pStyle w:val="NormalText"/>
      </w:pPr>
      <w:r w:rsidRPr="00953980">
        <w:t xml:space="preserve">This approach will also be used when it is obligatory to use a tank mix (ie a mandatory tank mix). When a product label is approved for use patterns with more than one mandatory tank mix, or for uses with and without mandatory </w:t>
      </w:r>
      <w:r w:rsidRPr="00953980">
        <w:lastRenderedPageBreak/>
        <w:t>tank mixes, RALs will be established for each combination as required. For example, if a product label has approved uses for the product alone and as a tank mix with another product, one set of RALs will be established based on its use alone, and another set for its use in a mandatory tank mix. If no combination toxicity assessments are relevant for each hazard assessment, then the RALs will be identical. If increased toxicity is expected in a tank mix use pattern, then one or more RALs may be different than when the product is used alone.</w:t>
      </w:r>
    </w:p>
    <w:p w14:paraId="45407D30" w14:textId="77777777" w:rsidR="00953980" w:rsidRPr="00953980" w:rsidRDefault="00953980" w:rsidP="00953980">
      <w:pPr>
        <w:pStyle w:val="NormalText"/>
        <w:sectPr w:rsidR="00953980" w:rsidRPr="00953980" w:rsidSect="00CB58D6">
          <w:headerReference w:type="default" r:id="rId60"/>
          <w:pgSz w:w="11906" w:h="16838" w:code="9"/>
          <w:pgMar w:top="2835" w:right="1134" w:bottom="1134" w:left="1134" w:header="1701" w:footer="680" w:gutter="0"/>
          <w:cols w:space="708"/>
          <w:docGrid w:linePitch="360"/>
        </w:sectPr>
      </w:pPr>
      <w:r w:rsidRPr="00953980">
        <w:t>Note that this does not include optional tank mixes allowed under legislation, only mandatory tank mixes when that combination of products will be used for every application.</w:t>
      </w:r>
    </w:p>
    <w:p w14:paraId="560F7579" w14:textId="77777777" w:rsidR="00DE4D2F" w:rsidRDefault="0062578C" w:rsidP="0062578C">
      <w:pPr>
        <w:pStyle w:val="Heading1"/>
      </w:pPr>
      <w:bookmarkStart w:id="29" w:name="_Toc14340841"/>
      <w:r>
        <w:lastRenderedPageBreak/>
        <w:t>Deposition curves</w:t>
      </w:r>
      <w:bookmarkEnd w:id="29"/>
    </w:p>
    <w:p w14:paraId="2A1A9766" w14:textId="77777777" w:rsidR="0062578C" w:rsidRPr="0062578C" w:rsidRDefault="0062578C" w:rsidP="0062578C">
      <w:pPr>
        <w:pStyle w:val="NormalText"/>
      </w:pPr>
      <w:r w:rsidRPr="0062578C">
        <w:t>Deposition curves are used to predict the amount of spray drift that deposits at different distances downwind of the application site (ie the spray drift pattern). The spray drift pattern will vary according to a number of factors including the application equipment type, equipment set-up, droplet size, target canopy, meteorological conditions and tank-mix contents. Levels of deposition are expressed as a fraction of the applied rate.</w:t>
      </w:r>
    </w:p>
    <w:p w14:paraId="592EE1DF" w14:textId="77777777" w:rsidR="0062578C" w:rsidRPr="0062578C" w:rsidRDefault="0062578C" w:rsidP="0062578C">
      <w:pPr>
        <w:pStyle w:val="NormalText"/>
      </w:pPr>
      <w:r w:rsidRPr="0062578C">
        <w:t>It is not feasible to generate a deposition curve for every possible permutation of all factors; therefore, standard curves are used to provide realistic worst-case conservative predictions that are representative of any combination of these factors. These standard deposition curves are split into several categories for each type of application equipment as shown in section 4.1.</w:t>
      </w:r>
    </w:p>
    <w:p w14:paraId="769BFC3A" w14:textId="4FFCFF8A" w:rsidR="0062578C" w:rsidRPr="0062578C" w:rsidRDefault="00160D80" w:rsidP="0062578C">
      <w:pPr>
        <w:pStyle w:val="NormalText"/>
      </w:pPr>
      <w:r>
        <w:t>Within the spray d</w:t>
      </w:r>
      <w:r w:rsidR="0043717A">
        <w:t xml:space="preserve">rift </w:t>
      </w:r>
      <w:r>
        <w:t>risk assessment t</w:t>
      </w:r>
      <w:r w:rsidR="0043717A">
        <w:t>ool</w:t>
      </w:r>
      <w:r w:rsidR="0062578C" w:rsidRPr="0062578C">
        <w:t xml:space="preserve"> described in section 6, the range of standard deposition curves is limited in order to simplify the risk assessment process and, ultimately, product labels and permit conditions. To provide flexibility to registrants and chemical users, additional deposition cur</w:t>
      </w:r>
      <w:r>
        <w:t>ves will be established in the spray d</w:t>
      </w:r>
      <w:r w:rsidR="0062578C" w:rsidRPr="0062578C">
        <w:t xml:space="preserve">rift </w:t>
      </w:r>
      <w:r>
        <w:t>management t</w:t>
      </w:r>
      <w:r w:rsidR="0062578C" w:rsidRPr="0062578C">
        <w:t>ool</w:t>
      </w:r>
      <w:r w:rsidR="0043717A">
        <w:t>.</w:t>
      </w:r>
      <w:r w:rsidR="0062578C" w:rsidRPr="0062578C">
        <w:t xml:space="preserve"> Initially these will be used when evaluating a product and appro</w:t>
      </w:r>
      <w:r w:rsidR="0062578C">
        <w:t>ving a product label or permit.</w:t>
      </w:r>
    </w:p>
    <w:p w14:paraId="59284391" w14:textId="08E74175" w:rsidR="0062578C" w:rsidRPr="0062578C" w:rsidRDefault="0062578C" w:rsidP="0062578C">
      <w:pPr>
        <w:pStyle w:val="NormalText"/>
      </w:pPr>
      <w:r w:rsidRPr="0062578C">
        <w:t xml:space="preserve">Alternatively, information (see </w:t>
      </w:r>
      <w:hyperlink r:id="rId61" w:history="1">
        <w:r w:rsidR="00F807AA">
          <w:rPr>
            <w:rStyle w:val="Hyperlink"/>
          </w:rPr>
          <w:t>spray d</w:t>
        </w:r>
        <w:r w:rsidRPr="0062578C">
          <w:rPr>
            <w:rStyle w:val="Hyperlink"/>
          </w:rPr>
          <w:t xml:space="preserve">rift </w:t>
        </w:r>
        <w:r w:rsidR="00F807AA">
          <w:rPr>
            <w:rStyle w:val="Hyperlink"/>
          </w:rPr>
          <w:t>data g</w:t>
        </w:r>
        <w:r w:rsidRPr="0062578C">
          <w:rPr>
            <w:rStyle w:val="Hyperlink"/>
          </w:rPr>
          <w:t>uideline</w:t>
        </w:r>
      </w:hyperlink>
      <w:r w:rsidRPr="0062578C">
        <w:t>) may be submitted to support the generation of custom deposition curves that are reflective of specific factors related to spray drift. As a result, these custom deposition curves can be less conservative and support smaller buffer zones with the same level of regulatory confidence (as long as the specific factors relevant are observed during application). The establishment of custom deposition curves is outlined in section 4.2.</w:t>
      </w:r>
    </w:p>
    <w:p w14:paraId="78B4ED4F" w14:textId="77777777" w:rsidR="0062578C" w:rsidRDefault="0062578C" w:rsidP="0062578C">
      <w:pPr>
        <w:pStyle w:val="Heading2"/>
      </w:pPr>
      <w:bookmarkStart w:id="30" w:name="_Toc14340842"/>
      <w:r>
        <w:t>Standard deposition curves</w:t>
      </w:r>
      <w:bookmarkEnd w:id="30"/>
    </w:p>
    <w:p w14:paraId="5000F585" w14:textId="2668E63C" w:rsidR="0062578C" w:rsidRPr="0062578C" w:rsidRDefault="0062578C" w:rsidP="0062578C">
      <w:pPr>
        <w:pStyle w:val="NormalText"/>
      </w:pPr>
      <w:r w:rsidRPr="0062578C">
        <w:t xml:space="preserve">The background for each standard deposition curve is explained in the following sections. All standard deposition curves are tabulated in the ‘Standard Deposition Curves’ tab in the prototype </w:t>
      </w:r>
      <w:hyperlink r:id="rId62" w:history="1">
        <w:r w:rsidR="00160D80">
          <w:rPr>
            <w:rStyle w:val="Hyperlink"/>
          </w:rPr>
          <w:t>spray d</w:t>
        </w:r>
        <w:r w:rsidRPr="0062578C">
          <w:rPr>
            <w:rStyle w:val="Hyperlink"/>
          </w:rPr>
          <w:t>rif</w:t>
        </w:r>
        <w:r w:rsidR="00160D80">
          <w:rPr>
            <w:rStyle w:val="Hyperlink"/>
          </w:rPr>
          <w:t>t risk assessment t</w:t>
        </w:r>
        <w:r w:rsidRPr="0062578C">
          <w:rPr>
            <w:rStyle w:val="Hyperlink"/>
          </w:rPr>
          <w:t>ool</w:t>
        </w:r>
      </w:hyperlink>
      <w:r w:rsidRPr="0062578C">
        <w:t>.</w:t>
      </w:r>
    </w:p>
    <w:p w14:paraId="4FD7D90A" w14:textId="77777777" w:rsidR="0062578C" w:rsidRDefault="0062578C" w:rsidP="0062578C">
      <w:pPr>
        <w:pStyle w:val="Heading3"/>
      </w:pPr>
      <w:bookmarkStart w:id="31" w:name="_Toc14340843"/>
      <w:r>
        <w:t>Boom sprayers</w:t>
      </w:r>
      <w:bookmarkEnd w:id="31"/>
    </w:p>
    <w:p w14:paraId="26AE39CA" w14:textId="77777777" w:rsidR="0062578C" w:rsidRPr="0062578C" w:rsidRDefault="0062578C" w:rsidP="0062578C">
      <w:pPr>
        <w:pStyle w:val="NormalText"/>
      </w:pPr>
      <w:r w:rsidRPr="0062578C">
        <w:t xml:space="preserve">Building on work by Teske </w:t>
      </w:r>
      <w:r>
        <w:t>et al</w:t>
      </w:r>
      <w:r w:rsidRPr="0062578C">
        <w:t xml:space="preserve"> (2009), a submission by the </w:t>
      </w:r>
      <w:hyperlink r:id="rId63" w:history="1">
        <w:r w:rsidRPr="0062578C">
          <w:rPr>
            <w:rStyle w:val="Hyperlink"/>
          </w:rPr>
          <w:t>National Working Party on Pesticides Applications</w:t>
        </w:r>
      </w:hyperlink>
      <w:r w:rsidRPr="0062578C">
        <w:t xml:space="preserve"> supports the use of AGDISP</w:t>
      </w:r>
      <w:r w:rsidRPr="00460E9D">
        <w:rPr>
          <w:vertAlign w:val="superscript"/>
        </w:rPr>
        <w:t>TM</w:t>
      </w:r>
      <w:r w:rsidRPr="0062578C">
        <w:t xml:space="preserve"> for predicting deposition curves for boom sprayers. AGDISP</w:t>
      </w:r>
      <w:r w:rsidRPr="00460E9D">
        <w:rPr>
          <w:vertAlign w:val="superscript"/>
        </w:rPr>
        <w:t>TM</w:t>
      </w:r>
      <w:r w:rsidRPr="0062578C">
        <w:t xml:space="preserve"> is freely available and in the public domain. </w:t>
      </w:r>
    </w:p>
    <w:p w14:paraId="04EBB61B" w14:textId="042FDD35" w:rsidR="0062578C" w:rsidRPr="0062578C" w:rsidRDefault="0062578C" w:rsidP="0062578C">
      <w:pPr>
        <w:pStyle w:val="NormalText"/>
      </w:pPr>
      <w:r w:rsidRPr="0062578C">
        <w:t>AGDISP</w:t>
      </w:r>
      <w:r w:rsidRPr="0062578C">
        <w:rPr>
          <w:vertAlign w:val="superscript"/>
        </w:rPr>
        <w:t>TM</w:t>
      </w:r>
      <w:r w:rsidRPr="0062578C">
        <w:t xml:space="preserve"> ground has two option available for nozzle type, namely Flat Fan (FF) and Air Injection (AI). The validation work conducted by the NWPPA indicated that the AI setting was more appropriate for the fine sprays and that the FF setting was more appropriate for ultra-coarse scenarios (Appendix B). The downwind curves are therefore weighted between the AI and FF</w:t>
      </w:r>
      <w:r w:rsidR="0043717A">
        <w:t xml:space="preserve"> model outputs as indicated in t</w:t>
      </w:r>
      <w:r w:rsidRPr="0062578C">
        <w:t>able 7. Rather than a linear even weighting between droplet size boundaries, analysis showed that a better spacing between calculated deposition curves could be achieved by weighting the difference between Dv</w:t>
      </w:r>
      <w:r w:rsidRPr="0062578C">
        <w:rPr>
          <w:vertAlign w:val="subscript"/>
        </w:rPr>
        <w:t>0.1</w:t>
      </w:r>
      <w:r w:rsidRPr="0062578C">
        <w:t xml:space="preserve"> values.</w:t>
      </w:r>
    </w:p>
    <w:p w14:paraId="61B5D45E" w14:textId="16A40D01" w:rsidR="0062578C" w:rsidRDefault="0062578C" w:rsidP="0062578C">
      <w:pPr>
        <w:pStyle w:val="NormalText"/>
      </w:pPr>
      <w:r w:rsidRPr="0062578C">
        <w:t xml:space="preserve">This requires that the AGDISP ground model is run for both nozzle type = ‘Flat Fan’ and nozzle type = ‘Air Injection’ for each case, and the downwind deposit curve proportioned between </w:t>
      </w:r>
      <w:r w:rsidR="00EB576C">
        <w:t>the two outputs based on DSD, (t</w:t>
      </w:r>
      <w:r w:rsidRPr="0062578C">
        <w:t>able 7</w:t>
      </w:r>
      <w:r>
        <w:t>).</w:t>
      </w:r>
    </w:p>
    <w:p w14:paraId="17A0FA95" w14:textId="77777777" w:rsidR="0062578C" w:rsidRDefault="0062578C" w:rsidP="0062578C">
      <w:pPr>
        <w:pStyle w:val="Caption"/>
      </w:pPr>
      <w:bookmarkStart w:id="32" w:name="_Toc14340886"/>
      <w:r>
        <w:lastRenderedPageBreak/>
        <w:t xml:space="preserve">Table </w:t>
      </w:r>
      <w:r w:rsidR="00371051">
        <w:rPr>
          <w:noProof/>
        </w:rPr>
        <w:fldChar w:fldCharType="begin"/>
      </w:r>
      <w:r w:rsidR="00371051">
        <w:rPr>
          <w:noProof/>
        </w:rPr>
        <w:instrText xml:space="preserve"> SEQ Table \* ARABIC </w:instrText>
      </w:r>
      <w:r w:rsidR="00371051">
        <w:rPr>
          <w:noProof/>
        </w:rPr>
        <w:fldChar w:fldCharType="separate"/>
      </w:r>
      <w:r w:rsidR="00037DBD">
        <w:rPr>
          <w:noProof/>
        </w:rPr>
        <w:t>7</w:t>
      </w:r>
      <w:r w:rsidR="00371051">
        <w:rPr>
          <w:noProof/>
        </w:rPr>
        <w:fldChar w:fldCharType="end"/>
      </w:r>
      <w:r>
        <w:t>:</w:t>
      </w:r>
      <w:r>
        <w:tab/>
        <w:t>Spray quality weightings to be used between AI and FF droplet size distributions</w:t>
      </w:r>
      <w:bookmarkEnd w:id="32"/>
    </w:p>
    <w:tbl>
      <w:tblPr>
        <w:tblW w:w="5000" w:type="pct"/>
        <w:tblBorders>
          <w:bottom w:val="dotted" w:sz="2" w:space="0" w:color="auto"/>
          <w:insideH w:val="dotted" w:sz="2" w:space="0" w:color="auto"/>
        </w:tblBorders>
        <w:tblLook w:val="01E0" w:firstRow="1" w:lastRow="1" w:firstColumn="1" w:lastColumn="1" w:noHBand="0" w:noVBand="0"/>
      </w:tblPr>
      <w:tblGrid>
        <w:gridCol w:w="2191"/>
        <w:gridCol w:w="2192"/>
        <w:gridCol w:w="5255"/>
      </w:tblGrid>
      <w:tr w:rsidR="0062578C" w14:paraId="2A5053B9" w14:textId="77777777" w:rsidTr="0062578C">
        <w:trPr>
          <w:cantSplit/>
          <w:tblHeader/>
        </w:trPr>
        <w:tc>
          <w:tcPr>
            <w:tcW w:w="1137" w:type="pct"/>
            <w:tcBorders>
              <w:bottom w:val="single" w:sz="4" w:space="0" w:color="auto"/>
            </w:tcBorders>
            <w:shd w:val="clear" w:color="auto" w:fill="53284F"/>
            <w:vAlign w:val="bottom"/>
          </w:tcPr>
          <w:p w14:paraId="15B9F734" w14:textId="77777777" w:rsidR="0062578C" w:rsidRPr="0062578C" w:rsidRDefault="0062578C" w:rsidP="0062578C">
            <w:pPr>
              <w:pStyle w:val="APVMATableHead"/>
            </w:pPr>
            <w:r w:rsidRPr="0062578C">
              <w:t>Category</w:t>
            </w:r>
          </w:p>
        </w:tc>
        <w:tc>
          <w:tcPr>
            <w:tcW w:w="1137" w:type="pct"/>
            <w:tcBorders>
              <w:bottom w:val="single" w:sz="4" w:space="0" w:color="auto"/>
            </w:tcBorders>
            <w:shd w:val="clear" w:color="auto" w:fill="53284F"/>
            <w:vAlign w:val="bottom"/>
          </w:tcPr>
          <w:p w14:paraId="1A4D4DE6" w14:textId="77777777" w:rsidR="0062578C" w:rsidRPr="0062578C" w:rsidRDefault="0062578C" w:rsidP="0062578C">
            <w:pPr>
              <w:pStyle w:val="APVMATableHead"/>
            </w:pPr>
            <w:r w:rsidRPr="0062578C">
              <w:t>Proportion (weighting) between AI and FF</w:t>
            </w:r>
          </w:p>
        </w:tc>
        <w:tc>
          <w:tcPr>
            <w:tcW w:w="2726" w:type="pct"/>
            <w:tcBorders>
              <w:bottom w:val="single" w:sz="4" w:space="0" w:color="auto"/>
            </w:tcBorders>
            <w:shd w:val="clear" w:color="auto" w:fill="53284F"/>
            <w:vAlign w:val="bottom"/>
          </w:tcPr>
          <w:p w14:paraId="22B23963" w14:textId="77777777" w:rsidR="0062578C" w:rsidRPr="0062578C" w:rsidRDefault="0062578C" w:rsidP="0062578C">
            <w:pPr>
              <w:pStyle w:val="APVMATableHead"/>
            </w:pPr>
            <w:r w:rsidRPr="0062578C">
              <w:t>Comment</w:t>
            </w:r>
          </w:p>
        </w:tc>
      </w:tr>
      <w:tr w:rsidR="0062578C" w14:paraId="6E05ACBE" w14:textId="77777777" w:rsidTr="0062578C">
        <w:trPr>
          <w:cantSplit/>
        </w:trPr>
        <w:tc>
          <w:tcPr>
            <w:tcW w:w="1137" w:type="pct"/>
            <w:tcBorders>
              <w:top w:val="single" w:sz="4" w:space="0" w:color="auto"/>
              <w:bottom w:val="single" w:sz="4" w:space="0" w:color="auto"/>
            </w:tcBorders>
          </w:tcPr>
          <w:p w14:paraId="66A8A1FE" w14:textId="77777777" w:rsidR="0062578C" w:rsidRPr="00E53A98" w:rsidRDefault="0062578C" w:rsidP="0062578C">
            <w:pPr>
              <w:pStyle w:val="APVMATableText"/>
            </w:pPr>
            <w:r w:rsidRPr="00E53A98">
              <w:t>Fine</w:t>
            </w:r>
          </w:p>
        </w:tc>
        <w:tc>
          <w:tcPr>
            <w:tcW w:w="1137" w:type="pct"/>
            <w:tcBorders>
              <w:top w:val="single" w:sz="4" w:space="0" w:color="auto"/>
              <w:bottom w:val="single" w:sz="4" w:space="0" w:color="auto"/>
            </w:tcBorders>
          </w:tcPr>
          <w:p w14:paraId="6E5B798B" w14:textId="77777777" w:rsidR="0062578C" w:rsidRPr="00E53A98" w:rsidRDefault="0062578C" w:rsidP="0062578C">
            <w:pPr>
              <w:pStyle w:val="APVMATableText"/>
            </w:pPr>
            <w:r w:rsidRPr="00E53A98">
              <w:t>0.00</w:t>
            </w:r>
          </w:p>
        </w:tc>
        <w:tc>
          <w:tcPr>
            <w:tcW w:w="2726" w:type="pct"/>
            <w:tcBorders>
              <w:top w:val="single" w:sz="4" w:space="0" w:color="auto"/>
              <w:bottom w:val="single" w:sz="4" w:space="0" w:color="auto"/>
            </w:tcBorders>
          </w:tcPr>
          <w:p w14:paraId="4652B565" w14:textId="77777777" w:rsidR="0062578C" w:rsidRPr="00E53A98" w:rsidRDefault="0062578C" w:rsidP="0062578C">
            <w:pPr>
              <w:pStyle w:val="APVMATableText"/>
            </w:pPr>
            <w:r w:rsidRPr="00E53A98">
              <w:t>= AI curve</w:t>
            </w:r>
          </w:p>
        </w:tc>
      </w:tr>
      <w:tr w:rsidR="0062578C" w14:paraId="071623DC" w14:textId="77777777" w:rsidTr="0062578C">
        <w:trPr>
          <w:cantSplit/>
        </w:trPr>
        <w:tc>
          <w:tcPr>
            <w:tcW w:w="1137" w:type="pct"/>
            <w:tcBorders>
              <w:top w:val="single" w:sz="4" w:space="0" w:color="auto"/>
              <w:bottom w:val="single" w:sz="4" w:space="0" w:color="auto"/>
            </w:tcBorders>
          </w:tcPr>
          <w:p w14:paraId="6AC0F90B" w14:textId="77777777" w:rsidR="0062578C" w:rsidRPr="00E53A98" w:rsidRDefault="0062578C" w:rsidP="0062578C">
            <w:pPr>
              <w:pStyle w:val="APVMATableText"/>
            </w:pPr>
            <w:r w:rsidRPr="00E53A98">
              <w:t>Medium</w:t>
            </w:r>
          </w:p>
        </w:tc>
        <w:tc>
          <w:tcPr>
            <w:tcW w:w="1137" w:type="pct"/>
            <w:tcBorders>
              <w:top w:val="single" w:sz="4" w:space="0" w:color="auto"/>
              <w:bottom w:val="single" w:sz="4" w:space="0" w:color="auto"/>
            </w:tcBorders>
          </w:tcPr>
          <w:p w14:paraId="081F1D4D" w14:textId="77777777" w:rsidR="0062578C" w:rsidRPr="00E53A98" w:rsidRDefault="0062578C" w:rsidP="0062578C">
            <w:pPr>
              <w:pStyle w:val="APVMATableText"/>
            </w:pPr>
            <w:r w:rsidRPr="00E53A98">
              <w:t>0.22</w:t>
            </w:r>
          </w:p>
        </w:tc>
        <w:tc>
          <w:tcPr>
            <w:tcW w:w="2726" w:type="pct"/>
            <w:tcBorders>
              <w:top w:val="single" w:sz="4" w:space="0" w:color="auto"/>
              <w:bottom w:val="single" w:sz="4" w:space="0" w:color="auto"/>
            </w:tcBorders>
          </w:tcPr>
          <w:p w14:paraId="2CB3C194" w14:textId="77777777" w:rsidR="0062578C" w:rsidRPr="00E53A98" w:rsidRDefault="0062578C" w:rsidP="0062578C">
            <w:pPr>
              <w:pStyle w:val="APVMATableText"/>
            </w:pPr>
            <w:r w:rsidRPr="00E53A98">
              <w:t>= AI + 0.22*(difference between FF and AI)</w:t>
            </w:r>
          </w:p>
        </w:tc>
      </w:tr>
      <w:tr w:rsidR="0062578C" w14:paraId="78BD046B" w14:textId="77777777" w:rsidTr="0062578C">
        <w:trPr>
          <w:cantSplit/>
        </w:trPr>
        <w:tc>
          <w:tcPr>
            <w:tcW w:w="1137" w:type="pct"/>
            <w:tcBorders>
              <w:top w:val="single" w:sz="4" w:space="0" w:color="auto"/>
              <w:bottom w:val="single" w:sz="4" w:space="0" w:color="auto"/>
            </w:tcBorders>
          </w:tcPr>
          <w:p w14:paraId="776A6145" w14:textId="77777777" w:rsidR="0062578C" w:rsidRPr="00E53A98" w:rsidRDefault="0062578C" w:rsidP="0062578C">
            <w:pPr>
              <w:pStyle w:val="APVMATableText"/>
            </w:pPr>
            <w:r w:rsidRPr="00E53A98">
              <w:t>Coarse</w:t>
            </w:r>
          </w:p>
        </w:tc>
        <w:tc>
          <w:tcPr>
            <w:tcW w:w="1137" w:type="pct"/>
            <w:tcBorders>
              <w:top w:val="single" w:sz="4" w:space="0" w:color="auto"/>
              <w:bottom w:val="single" w:sz="4" w:space="0" w:color="auto"/>
            </w:tcBorders>
          </w:tcPr>
          <w:p w14:paraId="472296AB" w14:textId="77777777" w:rsidR="0062578C" w:rsidRPr="00E53A98" w:rsidRDefault="0062578C" w:rsidP="0062578C">
            <w:pPr>
              <w:pStyle w:val="APVMATableText"/>
            </w:pPr>
            <w:r w:rsidRPr="00E53A98">
              <w:t>0.41</w:t>
            </w:r>
          </w:p>
        </w:tc>
        <w:tc>
          <w:tcPr>
            <w:tcW w:w="2726" w:type="pct"/>
            <w:tcBorders>
              <w:top w:val="single" w:sz="4" w:space="0" w:color="auto"/>
              <w:bottom w:val="single" w:sz="4" w:space="0" w:color="auto"/>
            </w:tcBorders>
          </w:tcPr>
          <w:p w14:paraId="14FAE8AD" w14:textId="77777777" w:rsidR="0062578C" w:rsidRPr="00E53A98" w:rsidRDefault="0062578C" w:rsidP="0062578C">
            <w:pPr>
              <w:pStyle w:val="APVMATableText"/>
            </w:pPr>
            <w:r>
              <w:t>= AI + 0.41</w:t>
            </w:r>
            <w:r w:rsidRPr="00E53A98">
              <w:t>*(difference between FF and AI)</w:t>
            </w:r>
          </w:p>
        </w:tc>
      </w:tr>
      <w:tr w:rsidR="0062578C" w14:paraId="53C944B9" w14:textId="77777777" w:rsidTr="0062578C">
        <w:trPr>
          <w:cantSplit/>
        </w:trPr>
        <w:tc>
          <w:tcPr>
            <w:tcW w:w="1137" w:type="pct"/>
            <w:tcBorders>
              <w:top w:val="single" w:sz="4" w:space="0" w:color="auto"/>
              <w:bottom w:val="single" w:sz="4" w:space="0" w:color="auto"/>
            </w:tcBorders>
          </w:tcPr>
          <w:p w14:paraId="065F7955" w14:textId="77777777" w:rsidR="0062578C" w:rsidRPr="00E53A98" w:rsidRDefault="0062578C" w:rsidP="0062578C">
            <w:pPr>
              <w:pStyle w:val="APVMATableText"/>
            </w:pPr>
            <w:r>
              <w:t>Very c</w:t>
            </w:r>
            <w:r w:rsidRPr="00E53A98">
              <w:t>oarse</w:t>
            </w:r>
          </w:p>
        </w:tc>
        <w:tc>
          <w:tcPr>
            <w:tcW w:w="1137" w:type="pct"/>
            <w:tcBorders>
              <w:top w:val="single" w:sz="4" w:space="0" w:color="auto"/>
              <w:bottom w:val="single" w:sz="4" w:space="0" w:color="auto"/>
            </w:tcBorders>
          </w:tcPr>
          <w:p w14:paraId="17BE5A1E" w14:textId="77777777" w:rsidR="0062578C" w:rsidRPr="00E53A98" w:rsidRDefault="0062578C" w:rsidP="0062578C">
            <w:pPr>
              <w:pStyle w:val="APVMATableText"/>
            </w:pPr>
            <w:r w:rsidRPr="00E53A98">
              <w:t>0.60</w:t>
            </w:r>
          </w:p>
        </w:tc>
        <w:tc>
          <w:tcPr>
            <w:tcW w:w="2726" w:type="pct"/>
            <w:tcBorders>
              <w:top w:val="single" w:sz="4" w:space="0" w:color="auto"/>
              <w:bottom w:val="single" w:sz="4" w:space="0" w:color="auto"/>
            </w:tcBorders>
          </w:tcPr>
          <w:p w14:paraId="7C93F920" w14:textId="77777777" w:rsidR="0062578C" w:rsidRPr="00E53A98" w:rsidRDefault="0062578C" w:rsidP="0062578C">
            <w:pPr>
              <w:pStyle w:val="APVMATableText"/>
            </w:pPr>
            <w:r>
              <w:t>= AI + 0.60</w:t>
            </w:r>
            <w:r w:rsidRPr="00E53A98">
              <w:t>*(difference between FF and AI)</w:t>
            </w:r>
          </w:p>
        </w:tc>
      </w:tr>
      <w:tr w:rsidR="0062578C" w14:paraId="413556E8" w14:textId="77777777" w:rsidTr="0062578C">
        <w:trPr>
          <w:cantSplit/>
        </w:trPr>
        <w:tc>
          <w:tcPr>
            <w:tcW w:w="1137" w:type="pct"/>
            <w:tcBorders>
              <w:top w:val="single" w:sz="4" w:space="0" w:color="auto"/>
              <w:bottom w:val="single" w:sz="4" w:space="0" w:color="auto"/>
            </w:tcBorders>
          </w:tcPr>
          <w:p w14:paraId="6B5E5009" w14:textId="77777777" w:rsidR="0062578C" w:rsidRPr="00E53A98" w:rsidRDefault="0062578C" w:rsidP="0062578C">
            <w:pPr>
              <w:pStyle w:val="APVMATableText"/>
            </w:pPr>
            <w:r>
              <w:t>Extremely c</w:t>
            </w:r>
            <w:r w:rsidRPr="00E53A98">
              <w:t>oarse</w:t>
            </w:r>
          </w:p>
        </w:tc>
        <w:tc>
          <w:tcPr>
            <w:tcW w:w="1137" w:type="pct"/>
            <w:tcBorders>
              <w:top w:val="single" w:sz="4" w:space="0" w:color="auto"/>
              <w:bottom w:val="single" w:sz="4" w:space="0" w:color="auto"/>
            </w:tcBorders>
          </w:tcPr>
          <w:p w14:paraId="1C315984" w14:textId="77777777" w:rsidR="0062578C" w:rsidRPr="00E53A98" w:rsidRDefault="0062578C" w:rsidP="0062578C">
            <w:pPr>
              <w:pStyle w:val="APVMATableText"/>
            </w:pPr>
            <w:r w:rsidRPr="00E53A98">
              <w:t>0.75</w:t>
            </w:r>
          </w:p>
        </w:tc>
        <w:tc>
          <w:tcPr>
            <w:tcW w:w="2726" w:type="pct"/>
            <w:tcBorders>
              <w:top w:val="single" w:sz="4" w:space="0" w:color="auto"/>
              <w:bottom w:val="single" w:sz="4" w:space="0" w:color="auto"/>
            </w:tcBorders>
          </w:tcPr>
          <w:p w14:paraId="2C43D454" w14:textId="77777777" w:rsidR="0062578C" w:rsidRPr="00E53A98" w:rsidRDefault="0062578C" w:rsidP="0062578C">
            <w:pPr>
              <w:pStyle w:val="APVMATableText"/>
            </w:pPr>
            <w:r>
              <w:t>= AI + 0.75</w:t>
            </w:r>
            <w:r w:rsidRPr="00E53A98">
              <w:t>*(difference between FF and AI)</w:t>
            </w:r>
          </w:p>
        </w:tc>
      </w:tr>
      <w:tr w:rsidR="0062578C" w14:paraId="72BE49F9" w14:textId="77777777" w:rsidTr="0062578C">
        <w:trPr>
          <w:cantSplit/>
        </w:trPr>
        <w:tc>
          <w:tcPr>
            <w:tcW w:w="1137" w:type="pct"/>
            <w:tcBorders>
              <w:top w:val="single" w:sz="4" w:space="0" w:color="auto"/>
              <w:bottom w:val="single" w:sz="4" w:space="0" w:color="auto"/>
            </w:tcBorders>
          </w:tcPr>
          <w:p w14:paraId="3653EB8E" w14:textId="77777777" w:rsidR="0062578C" w:rsidRPr="00E53A98" w:rsidRDefault="0062578C" w:rsidP="0062578C">
            <w:pPr>
              <w:pStyle w:val="APVMATableText"/>
            </w:pPr>
            <w:r w:rsidRPr="00E53A98">
              <w:t xml:space="preserve">Ultra </w:t>
            </w:r>
            <w:r>
              <w:t>c</w:t>
            </w:r>
            <w:r w:rsidRPr="00E53A98">
              <w:t>oarse</w:t>
            </w:r>
          </w:p>
        </w:tc>
        <w:tc>
          <w:tcPr>
            <w:tcW w:w="1137" w:type="pct"/>
            <w:tcBorders>
              <w:top w:val="single" w:sz="4" w:space="0" w:color="auto"/>
              <w:bottom w:val="single" w:sz="4" w:space="0" w:color="auto"/>
            </w:tcBorders>
          </w:tcPr>
          <w:p w14:paraId="4C80884B" w14:textId="77777777" w:rsidR="0062578C" w:rsidRPr="00E53A98" w:rsidRDefault="0062578C" w:rsidP="0062578C">
            <w:pPr>
              <w:pStyle w:val="APVMATableText"/>
            </w:pPr>
            <w:r w:rsidRPr="00E53A98">
              <w:t>1.00</w:t>
            </w:r>
          </w:p>
        </w:tc>
        <w:tc>
          <w:tcPr>
            <w:tcW w:w="2726" w:type="pct"/>
            <w:tcBorders>
              <w:top w:val="single" w:sz="4" w:space="0" w:color="auto"/>
              <w:bottom w:val="single" w:sz="4" w:space="0" w:color="auto"/>
            </w:tcBorders>
          </w:tcPr>
          <w:p w14:paraId="79F979B0" w14:textId="77777777" w:rsidR="0062578C" w:rsidRPr="00E53A98" w:rsidRDefault="0062578C" w:rsidP="0062578C">
            <w:pPr>
              <w:pStyle w:val="APVMATableText"/>
            </w:pPr>
            <w:r w:rsidRPr="00E53A98">
              <w:t>= FF curve</w:t>
            </w:r>
          </w:p>
        </w:tc>
      </w:tr>
    </w:tbl>
    <w:p w14:paraId="0928CB2C" w14:textId="77777777" w:rsidR="0062578C" w:rsidRPr="0062578C" w:rsidRDefault="0062578C" w:rsidP="0062578C">
      <w:pPr>
        <w:pStyle w:val="NormalText"/>
      </w:pPr>
      <w:r w:rsidRPr="0062578C">
        <w:t>Standard deposition curves for each of the droplet size distributions in Appendix 1 have been established with the model input variables in the AGDISP</w:t>
      </w:r>
      <w:r w:rsidRPr="0062578C">
        <w:rPr>
          <w:vertAlign w:val="superscript"/>
        </w:rPr>
        <w:t>TM</w:t>
      </w:r>
      <w:r w:rsidRPr="0062578C">
        <w:t xml:space="preserve"> template file below. An input summary is also provided as a text file.</w:t>
      </w:r>
    </w:p>
    <w:p w14:paraId="7D07183E" w14:textId="5269BBE2" w:rsidR="0062578C" w:rsidRPr="0062578C" w:rsidRDefault="008516F4" w:rsidP="0062578C">
      <w:pPr>
        <w:pStyle w:val="NormalText"/>
      </w:pPr>
      <w:hyperlink r:id="rId64" w:history="1">
        <w:r w:rsidR="0062578C" w:rsidRPr="0080521C">
          <w:rPr>
            <w:rStyle w:val="Hyperlink"/>
          </w:rPr>
          <w:t>APVMA AGDISP—Boom sprayer.ag</w:t>
        </w:r>
      </w:hyperlink>
    </w:p>
    <w:p w14:paraId="143A0ABF" w14:textId="664330E6" w:rsidR="0062578C" w:rsidRPr="0062578C" w:rsidRDefault="008516F4" w:rsidP="0062578C">
      <w:pPr>
        <w:pStyle w:val="NormalText"/>
      </w:pPr>
      <w:hyperlink r:id="rId65" w:history="1">
        <w:r w:rsidR="0062578C" w:rsidRPr="0080521C">
          <w:rPr>
            <w:rStyle w:val="Hyperlink"/>
          </w:rPr>
          <w:t>APVMA AGDISP Input Summary—Boom sprayer.txt</w:t>
        </w:r>
      </w:hyperlink>
    </w:p>
    <w:p w14:paraId="11BAFD8F" w14:textId="6D6EB3C9" w:rsidR="0062578C" w:rsidRPr="0062578C" w:rsidRDefault="0062578C" w:rsidP="0062578C">
      <w:pPr>
        <w:pStyle w:val="NormalText"/>
      </w:pPr>
      <w:r w:rsidRPr="0062578C">
        <w:t>These curve</w:t>
      </w:r>
      <w:r w:rsidR="00460E9D">
        <w:t>s are shown in f</w:t>
      </w:r>
      <w:r w:rsidRPr="0062578C">
        <w:t xml:space="preserve">igure 6 on a log-normal chart. The validated range of these curves is 400 metres. </w:t>
      </w:r>
    </w:p>
    <w:p w14:paraId="4D9E04F4" w14:textId="77777777" w:rsidR="0062578C" w:rsidRPr="0062578C" w:rsidRDefault="0062578C" w:rsidP="0062578C">
      <w:pPr>
        <w:pStyle w:val="NormalText"/>
      </w:pPr>
      <w:r w:rsidRPr="0062578C">
        <w:t>When custom droplet size distributions (DSD) are used as input to AGDISP to obtain custom deposition curves, the proportion (weighting) between AI and FF is calculated by equation 12</w:t>
      </w:r>
      <w:r>
        <w:t>:</w:t>
      </w:r>
    </w:p>
    <w:p w14:paraId="4230F2B6" w14:textId="77777777" w:rsidR="0062578C" w:rsidRPr="0062578C" w:rsidRDefault="0062578C" w:rsidP="0062578C">
      <w:pPr>
        <w:pStyle w:val="Caption"/>
      </w:pPr>
      <w:r w:rsidRPr="0062578C">
        <w:t>Equation 12: The proportion (weighting) between AGDISP output with nozzle type AI and FF for custom DSDs</w:t>
      </w:r>
    </w:p>
    <w:p w14:paraId="6ADC036F" w14:textId="77777777" w:rsidR="0062578C" w:rsidRDefault="0062578C" w:rsidP="0062578C">
      <w:pPr>
        <w:pStyle w:val="NormalText"/>
      </w:pPr>
      <m:oMath>
        <m:r>
          <w:rPr>
            <w:rFonts w:ascii="Cambria Math" w:hAnsi="Cambria Math"/>
            <w:sz w:val="20"/>
          </w:rPr>
          <m:t>Proportion between AI and FF=</m:t>
        </m:r>
        <m:f>
          <m:fPr>
            <m:ctrlPr>
              <w:rPr>
                <w:rFonts w:ascii="Cambria Math" w:hAnsi="Cambria Math"/>
                <w:i/>
                <w:sz w:val="20"/>
              </w:rPr>
            </m:ctrlPr>
          </m:fPr>
          <m:num>
            <m:r>
              <w:rPr>
                <w:rFonts w:ascii="Cambria Math" w:hAnsi="Cambria Math"/>
                <w:sz w:val="20"/>
              </w:rPr>
              <m:t>(Dv10 for custom DSD-Dv10 for Fine)</m:t>
            </m:r>
          </m:num>
          <m:den>
            <m:r>
              <w:rPr>
                <w:rFonts w:ascii="Cambria Math" w:hAnsi="Cambria Math"/>
                <w:sz w:val="20"/>
              </w:rPr>
              <m:t>(Dv10 for Ultra Coarse-Dv10 for Fine)</m:t>
            </m:r>
          </m:den>
        </m:f>
      </m:oMath>
      <w:r>
        <w:t xml:space="preserve"> </w:t>
      </w:r>
    </w:p>
    <w:p w14:paraId="157CB8EE" w14:textId="0225EE7C" w:rsidR="0062578C" w:rsidRDefault="0062578C" w:rsidP="0062578C">
      <w:pPr>
        <w:pStyle w:val="NormalText"/>
      </w:pPr>
      <w:r w:rsidRPr="0062578C">
        <w:t>Note that the Dv10 for the custom droplet size distribution is from the converted droplet spectra obtained by using the DSD converter and not the raw measured droplet size distribution. The Dv</w:t>
      </w:r>
      <w:r>
        <w:t>10 for Fine and Dv10 for Ultra c</w:t>
      </w:r>
      <w:r w:rsidRPr="0062578C">
        <w:t>oarse is from the standard APVMA droplet size distributio</w:t>
      </w:r>
      <w:r w:rsidR="0043717A">
        <w:t>ns and is given in Appendix A, t</w:t>
      </w:r>
      <w:r w:rsidRPr="0062578C">
        <w:t>able 14.</w:t>
      </w:r>
      <w:r>
        <w:br w:type="page"/>
      </w:r>
    </w:p>
    <w:p w14:paraId="6CCF42D2" w14:textId="77777777" w:rsidR="0062578C" w:rsidRPr="00DF39BB" w:rsidRDefault="0062578C" w:rsidP="0062578C">
      <w:pPr>
        <w:pStyle w:val="Caption"/>
      </w:pPr>
      <w:r w:rsidRPr="00D53DE2">
        <w:rPr>
          <w:noProof/>
          <w:lang w:eastAsia="en-AU"/>
        </w:rPr>
        <w:lastRenderedPageBreak/>
        <w:drawing>
          <wp:anchor distT="0" distB="0" distL="114300" distR="114300" simplePos="0" relativeHeight="251668480" behindDoc="0" locked="0" layoutInCell="1" allowOverlap="1" wp14:anchorId="7ABAA7FE" wp14:editId="65CBB40E">
            <wp:simplePos x="0" y="0"/>
            <wp:positionH relativeFrom="margin">
              <wp:posOffset>0</wp:posOffset>
            </wp:positionH>
            <wp:positionV relativeFrom="paragraph">
              <wp:posOffset>282575</wp:posOffset>
            </wp:positionV>
            <wp:extent cx="6115050" cy="3674745"/>
            <wp:effectExtent l="0" t="0" r="0" b="1905"/>
            <wp:wrapTopAndBottom/>
            <wp:docPr id="22" name="Picture 22" descr="Chart showing standard curves for Fine, Medium, Coarse, Very Coarse, Extremely Coarse and Ultra Coarse." title="Standard deposition curves for boom spray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115050" cy="3674745"/>
                    </a:xfrm>
                    <a:prstGeom prst="rect">
                      <a:avLst/>
                    </a:prstGeom>
                    <a:noFill/>
                  </pic:spPr>
                </pic:pic>
              </a:graphicData>
            </a:graphic>
            <wp14:sizeRelH relativeFrom="margin">
              <wp14:pctWidth>0</wp14:pctWidth>
            </wp14:sizeRelH>
            <wp14:sizeRelV relativeFrom="margin">
              <wp14:pctHeight>0</wp14:pctHeight>
            </wp14:sizeRelV>
          </wp:anchor>
        </w:drawing>
      </w:r>
      <w:r w:rsidRPr="00DF39BB">
        <w:t xml:space="preserve">Figure 6: Chart of standard deposition curves for boom sprayers </w:t>
      </w:r>
    </w:p>
    <w:p w14:paraId="6643739D" w14:textId="77777777" w:rsidR="00DE4D2F" w:rsidRDefault="0062578C" w:rsidP="0062578C">
      <w:pPr>
        <w:pStyle w:val="Heading3"/>
      </w:pPr>
      <w:bookmarkStart w:id="33" w:name="_Toc14340844"/>
      <w:r>
        <w:t>Vertical sprayers</w:t>
      </w:r>
      <w:bookmarkEnd w:id="33"/>
    </w:p>
    <w:p w14:paraId="44B73BA8" w14:textId="298912CF" w:rsidR="0062578C" w:rsidRPr="0062578C" w:rsidRDefault="0062578C" w:rsidP="0062578C">
      <w:pPr>
        <w:pStyle w:val="NormalText"/>
      </w:pPr>
      <w:r w:rsidRPr="0062578C">
        <w:t>As no validated predictive models are currently available for vertical sprayers, the ‘</w:t>
      </w:r>
      <w:hyperlink r:id="rId67" w:history="1">
        <w:r w:rsidR="004279CA">
          <w:rPr>
            <w:rStyle w:val="Hyperlink"/>
          </w:rPr>
          <w:t>basic d</w:t>
        </w:r>
        <w:r w:rsidRPr="0062578C">
          <w:rPr>
            <w:rStyle w:val="Hyperlink"/>
          </w:rPr>
          <w:t>ri</w:t>
        </w:r>
        <w:r w:rsidR="004279CA">
          <w:rPr>
            <w:rStyle w:val="Hyperlink"/>
          </w:rPr>
          <w:t>ft v</w:t>
        </w:r>
        <w:r w:rsidRPr="0062578C">
          <w:rPr>
            <w:rStyle w:val="Hyperlink"/>
          </w:rPr>
          <w:t>alues</w:t>
        </w:r>
      </w:hyperlink>
      <w:r w:rsidRPr="0062578C">
        <w:t>’ are used as standard deposition curves for the use of vertical sprayers. These were generated from field trials conducted in Germany in the 1990s and have a long history of effective regulatory use in Germany and other countries, including Canada. There are also significant numbers of drift reduction technologies recognised in Germany based on these curves, which may be useful for industry for the development of custom deposition curves (see section 4.3)</w:t>
      </w:r>
      <w:r w:rsidR="00547DF2">
        <w:t>.</w:t>
      </w:r>
    </w:p>
    <w:p w14:paraId="44786BE8" w14:textId="5B72ED84" w:rsidR="0062578C" w:rsidRPr="0062578C" w:rsidRDefault="0062578C" w:rsidP="0062578C">
      <w:pPr>
        <w:pStyle w:val="NormalText"/>
      </w:pPr>
      <w:r w:rsidRPr="0062578C">
        <w:t xml:space="preserve">As previously-used terminology of orchards and vineyards does not capture all situations where this equipment may be used (eg banana plantations, forestry plantations, asparagus crops and trellis tomatoes), the general term of ‘vertical sprayers’ has been adopted. Within the category of vertical sprayers, terminology has been aligned with the </w:t>
      </w:r>
      <w:r w:rsidR="004279CA">
        <w:t>nature of the canopy that the ‘basic drift v</w:t>
      </w:r>
      <w:r w:rsidRPr="0062578C">
        <w:t>alues’ are based on to ensure al</w:t>
      </w:r>
      <w:r w:rsidR="0043717A">
        <w:t>l situations are captured (see t</w:t>
      </w:r>
      <w:r w:rsidRPr="0062578C">
        <w:t>able 8).</w:t>
      </w:r>
    </w:p>
    <w:p w14:paraId="5AD06EE2" w14:textId="762EDB08" w:rsidR="00547DF2" w:rsidRDefault="00547DF2" w:rsidP="00547DF2">
      <w:pPr>
        <w:pStyle w:val="Caption"/>
      </w:pPr>
      <w:bookmarkStart w:id="34" w:name="_Toc14340887"/>
      <w:r>
        <w:t xml:space="preserve">Table </w:t>
      </w:r>
      <w:r w:rsidR="00371051">
        <w:rPr>
          <w:noProof/>
        </w:rPr>
        <w:fldChar w:fldCharType="begin"/>
      </w:r>
      <w:r w:rsidR="00371051">
        <w:rPr>
          <w:noProof/>
        </w:rPr>
        <w:instrText xml:space="preserve"> SEQ Table \* ARABIC </w:instrText>
      </w:r>
      <w:r w:rsidR="00371051">
        <w:rPr>
          <w:noProof/>
        </w:rPr>
        <w:fldChar w:fldCharType="separate"/>
      </w:r>
      <w:r w:rsidR="00037DBD">
        <w:rPr>
          <w:noProof/>
        </w:rPr>
        <w:t>8</w:t>
      </w:r>
      <w:r w:rsidR="00371051">
        <w:rPr>
          <w:noProof/>
        </w:rPr>
        <w:fldChar w:fldCharType="end"/>
      </w:r>
      <w:r>
        <w:t>:</w:t>
      </w:r>
      <w:r>
        <w:tab/>
        <w:t>Terminology equivalence between German ‘basic drift values’ and APVMA vertical sp</w:t>
      </w:r>
      <w:r w:rsidR="00BB0CEC">
        <w:t>rayer standard deposition curve</w:t>
      </w:r>
      <w:r>
        <w:t>s</w:t>
      </w:r>
      <w:bookmarkEnd w:id="34"/>
    </w:p>
    <w:tbl>
      <w:tblPr>
        <w:tblW w:w="5000" w:type="pct"/>
        <w:tblBorders>
          <w:bottom w:val="dotted" w:sz="2" w:space="0" w:color="auto"/>
          <w:insideH w:val="dotted" w:sz="2" w:space="0" w:color="auto"/>
        </w:tblBorders>
        <w:tblLook w:val="01E0" w:firstRow="1" w:lastRow="1" w:firstColumn="1" w:lastColumn="1" w:noHBand="0" w:noVBand="0"/>
      </w:tblPr>
      <w:tblGrid>
        <w:gridCol w:w="3545"/>
        <w:gridCol w:w="6093"/>
      </w:tblGrid>
      <w:tr w:rsidR="00547DF2" w14:paraId="1FE95EAF" w14:textId="77777777" w:rsidTr="00F807AA">
        <w:trPr>
          <w:cantSplit/>
          <w:tblHeader/>
        </w:trPr>
        <w:tc>
          <w:tcPr>
            <w:tcW w:w="1839" w:type="pct"/>
            <w:tcBorders>
              <w:bottom w:val="single" w:sz="4" w:space="0" w:color="auto"/>
            </w:tcBorders>
            <w:shd w:val="clear" w:color="auto" w:fill="53284F"/>
          </w:tcPr>
          <w:p w14:paraId="093AB882" w14:textId="77777777" w:rsidR="00547DF2" w:rsidRPr="00D91DC4" w:rsidRDefault="00547DF2" w:rsidP="00547DF2">
            <w:pPr>
              <w:pStyle w:val="APVMATableHead"/>
            </w:pPr>
            <w:r>
              <w:t>German ‘basic drift values’</w:t>
            </w:r>
          </w:p>
        </w:tc>
        <w:tc>
          <w:tcPr>
            <w:tcW w:w="3161" w:type="pct"/>
            <w:tcBorders>
              <w:bottom w:val="single" w:sz="4" w:space="0" w:color="auto"/>
            </w:tcBorders>
            <w:shd w:val="clear" w:color="auto" w:fill="53284F"/>
          </w:tcPr>
          <w:p w14:paraId="2CC515FD" w14:textId="77777777" w:rsidR="00547DF2" w:rsidRPr="00D91DC4" w:rsidRDefault="00547DF2" w:rsidP="00547DF2">
            <w:pPr>
              <w:pStyle w:val="APVMATableHead"/>
            </w:pPr>
            <w:r>
              <w:t>APVMA vertical sprayer standard deposition curves</w:t>
            </w:r>
          </w:p>
        </w:tc>
      </w:tr>
      <w:tr w:rsidR="00547DF2" w14:paraId="4B8CD2ED" w14:textId="77777777" w:rsidTr="00F807AA">
        <w:trPr>
          <w:cantSplit/>
        </w:trPr>
        <w:tc>
          <w:tcPr>
            <w:tcW w:w="1839" w:type="pct"/>
            <w:tcBorders>
              <w:top w:val="single" w:sz="4" w:space="0" w:color="auto"/>
              <w:bottom w:val="single" w:sz="4" w:space="0" w:color="auto"/>
            </w:tcBorders>
          </w:tcPr>
          <w:p w14:paraId="56E215E5" w14:textId="77777777" w:rsidR="00547DF2" w:rsidRDefault="00547DF2" w:rsidP="00547DF2">
            <w:pPr>
              <w:pStyle w:val="RGTableText"/>
            </w:pPr>
            <w:r>
              <w:t>Fruit crops—early</w:t>
            </w:r>
          </w:p>
        </w:tc>
        <w:tc>
          <w:tcPr>
            <w:tcW w:w="3161" w:type="pct"/>
            <w:tcBorders>
              <w:top w:val="single" w:sz="4" w:space="0" w:color="auto"/>
              <w:bottom w:val="single" w:sz="4" w:space="0" w:color="auto"/>
            </w:tcBorders>
          </w:tcPr>
          <w:p w14:paraId="3A6EE67B" w14:textId="77777777" w:rsidR="00547DF2" w:rsidRDefault="00547DF2" w:rsidP="00547DF2">
            <w:pPr>
              <w:pStyle w:val="RGTableText"/>
            </w:pPr>
            <w:r w:rsidRPr="00D5116C">
              <w:t>Canopies taller than 2 metres (</w:t>
            </w:r>
            <w:r>
              <w:t xml:space="preserve">non-fully </w:t>
            </w:r>
            <w:r w:rsidRPr="00D5116C">
              <w:t>foliated)</w:t>
            </w:r>
          </w:p>
        </w:tc>
      </w:tr>
      <w:tr w:rsidR="00547DF2" w14:paraId="51A9128F" w14:textId="77777777" w:rsidTr="00F807AA">
        <w:trPr>
          <w:cantSplit/>
        </w:trPr>
        <w:tc>
          <w:tcPr>
            <w:tcW w:w="1839" w:type="pct"/>
            <w:tcBorders>
              <w:top w:val="single" w:sz="4" w:space="0" w:color="auto"/>
              <w:bottom w:val="single" w:sz="4" w:space="0" w:color="auto"/>
            </w:tcBorders>
          </w:tcPr>
          <w:p w14:paraId="7484AA8E" w14:textId="77777777" w:rsidR="00547DF2" w:rsidRDefault="00547DF2" w:rsidP="00547DF2">
            <w:pPr>
              <w:pStyle w:val="RGTableText"/>
            </w:pPr>
            <w:r>
              <w:t>Fruit crops—late</w:t>
            </w:r>
          </w:p>
        </w:tc>
        <w:tc>
          <w:tcPr>
            <w:tcW w:w="3161" w:type="pct"/>
            <w:tcBorders>
              <w:top w:val="single" w:sz="4" w:space="0" w:color="auto"/>
              <w:bottom w:val="single" w:sz="4" w:space="0" w:color="auto"/>
            </w:tcBorders>
          </w:tcPr>
          <w:p w14:paraId="20900F56" w14:textId="77777777" w:rsidR="00547DF2" w:rsidRDefault="00547DF2" w:rsidP="00547DF2">
            <w:pPr>
              <w:pStyle w:val="RGTableText"/>
            </w:pPr>
            <w:r w:rsidRPr="00D5116C">
              <w:t>Canopies taller than 2 metres (fully foliated)</w:t>
            </w:r>
          </w:p>
        </w:tc>
      </w:tr>
      <w:tr w:rsidR="00547DF2" w14:paraId="25E7241F" w14:textId="77777777" w:rsidTr="00F807AA">
        <w:trPr>
          <w:cantSplit/>
        </w:trPr>
        <w:tc>
          <w:tcPr>
            <w:tcW w:w="1839" w:type="pct"/>
            <w:tcBorders>
              <w:top w:val="single" w:sz="4" w:space="0" w:color="auto"/>
              <w:bottom w:val="single" w:sz="4" w:space="0" w:color="auto"/>
            </w:tcBorders>
          </w:tcPr>
          <w:p w14:paraId="5E39DA41" w14:textId="77777777" w:rsidR="00547DF2" w:rsidRDefault="00547DF2" w:rsidP="00547DF2">
            <w:pPr>
              <w:pStyle w:val="RGTableText"/>
            </w:pPr>
            <w:r>
              <w:lastRenderedPageBreak/>
              <w:t>Grapevine—late</w:t>
            </w:r>
          </w:p>
        </w:tc>
        <w:tc>
          <w:tcPr>
            <w:tcW w:w="3161" w:type="pct"/>
            <w:tcBorders>
              <w:top w:val="single" w:sz="4" w:space="0" w:color="auto"/>
              <w:bottom w:val="single" w:sz="4" w:space="0" w:color="auto"/>
            </w:tcBorders>
          </w:tcPr>
          <w:p w14:paraId="6C76D570" w14:textId="77777777" w:rsidR="00547DF2" w:rsidRDefault="00547DF2" w:rsidP="00547DF2">
            <w:pPr>
              <w:pStyle w:val="RGTableText"/>
            </w:pPr>
            <w:r w:rsidRPr="00D5116C">
              <w:t xml:space="preserve">Canopies 2 metres and </w:t>
            </w:r>
            <w:r>
              <w:t>shorter</w:t>
            </w:r>
          </w:p>
        </w:tc>
      </w:tr>
    </w:tbl>
    <w:p w14:paraId="2F618B9C" w14:textId="77777777" w:rsidR="0062578C" w:rsidRDefault="00547DF2" w:rsidP="00547DF2">
      <w:pPr>
        <w:pStyle w:val="NormalText"/>
      </w:pPr>
      <w:r w:rsidRPr="00547DF2">
        <w:t>Figure 7 shows the standard deposition curves for vertical sprayers on a log-log chart. The validated range of these deposition curves is 250 metres</w:t>
      </w:r>
      <w:r>
        <w:t>.</w:t>
      </w:r>
    </w:p>
    <w:p w14:paraId="4C35AB0D" w14:textId="77777777" w:rsidR="00547DF2" w:rsidRPr="00547DF2" w:rsidRDefault="00547DF2" w:rsidP="00547DF2">
      <w:pPr>
        <w:pStyle w:val="Caption"/>
      </w:pPr>
      <w:r>
        <w:rPr>
          <w:noProof/>
          <w:lang w:eastAsia="en-AU"/>
        </w:rPr>
        <w:drawing>
          <wp:anchor distT="0" distB="0" distL="114300" distR="114300" simplePos="0" relativeHeight="251670528" behindDoc="0" locked="0" layoutInCell="1" allowOverlap="1" wp14:anchorId="52C775CB" wp14:editId="48FEDE7D">
            <wp:simplePos x="0" y="0"/>
            <wp:positionH relativeFrom="margin">
              <wp:posOffset>0</wp:posOffset>
            </wp:positionH>
            <wp:positionV relativeFrom="paragraph">
              <wp:posOffset>310515</wp:posOffset>
            </wp:positionV>
            <wp:extent cx="6116320" cy="3676650"/>
            <wp:effectExtent l="0" t="0" r="0" b="0"/>
            <wp:wrapTopAndBottom/>
            <wp:docPr id="19" name="Picture 19" descr="Chart showing standard curves for canopies 2 metres and shorter, non-foliated canopies taller than 2 metres and fully foliated canopies taller than 2 metres." title="Standard deposition curves for vertical spray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6116320" cy="3676650"/>
                    </a:xfrm>
                    <a:prstGeom prst="rect">
                      <a:avLst/>
                    </a:prstGeom>
                    <a:noFill/>
                  </pic:spPr>
                </pic:pic>
              </a:graphicData>
            </a:graphic>
            <wp14:sizeRelH relativeFrom="margin">
              <wp14:pctWidth>0</wp14:pctWidth>
            </wp14:sizeRelH>
            <wp14:sizeRelV relativeFrom="margin">
              <wp14:pctHeight>0</wp14:pctHeight>
            </wp14:sizeRelV>
          </wp:anchor>
        </w:drawing>
      </w:r>
      <w:r w:rsidRPr="00547DF2">
        <w:t>Figure 7: Chart of standard deposition curves for vertical sprayers</w:t>
      </w:r>
    </w:p>
    <w:p w14:paraId="41EFE139" w14:textId="77777777" w:rsidR="00547DF2" w:rsidRDefault="00547DF2" w:rsidP="00547DF2">
      <w:pPr>
        <w:pStyle w:val="Heading3"/>
      </w:pPr>
      <w:bookmarkStart w:id="35" w:name="_Toc14340845"/>
      <w:r>
        <w:t>Aircraft</w:t>
      </w:r>
      <w:bookmarkEnd w:id="35"/>
    </w:p>
    <w:p w14:paraId="2AA016D5" w14:textId="77777777" w:rsidR="00547DF2" w:rsidRPr="00547DF2" w:rsidRDefault="00547DF2" w:rsidP="00547DF2">
      <w:pPr>
        <w:pStyle w:val="NormalText"/>
      </w:pPr>
      <w:r w:rsidRPr="00547DF2">
        <w:t>Standard deposition curves for each of the droplet size distributions in Appendix 1 have been established using AGDISP</w:t>
      </w:r>
      <w:r w:rsidRPr="00460E9D">
        <w:rPr>
          <w:vertAlign w:val="superscript"/>
        </w:rPr>
        <w:t>TM</w:t>
      </w:r>
      <w:r w:rsidRPr="00547DF2">
        <w:t xml:space="preserve"> version 8.26 for both fixed-wing and helicopter aircraft using the model input variables in the template files below. Input summaries are also provided as text files.</w:t>
      </w:r>
    </w:p>
    <w:p w14:paraId="5A98BC06" w14:textId="15736569" w:rsidR="00547DF2" w:rsidRPr="00547DF2" w:rsidRDefault="008516F4" w:rsidP="00547DF2">
      <w:pPr>
        <w:pStyle w:val="NormalText"/>
      </w:pPr>
      <w:hyperlink r:id="rId69" w:history="1">
        <w:r w:rsidR="00547DF2" w:rsidRPr="0080521C">
          <w:rPr>
            <w:rStyle w:val="Hyperlink"/>
          </w:rPr>
          <w:t>APVMA AGDISP—Aircraft—Fixed-Wing.ag</w:t>
        </w:r>
      </w:hyperlink>
    </w:p>
    <w:p w14:paraId="3072196F" w14:textId="3F813732" w:rsidR="00547DF2" w:rsidRPr="00547DF2" w:rsidRDefault="008516F4" w:rsidP="00547DF2">
      <w:pPr>
        <w:pStyle w:val="NormalText"/>
      </w:pPr>
      <w:hyperlink r:id="rId70" w:history="1">
        <w:r w:rsidR="00547DF2" w:rsidRPr="0080521C">
          <w:rPr>
            <w:rStyle w:val="Hyperlink"/>
          </w:rPr>
          <w:t>APVMA AGDISP Input Summary—Aircraft—Fixed-Wing.txt</w:t>
        </w:r>
      </w:hyperlink>
    </w:p>
    <w:p w14:paraId="24467657" w14:textId="1F6DCE11" w:rsidR="00547DF2" w:rsidRPr="00547DF2" w:rsidRDefault="008516F4" w:rsidP="00547DF2">
      <w:pPr>
        <w:pStyle w:val="NormalText"/>
      </w:pPr>
      <w:hyperlink r:id="rId71" w:history="1">
        <w:r w:rsidR="00547DF2" w:rsidRPr="0080521C">
          <w:rPr>
            <w:rStyle w:val="Hyperlink"/>
          </w:rPr>
          <w:t>APVMA AGDISP—Aircraft—Helicopter.ag</w:t>
        </w:r>
      </w:hyperlink>
    </w:p>
    <w:p w14:paraId="3E36B83B" w14:textId="515679B2" w:rsidR="00547DF2" w:rsidRPr="00547DF2" w:rsidRDefault="008516F4" w:rsidP="00547DF2">
      <w:pPr>
        <w:pStyle w:val="NormalText"/>
      </w:pPr>
      <w:hyperlink r:id="rId72" w:history="1">
        <w:r w:rsidR="00547DF2" w:rsidRPr="0080521C">
          <w:rPr>
            <w:rStyle w:val="Hyperlink"/>
          </w:rPr>
          <w:t>APVMA AGDISP Input Summary—Aircraft—Helicopter.txt</w:t>
        </w:r>
      </w:hyperlink>
    </w:p>
    <w:p w14:paraId="544673FE" w14:textId="7C6FB181" w:rsidR="00547DF2" w:rsidRDefault="00547DF2" w:rsidP="00547DF2">
      <w:pPr>
        <w:pStyle w:val="NormalText"/>
      </w:pPr>
      <w:r w:rsidRPr="00547DF2">
        <w:t>R</w:t>
      </w:r>
      <w:r>
        <w:t>elease height is based on 25 per cent</w:t>
      </w:r>
      <w:r w:rsidRPr="00547DF2">
        <w:t xml:space="preserve"> wingspa</w:t>
      </w:r>
      <w:r>
        <w:t>n for fixed wing aircraft or 25 per cent</w:t>
      </w:r>
      <w:r w:rsidRPr="00547DF2">
        <w:t xml:space="preserve"> rotor diameter for helicopters</w:t>
      </w:r>
      <w:r>
        <w:t xml:space="preserve">. </w:t>
      </w:r>
      <w:r w:rsidRPr="00547DF2">
        <w:t>For the default AT502 fixed win</w:t>
      </w:r>
      <w:r>
        <w:t xml:space="preserve">g aircraft a release height of </w:t>
      </w:r>
      <w:r w:rsidR="004279CA">
        <w:t>4</w:t>
      </w:r>
      <w:r w:rsidRPr="00547DF2">
        <w:t xml:space="preserve"> m above the target canopy is used. For the default Bell 206B JetRanger </w:t>
      </w:r>
      <w:r>
        <w:t xml:space="preserve">helicopter a release height of </w:t>
      </w:r>
      <w:r w:rsidR="004279CA">
        <w:t>3</w:t>
      </w:r>
      <w:r w:rsidRPr="00547DF2">
        <w:t xml:space="preserve"> m above the target canopy is used.</w:t>
      </w:r>
    </w:p>
    <w:p w14:paraId="2DDCB8D5" w14:textId="13DE2549" w:rsidR="00547DF2" w:rsidRDefault="00460E9D" w:rsidP="00547DF2">
      <w:pPr>
        <w:pStyle w:val="NormalText"/>
      </w:pPr>
      <w:r>
        <w:lastRenderedPageBreak/>
        <w:t>These curves are shown in f</w:t>
      </w:r>
      <w:r w:rsidR="00547DF2" w:rsidRPr="00547DF2">
        <w:t>igures 8 and 9 on a log-log chart. The validated range of these curves is 800 metres</w:t>
      </w:r>
      <w:r w:rsidR="00547DF2">
        <w:t>.</w:t>
      </w:r>
    </w:p>
    <w:p w14:paraId="07AB89E4" w14:textId="77777777" w:rsidR="00547DF2" w:rsidRPr="00547DF2" w:rsidRDefault="00BD0FBB" w:rsidP="00547DF2">
      <w:pPr>
        <w:pStyle w:val="Caption"/>
      </w:pPr>
      <w:r>
        <w:rPr>
          <w:noProof/>
          <w:lang w:eastAsia="en-AU"/>
        </w:rPr>
        <w:drawing>
          <wp:anchor distT="0" distB="0" distL="114300" distR="114300" simplePos="0" relativeHeight="251672576" behindDoc="0" locked="0" layoutInCell="1" allowOverlap="1" wp14:anchorId="74AA30E8" wp14:editId="402329C5">
            <wp:simplePos x="0" y="0"/>
            <wp:positionH relativeFrom="margin">
              <wp:posOffset>0</wp:posOffset>
            </wp:positionH>
            <wp:positionV relativeFrom="paragraph">
              <wp:posOffset>262890</wp:posOffset>
            </wp:positionV>
            <wp:extent cx="6052820" cy="3638550"/>
            <wp:effectExtent l="0" t="0" r="5080" b="0"/>
            <wp:wrapSquare wrapText="bothSides"/>
            <wp:docPr id="18" name="Picture 18" descr="Chart showing standard curves for Fine, Medium, Coarse, Very Coarse, Extremely Coarse and Ultra Coarse" title="Standard deposition curves for fixed wing aircr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6052820" cy="3638550"/>
                    </a:xfrm>
                    <a:prstGeom prst="rect">
                      <a:avLst/>
                    </a:prstGeom>
                    <a:noFill/>
                  </pic:spPr>
                </pic:pic>
              </a:graphicData>
            </a:graphic>
            <wp14:sizeRelH relativeFrom="margin">
              <wp14:pctWidth>0</wp14:pctWidth>
            </wp14:sizeRelH>
            <wp14:sizeRelV relativeFrom="margin">
              <wp14:pctHeight>0</wp14:pctHeight>
            </wp14:sizeRelV>
          </wp:anchor>
        </w:drawing>
      </w:r>
      <w:r w:rsidR="00547DF2" w:rsidRPr="00547DF2">
        <w:t>Figure 8: Chart of standard deposition curves for aircraft (fixed-wing)</w:t>
      </w:r>
    </w:p>
    <w:p w14:paraId="5AD5A061" w14:textId="460867A4" w:rsidR="00BD0FBB" w:rsidRDefault="00BD0FBB" w:rsidP="00BD0FBB">
      <w:pPr>
        <w:pStyle w:val="NormalText"/>
      </w:pPr>
      <w:r w:rsidRPr="00BD0FBB">
        <w:t>Note: Reference curves based on threshold nozzles and operating pressures as outlined in ASAE S572</w:t>
      </w:r>
      <w:r w:rsidR="00455400">
        <w:t>.</w:t>
      </w:r>
      <w:r w:rsidR="006D1041">
        <w:t>2</w:t>
      </w:r>
      <w:r w:rsidRPr="00BD0FBB">
        <w:t xml:space="preserve"> have been used to establish the standard deposition curves for aircraft in </w:t>
      </w:r>
      <w:r w:rsidR="00460E9D">
        <w:t>f</w:t>
      </w:r>
      <w:r w:rsidRPr="00BD0FBB">
        <w:t>igures 8 and 9. ASABE S641, Droplet Size Classification of Aerial Application Nozzles, came into effect in May 2018 and the APVMA guidelines will be updated to comply with ASABE S641. In the interim, applications can proceed with the standard curves outlined in this section or sufficient information will need to be provided with applications to enable custom curves based on S641 to be established as outlined in section 4.2</w:t>
      </w:r>
      <w:r>
        <w:t>.</w:t>
      </w:r>
      <w:r>
        <w:br w:type="page"/>
      </w:r>
    </w:p>
    <w:p w14:paraId="50769E0D" w14:textId="77777777" w:rsidR="00547DF2" w:rsidRPr="00BD0FBB" w:rsidRDefault="00BD0FBB" w:rsidP="00BD0FBB">
      <w:pPr>
        <w:pStyle w:val="Caption"/>
      </w:pPr>
      <w:r>
        <w:rPr>
          <w:noProof/>
          <w:lang w:eastAsia="en-AU"/>
        </w:rPr>
        <w:lastRenderedPageBreak/>
        <w:drawing>
          <wp:anchor distT="0" distB="0" distL="114300" distR="114300" simplePos="0" relativeHeight="251674624" behindDoc="0" locked="0" layoutInCell="1" allowOverlap="1" wp14:anchorId="20063D37" wp14:editId="2A6727DF">
            <wp:simplePos x="0" y="0"/>
            <wp:positionH relativeFrom="margin">
              <wp:posOffset>0</wp:posOffset>
            </wp:positionH>
            <wp:positionV relativeFrom="paragraph">
              <wp:posOffset>262890</wp:posOffset>
            </wp:positionV>
            <wp:extent cx="6115050" cy="3675380"/>
            <wp:effectExtent l="0" t="0" r="0" b="1270"/>
            <wp:wrapTopAndBottom/>
            <wp:docPr id="29" name="Picture 29" descr="Chart showing standard curves for Fine, Medium, Coarse, Very Coarse, Extremely Coarse and Ultra Coarse" title="Standard depositon curves for helicop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6115050" cy="3675380"/>
                    </a:xfrm>
                    <a:prstGeom prst="rect">
                      <a:avLst/>
                    </a:prstGeom>
                    <a:noFill/>
                  </pic:spPr>
                </pic:pic>
              </a:graphicData>
            </a:graphic>
            <wp14:sizeRelH relativeFrom="margin">
              <wp14:pctWidth>0</wp14:pctWidth>
            </wp14:sizeRelH>
            <wp14:sizeRelV relativeFrom="margin">
              <wp14:pctHeight>0</wp14:pctHeight>
            </wp14:sizeRelV>
          </wp:anchor>
        </w:drawing>
      </w:r>
      <w:r w:rsidRPr="00BD0FBB">
        <w:t>Figure 9: Chart of standard deposition curves for aircraft (helicopter)</w:t>
      </w:r>
    </w:p>
    <w:p w14:paraId="719A3961" w14:textId="77777777" w:rsidR="00547DF2" w:rsidRDefault="00BD0FBB" w:rsidP="00BD0FBB">
      <w:pPr>
        <w:pStyle w:val="Heading2"/>
      </w:pPr>
      <w:bookmarkStart w:id="36" w:name="_Toc14340846"/>
      <w:r>
        <w:t>Custom deposition curves</w:t>
      </w:r>
      <w:bookmarkEnd w:id="36"/>
    </w:p>
    <w:p w14:paraId="44982437" w14:textId="2413E177" w:rsidR="00BD0FBB" w:rsidRPr="00BD0FBB" w:rsidRDefault="00BD0FBB" w:rsidP="00BD0FBB">
      <w:pPr>
        <w:pStyle w:val="NormalText"/>
      </w:pPr>
      <w:r w:rsidRPr="00BD0FBB">
        <w:t xml:space="preserve">Custom deposition curves can be generated from information submitted with an application. The </w:t>
      </w:r>
      <w:hyperlink r:id="rId75" w:history="1">
        <w:r w:rsidR="00F807AA">
          <w:rPr>
            <w:rStyle w:val="Hyperlink"/>
          </w:rPr>
          <w:t>spray d</w:t>
        </w:r>
        <w:r w:rsidR="002E4D78" w:rsidRPr="00BD0FBB">
          <w:rPr>
            <w:rStyle w:val="Hyperlink"/>
          </w:rPr>
          <w:t xml:space="preserve">rift </w:t>
        </w:r>
        <w:r w:rsidR="00F807AA">
          <w:rPr>
            <w:rStyle w:val="Hyperlink"/>
          </w:rPr>
          <w:t>data g</w:t>
        </w:r>
        <w:r w:rsidR="002E4D78" w:rsidRPr="00BD0FBB">
          <w:rPr>
            <w:rStyle w:val="Hyperlink"/>
          </w:rPr>
          <w:t>uideline</w:t>
        </w:r>
      </w:hyperlink>
      <w:r w:rsidRPr="00BD0FBB">
        <w:t xml:space="preserve"> contains detailed guidance about the sorts of information that </w:t>
      </w:r>
      <w:r>
        <w:t>may be relevant.</w:t>
      </w:r>
    </w:p>
    <w:p w14:paraId="1BB23410" w14:textId="77777777" w:rsidR="00BD0FBB" w:rsidRPr="00BD0FBB" w:rsidRDefault="00BD0FBB" w:rsidP="00BD0FBB">
      <w:pPr>
        <w:pStyle w:val="NormalText"/>
      </w:pPr>
      <w:r w:rsidRPr="00BD0FBB">
        <w:t>Typically, custom deposition curves will be generated from information that relates to drift-reducing practices, technologies or innovations, including:</w:t>
      </w:r>
    </w:p>
    <w:p w14:paraId="1E841ABD" w14:textId="77777777" w:rsidR="00BD0FBB" w:rsidRPr="00BD0FBB" w:rsidRDefault="00BD0FBB" w:rsidP="00BD0FBB">
      <w:pPr>
        <w:pStyle w:val="Bullet1"/>
      </w:pPr>
      <w:r w:rsidRPr="00BD0FBB">
        <w:t>specific low-drift nozzle</w:t>
      </w:r>
      <w:r>
        <w:t>s</w:t>
      </w:r>
    </w:p>
    <w:p w14:paraId="4D027EBB" w14:textId="77777777" w:rsidR="00BD0FBB" w:rsidRPr="00BD0FBB" w:rsidRDefault="00BD0FBB" w:rsidP="00BD0FBB">
      <w:pPr>
        <w:pStyle w:val="Bullet1"/>
      </w:pPr>
      <w:r w:rsidRPr="00BD0FBB">
        <w:t>improved equipment designs</w:t>
      </w:r>
    </w:p>
    <w:p w14:paraId="73C49D01" w14:textId="77777777" w:rsidR="00BD0FBB" w:rsidRPr="00BD0FBB" w:rsidRDefault="00BD0FBB" w:rsidP="00BD0FBB">
      <w:pPr>
        <w:pStyle w:val="Bullet1"/>
      </w:pPr>
      <w:r w:rsidRPr="00BD0FBB">
        <w:t>equipment modifications</w:t>
      </w:r>
    </w:p>
    <w:p w14:paraId="58C81DBB" w14:textId="77777777" w:rsidR="00BD0FBB" w:rsidRPr="00BD0FBB" w:rsidRDefault="00BD0FBB" w:rsidP="00BD0FBB">
      <w:pPr>
        <w:pStyle w:val="Bullet1"/>
      </w:pPr>
      <w:r w:rsidRPr="00BD0FBB">
        <w:t>adjuvants (additives and/or components of formulations)</w:t>
      </w:r>
    </w:p>
    <w:p w14:paraId="10297E35" w14:textId="77777777" w:rsidR="00BD0FBB" w:rsidRPr="00BD0FBB" w:rsidRDefault="00BD0FBB" w:rsidP="00BD0FBB">
      <w:pPr>
        <w:pStyle w:val="Bullet1"/>
      </w:pPr>
      <w:r w:rsidRPr="00BD0FBB">
        <w:t>improved equipment operating practices.</w:t>
      </w:r>
    </w:p>
    <w:p w14:paraId="22DB609E" w14:textId="77777777" w:rsidR="00BD0FBB" w:rsidRDefault="00BD0FBB" w:rsidP="00BD0FBB">
      <w:pPr>
        <w:pStyle w:val="Heading3"/>
      </w:pPr>
      <w:bookmarkStart w:id="37" w:name="_Toc14340847"/>
      <w:r>
        <w:t>Field trials</w:t>
      </w:r>
      <w:bookmarkEnd w:id="37"/>
    </w:p>
    <w:p w14:paraId="55164B10" w14:textId="77777777" w:rsidR="00BD0FBB" w:rsidRDefault="00BD0FBB" w:rsidP="00BD0FBB">
      <w:pPr>
        <w:pStyle w:val="NormalText"/>
      </w:pPr>
      <w:r w:rsidRPr="00BD0FBB">
        <w:t>Spray drift field trials are inherently variable and therefore need to be assessed with a degree of flexibility rather than a standardised approach, which may not be applicable to certain datasets. Although this means that full details cannot be presented, every assessment will involve two main steps:</w:t>
      </w:r>
    </w:p>
    <w:p w14:paraId="534A9175" w14:textId="77777777" w:rsidR="00BD0FBB" w:rsidRDefault="00BD0FBB" w:rsidP="00BD0FBB">
      <w:pPr>
        <w:pStyle w:val="Bullet1"/>
      </w:pPr>
      <w:r w:rsidRPr="00BD0FBB">
        <w:t>regression analysis</w:t>
      </w:r>
    </w:p>
    <w:p w14:paraId="6EBB1DE0" w14:textId="77777777" w:rsidR="00BD0FBB" w:rsidRPr="00BD0FBB" w:rsidRDefault="00BD0FBB" w:rsidP="00BD0FBB">
      <w:pPr>
        <w:pStyle w:val="Bullet2"/>
      </w:pPr>
      <w:r>
        <w:lastRenderedPageBreak/>
        <w:t>r</w:t>
      </w:r>
      <w:r w:rsidRPr="00BD0FBB">
        <w:t xml:space="preserve">ather than limit assessments to a single regression model for the entire downwind distance, the ultimate goal is to establish a deposition curve, which has the </w:t>
      </w:r>
      <w:r>
        <w:t>best possible fit to field data</w:t>
      </w:r>
    </w:p>
    <w:p w14:paraId="1B761B8E" w14:textId="77777777" w:rsidR="00BD0FBB" w:rsidRPr="00BD0FBB" w:rsidRDefault="00BD0FBB" w:rsidP="00BD0FBB">
      <w:pPr>
        <w:pStyle w:val="Bullet2"/>
      </w:pPr>
      <w:r>
        <w:t>t</w:t>
      </w:r>
      <w:r w:rsidRPr="00BD0FBB">
        <w:t>he 90</w:t>
      </w:r>
      <w:r w:rsidRPr="00BD0FBB">
        <w:rPr>
          <w:vertAlign w:val="superscript"/>
        </w:rPr>
        <w:t>th</w:t>
      </w:r>
      <w:r w:rsidRPr="00BD0FBB">
        <w:t xml:space="preserve"> percentile of field data will be used for regression analysis unless a valid scientific argument is presented for the use of an alternative percentile</w:t>
      </w:r>
    </w:p>
    <w:p w14:paraId="1D0BCFC2" w14:textId="77777777" w:rsidR="00BD0FBB" w:rsidRPr="00BD0FBB" w:rsidRDefault="00BD0FBB" w:rsidP="00BD0FBB">
      <w:pPr>
        <w:pStyle w:val="Bullet2"/>
      </w:pPr>
      <w:r>
        <w:t>r</w:t>
      </w:r>
      <w:r w:rsidRPr="00BD0FBB">
        <w:t>esults below the limit of detection of the study will not be considered when det</w:t>
      </w:r>
      <w:r>
        <w:t>ermining field data percentiles</w:t>
      </w:r>
    </w:p>
    <w:p w14:paraId="692E0FA7" w14:textId="77777777" w:rsidR="00BD0FBB" w:rsidRDefault="00BD0FBB" w:rsidP="00BD0FBB">
      <w:pPr>
        <w:pStyle w:val="Bullet1"/>
      </w:pPr>
      <w:r>
        <w:t>quality assurance</w:t>
      </w:r>
    </w:p>
    <w:p w14:paraId="271B7321" w14:textId="77777777" w:rsidR="00BD0FBB" w:rsidRDefault="00BD0FBB" w:rsidP="00BD0FBB">
      <w:pPr>
        <w:pStyle w:val="Bullet2"/>
      </w:pPr>
      <w:r>
        <w:t>when a field trial includes a reference sprayer, a regression analysis of the test data is compared to the relevant standard deposition curve. If there are significant differences between these curves, the field trial reference sprayer curve may be normalised to the relevant standard deposition curve and the same method applied to correct the candidate curve, in order to ensure consistency</w:t>
      </w:r>
    </w:p>
    <w:p w14:paraId="631C7D52" w14:textId="77777777" w:rsidR="00BD0FBB" w:rsidRDefault="00BD0FBB" w:rsidP="00BD0FBB">
      <w:pPr>
        <w:pStyle w:val="Bullet2"/>
      </w:pPr>
      <w:r>
        <w:t>when a field trial does not include a reference sprayer, quality assurance can only be satisfied with valid scientific argument.</w:t>
      </w:r>
    </w:p>
    <w:p w14:paraId="5700A5CE" w14:textId="77777777" w:rsidR="00BD0FBB" w:rsidRDefault="00BD0FBB" w:rsidP="00BD0FBB">
      <w:pPr>
        <w:pStyle w:val="Heading3"/>
      </w:pPr>
      <w:bookmarkStart w:id="38" w:name="_Toc14340848"/>
      <w:r>
        <w:t>Modelling</w:t>
      </w:r>
      <w:bookmarkEnd w:id="38"/>
    </w:p>
    <w:p w14:paraId="4EE5A2B5" w14:textId="171A6F9E" w:rsidR="00BD0FBB" w:rsidRPr="00BD0FBB" w:rsidRDefault="00BD0FBB" w:rsidP="00BD0FBB">
      <w:pPr>
        <w:pStyle w:val="NormalText"/>
      </w:pPr>
      <w:r w:rsidRPr="00BD0FBB">
        <w:t>As there is no currently validated predictive model for vertical sprayers, modelling can only be conducted for boom sprayers and aircraft using AGDISP</w:t>
      </w:r>
      <w:r w:rsidRPr="00460E9D">
        <w:rPr>
          <w:vertAlign w:val="superscript"/>
        </w:rPr>
        <w:t>TM</w:t>
      </w:r>
      <w:r w:rsidRPr="00BD0FBB">
        <w:t>. Generally, modelling will be conducted using the relevant AGDISP</w:t>
      </w:r>
      <w:r w:rsidRPr="00460E9D">
        <w:rPr>
          <w:vertAlign w:val="superscript"/>
        </w:rPr>
        <w:t>TM</w:t>
      </w:r>
      <w:r w:rsidRPr="00BD0FBB">
        <w:t xml:space="preserve"> template file (see section 4.1) as a basis and either doing one of, or a combi</w:t>
      </w:r>
      <w:r w:rsidR="00F807AA">
        <w:t>nation of, the following steps:</w:t>
      </w:r>
    </w:p>
    <w:p w14:paraId="5A9FCF8C" w14:textId="77777777" w:rsidR="00BD0FBB" w:rsidRPr="00BD0FBB" w:rsidRDefault="00BD0FBB" w:rsidP="00BD0FBB">
      <w:pPr>
        <w:pStyle w:val="Bullet1"/>
      </w:pPr>
      <w:r w:rsidRPr="00BD0FBB">
        <w:t>modelling the effect of a candidate (ie the nozzle or equipment being tested under certain conditions) droplet size distribution (DSD) after it has been converted to reduce inter-laboratory variability (see section 4.2)</w:t>
      </w:r>
    </w:p>
    <w:p w14:paraId="3FEA06E0" w14:textId="77777777" w:rsidR="00BD0FBB" w:rsidRPr="00BD0FBB" w:rsidRDefault="00BD0FBB" w:rsidP="00BD0FBB">
      <w:pPr>
        <w:pStyle w:val="Bullet1"/>
      </w:pPr>
      <w:r w:rsidRPr="00BD0FBB">
        <w:t>modelling the effect of specific use instructions that would support varying the input settings in the relevant AGDISP</w:t>
      </w:r>
      <w:r w:rsidRPr="00BD0FBB">
        <w:rPr>
          <w:vertAlign w:val="superscript"/>
        </w:rPr>
        <w:t>TM</w:t>
      </w:r>
      <w:r w:rsidRPr="00BD0FBB">
        <w:t xml:space="preserve"> input template.</w:t>
      </w:r>
    </w:p>
    <w:p w14:paraId="10169120" w14:textId="1867D4E2" w:rsidR="00BD0FBB" w:rsidRPr="00BD0FBB" w:rsidRDefault="00BD0FBB" w:rsidP="00BD0FBB">
      <w:pPr>
        <w:pStyle w:val="NormalText"/>
      </w:pPr>
      <w:r w:rsidRPr="00BD0FBB">
        <w:t>Unless the information submitted requires otherwise, modelling will be conducted at different wind speeds</w:t>
      </w:r>
      <w:r>
        <w:t xml:space="preserve"> </w:t>
      </w:r>
      <w:r w:rsidRPr="00BD0FBB">
        <w:t>(7, 14 and 20 km/hr). The deposition curve fo</w:t>
      </w:r>
      <w:r w:rsidR="004279CA">
        <w:t>r 20 km/hr will be used in the spray drift risk assessment t</w:t>
      </w:r>
      <w:r w:rsidRPr="00BD0FBB">
        <w:t>ool (see section 6) and a</w:t>
      </w:r>
      <w:r w:rsidR="004279CA">
        <w:t xml:space="preserve">ll </w:t>
      </w:r>
      <w:r w:rsidR="00455400">
        <w:t xml:space="preserve">three wind speeds are </w:t>
      </w:r>
      <w:r w:rsidR="004279CA">
        <w:t>added to the spray drift management t</w:t>
      </w:r>
      <w:r w:rsidRPr="00BD0FBB">
        <w:t>ool. The same approach will be used to model release height.</w:t>
      </w:r>
    </w:p>
    <w:p w14:paraId="4CCA329E" w14:textId="5FC0B40D" w:rsidR="00BD0FBB" w:rsidRPr="00BD0FBB" w:rsidRDefault="00BD0FBB" w:rsidP="00BD0FBB">
      <w:pPr>
        <w:pStyle w:val="NormalText"/>
      </w:pPr>
      <w:r w:rsidRPr="00BD0FBB">
        <w:t>Currently accepted versions of AGDISP include version 8.26 (</w:t>
      </w:r>
      <w:r w:rsidR="004279CA">
        <w:t xml:space="preserve">the </w:t>
      </w:r>
      <w:hyperlink r:id="rId76" w:history="1">
        <w:r w:rsidRPr="00BD0FBB">
          <w:rPr>
            <w:rStyle w:val="Hyperlink"/>
          </w:rPr>
          <w:t>US EPA regulatory version</w:t>
        </w:r>
      </w:hyperlink>
      <w:r w:rsidRPr="00BD0FBB">
        <w:t xml:space="preserve"> </w:t>
      </w:r>
      <w:r>
        <w:t>can be downloaded from their website</w:t>
      </w:r>
      <w:hyperlink r:id="rId77" w:history="1"/>
      <w:r w:rsidRPr="00BD0FBB">
        <w:t>) and version 8.28. The use of later research versions of AGDISP may be considered with argument that changes in newer version do not compromise the validity of the output deposition data.</w:t>
      </w:r>
    </w:p>
    <w:p w14:paraId="46745BC7" w14:textId="462E464D" w:rsidR="00BD0FBB" w:rsidRDefault="00751891" w:rsidP="00751891">
      <w:pPr>
        <w:pStyle w:val="Heading4"/>
      </w:pPr>
      <w:r>
        <w:t>Conversion of droplet size distributions (DSDs)</w:t>
      </w:r>
    </w:p>
    <w:p w14:paraId="6C79899A" w14:textId="18592836" w:rsidR="00751891" w:rsidRDefault="00751891" w:rsidP="00751891">
      <w:pPr>
        <w:pStyle w:val="NormalText"/>
      </w:pPr>
      <w:r w:rsidRPr="00751891">
        <w:t>To ensure that DSDs from different testing facilities can be compared and be consistent relative to APVMA DSDs (see Appendix 1), a DSD converter tool has been developed. This tool applies a distribution model, originally published by Rosin and Rammler (1933) and used in this context by Teske and Thistle (2000), to both the DSD of the candidate being tested and the two nearest reference nozzles. These two modelled reference nozzle DSDs are then compared to their equivalent APVMA DSDs and a correction factor is applied to the modelled candidate DSD.</w:t>
      </w:r>
      <w:r w:rsidR="00455400">
        <w:t xml:space="preserve"> </w:t>
      </w:r>
      <w:r w:rsidR="00455400" w:rsidRPr="00455400">
        <w:t>The DSD of the candidate nozzle and the two nearest reference nozzles must be measured from the same facility with the same experimental setup.</w:t>
      </w:r>
    </w:p>
    <w:p w14:paraId="391953FA" w14:textId="6F79668E" w:rsidR="00751891" w:rsidRDefault="008516F4" w:rsidP="00751891">
      <w:pPr>
        <w:pStyle w:val="NormalText"/>
        <w:rPr>
          <w:rStyle w:val="Hyperlink"/>
          <w:color w:val="auto"/>
          <w:u w:val="none"/>
        </w:rPr>
      </w:pPr>
      <w:hyperlink r:id="rId78" w:history="1">
        <w:r w:rsidR="00751891" w:rsidRPr="0080521C">
          <w:rPr>
            <w:rStyle w:val="Hyperlink"/>
          </w:rPr>
          <w:t>APVMA DSD Converter—V</w:t>
        </w:r>
        <w:r w:rsidR="000252E1">
          <w:rPr>
            <w:rStyle w:val="Hyperlink"/>
          </w:rPr>
          <w:t>1.0</w:t>
        </w:r>
        <w:r w:rsidR="00751891" w:rsidRPr="0080521C">
          <w:rPr>
            <w:rStyle w:val="Hyperlink"/>
          </w:rPr>
          <w:t>.xls</w:t>
        </w:r>
      </w:hyperlink>
    </w:p>
    <w:p w14:paraId="7E9691F6" w14:textId="5F859D13" w:rsidR="00751891" w:rsidRDefault="00751891" w:rsidP="00751891">
      <w:pPr>
        <w:pStyle w:val="Heading2"/>
        <w:rPr>
          <w:rStyle w:val="Hyperlink"/>
          <w:color w:val="53284F" w:themeColor="accent5"/>
          <w:u w:val="none"/>
        </w:rPr>
      </w:pPr>
      <w:bookmarkStart w:id="39" w:name="_Toc14340849"/>
      <w:r>
        <w:rPr>
          <w:rStyle w:val="Hyperlink"/>
          <w:color w:val="53284F" w:themeColor="accent5"/>
          <w:u w:val="none"/>
        </w:rPr>
        <w:t>Averaged deposition curves</w:t>
      </w:r>
      <w:bookmarkEnd w:id="39"/>
    </w:p>
    <w:p w14:paraId="7C6DF043" w14:textId="77777777" w:rsidR="00751891" w:rsidRDefault="00751891" w:rsidP="00751891">
      <w:pPr>
        <w:pStyle w:val="NormalText"/>
      </w:pPr>
      <w:r>
        <w:t>As deposition curves are established in terms of point deposition, they must be averaged to reflect the sensitive area being protected before being used to calculate buffer zones. Levels of deposition are averaged across the following distances for each sensitive area:</w:t>
      </w:r>
    </w:p>
    <w:p w14:paraId="20A72557" w14:textId="77777777" w:rsidR="00751891" w:rsidRDefault="00751891" w:rsidP="00751891">
      <w:pPr>
        <w:pStyle w:val="Bullet1"/>
      </w:pPr>
      <w:r>
        <w:t>bystander areas—20 metres</w:t>
      </w:r>
    </w:p>
    <w:p w14:paraId="47503CC4" w14:textId="77777777" w:rsidR="00751891" w:rsidRDefault="00751891" w:rsidP="00751891">
      <w:pPr>
        <w:pStyle w:val="Bullet1"/>
      </w:pPr>
      <w:r>
        <w:t>natural aquatic areas—3 metres</w:t>
      </w:r>
    </w:p>
    <w:p w14:paraId="6C3813F3" w14:textId="77777777" w:rsidR="00751891" w:rsidRPr="00F3337D" w:rsidRDefault="00751891" w:rsidP="00751891">
      <w:pPr>
        <w:pStyle w:val="Bullet1"/>
      </w:pPr>
      <w:r>
        <w:t>pollinator areas—3 metres</w:t>
      </w:r>
    </w:p>
    <w:p w14:paraId="3E624EEF" w14:textId="77777777" w:rsidR="00751891" w:rsidRDefault="00751891" w:rsidP="00751891">
      <w:pPr>
        <w:pStyle w:val="Bullet1"/>
      </w:pPr>
      <w:r>
        <w:t>vegetation areas—3 metres</w:t>
      </w:r>
    </w:p>
    <w:p w14:paraId="5C7AF1D3" w14:textId="77777777" w:rsidR="00751891" w:rsidRDefault="00751891" w:rsidP="00751891">
      <w:pPr>
        <w:pStyle w:val="Bullet1"/>
        <w:sectPr w:rsidR="00751891" w:rsidSect="00CB58D6">
          <w:headerReference w:type="default" r:id="rId79"/>
          <w:pgSz w:w="11906" w:h="16838" w:code="9"/>
          <w:pgMar w:top="2835" w:right="1134" w:bottom="1134" w:left="1134" w:header="1701" w:footer="680" w:gutter="0"/>
          <w:cols w:space="708"/>
          <w:docGrid w:linePitch="360"/>
        </w:sectPr>
      </w:pPr>
      <w:r>
        <w:t>livestock areas—100 metres.</w:t>
      </w:r>
    </w:p>
    <w:p w14:paraId="242BA302" w14:textId="20ABDCD2" w:rsidR="00751891" w:rsidRDefault="00751891" w:rsidP="00751891">
      <w:pPr>
        <w:pStyle w:val="Heading1"/>
      </w:pPr>
      <w:bookmarkStart w:id="40" w:name="_Toc14340850"/>
      <w:r>
        <w:lastRenderedPageBreak/>
        <w:t>Use instructions</w:t>
      </w:r>
      <w:bookmarkEnd w:id="40"/>
    </w:p>
    <w:p w14:paraId="604B7A01" w14:textId="3F156E7E" w:rsidR="00751891" w:rsidRDefault="00751891" w:rsidP="00751891">
      <w:pPr>
        <w:pStyle w:val="NormalText"/>
      </w:pPr>
      <w:r>
        <w:t>The following instructions will be required as relevant particulars for approved labels, or as conditions on permits, where a relevant assessment has been conducted in accordance with this manual. Two different approaches are supported for the determination of buffer zones:</w:t>
      </w:r>
    </w:p>
    <w:p w14:paraId="4A945619" w14:textId="77777777" w:rsidR="00751891" w:rsidRDefault="00751891" w:rsidP="00751891">
      <w:pPr>
        <w:pStyle w:val="Bullet1"/>
      </w:pPr>
      <w:r>
        <w:t>use of standard deposition curves (section 5.1)</w:t>
      </w:r>
    </w:p>
    <w:p w14:paraId="37B7DFD7" w14:textId="77777777" w:rsidR="00751891" w:rsidRDefault="00751891" w:rsidP="00751891">
      <w:pPr>
        <w:pStyle w:val="Bullet1"/>
      </w:pPr>
      <w:r>
        <w:t>use of customised deposition curves from submission of spray drift data (section 5.2).</w:t>
      </w:r>
    </w:p>
    <w:p w14:paraId="2412FE05" w14:textId="4BE3F305" w:rsidR="00751891" w:rsidRDefault="00751891" w:rsidP="00751891">
      <w:pPr>
        <w:pStyle w:val="NormalText"/>
      </w:pPr>
      <w:r>
        <w:t xml:space="preserve">The location of these instructions on product labels is described in section 9.5 of the </w:t>
      </w:r>
      <w:hyperlink r:id="rId80" w:history="1">
        <w:r w:rsidRPr="00B25DFD">
          <w:rPr>
            <w:rStyle w:val="Hyperlink"/>
          </w:rPr>
          <w:t>Agri</w:t>
        </w:r>
        <w:r w:rsidR="004279CA">
          <w:rPr>
            <w:rStyle w:val="Hyperlink"/>
          </w:rPr>
          <w:t>cultural L</w:t>
        </w:r>
        <w:r w:rsidRPr="00B25DFD">
          <w:rPr>
            <w:rStyle w:val="Hyperlink"/>
          </w:rPr>
          <w:t xml:space="preserve">abelling </w:t>
        </w:r>
        <w:r w:rsidR="004279CA">
          <w:rPr>
            <w:rStyle w:val="Hyperlink"/>
          </w:rPr>
          <w:t>C</w:t>
        </w:r>
        <w:r w:rsidRPr="00B25DFD">
          <w:rPr>
            <w:rStyle w:val="Hyperlink"/>
          </w:rPr>
          <w:t>ode</w:t>
        </w:r>
      </w:hyperlink>
      <w:r>
        <w:t>.</w:t>
      </w:r>
    </w:p>
    <w:p w14:paraId="07A7C12A" w14:textId="77777777" w:rsidR="00751891" w:rsidRDefault="00751891" w:rsidP="00751891">
      <w:pPr>
        <w:pStyle w:val="NormalText"/>
      </w:pPr>
      <w:r>
        <w:t>It is essential that these use instructions are interpreted with the definitions provided in the glossary.</w:t>
      </w:r>
    </w:p>
    <w:p w14:paraId="343CB86F" w14:textId="70C78E31" w:rsidR="00751891" w:rsidRDefault="00751891" w:rsidP="00751891">
      <w:pPr>
        <w:pStyle w:val="Heading2"/>
      </w:pPr>
      <w:bookmarkStart w:id="41" w:name="_Toc14340851"/>
      <w:r>
        <w:t>Standard instructions</w:t>
      </w:r>
      <w:bookmarkEnd w:id="41"/>
    </w:p>
    <w:p w14:paraId="43C47D60" w14:textId="77777777" w:rsidR="00751891" w:rsidRPr="00751891" w:rsidRDefault="00751891" w:rsidP="00751891">
      <w:pPr>
        <w:pStyle w:val="NormalText"/>
      </w:pPr>
      <w:r w:rsidRPr="00751891">
        <w:t>Standard instructions contain four discrete sections:</w:t>
      </w:r>
    </w:p>
    <w:p w14:paraId="640A980A" w14:textId="2F3AD237" w:rsidR="00751891" w:rsidRPr="00751891" w:rsidRDefault="00751891" w:rsidP="00751891">
      <w:pPr>
        <w:pStyle w:val="Bullet1"/>
      </w:pPr>
      <w:r>
        <w:t>g</w:t>
      </w:r>
      <w:r w:rsidRPr="00751891">
        <w:t>en</w:t>
      </w:r>
      <w:r>
        <w:t>eral instructions (</w:t>
      </w:r>
      <w:r w:rsidR="00460E9D">
        <w:t>s</w:t>
      </w:r>
      <w:r>
        <w:t>ection 5.1</w:t>
      </w:r>
      <w:r w:rsidRPr="00751891">
        <w:t>)—</w:t>
      </w:r>
      <w:r>
        <w:t>i</w:t>
      </w:r>
      <w:r w:rsidRPr="00751891">
        <w:t>ncludes instructions applying to the use of any product that requires a spray drift risk assessment regardles</w:t>
      </w:r>
      <w:r>
        <w:t>s of the application equipment</w:t>
      </w:r>
    </w:p>
    <w:p w14:paraId="057796CC" w14:textId="4AD0F4AE" w:rsidR="00751891" w:rsidRPr="00751891" w:rsidRDefault="00751891" w:rsidP="00751891">
      <w:pPr>
        <w:pStyle w:val="Bullet1"/>
      </w:pPr>
      <w:r>
        <w:t>b</w:t>
      </w:r>
      <w:r w:rsidRPr="00751891">
        <w:t>oom sprayers (section 5.1.)—</w:t>
      </w:r>
      <w:r>
        <w:t>p</w:t>
      </w:r>
      <w:r w:rsidRPr="00751891">
        <w:t>rovides options for instructions specifically related to application by boom sprayer. The first option can be varied by including buffer zones calculated from the maximum label rate and a significantly lower application rate (included on the approved label for use in a different crop/situation or to control a different pest/disease/weed). Additional options for</w:t>
      </w:r>
      <w:r>
        <w:t xml:space="preserve"> DRTs may be added to the table</w:t>
      </w:r>
    </w:p>
    <w:p w14:paraId="57E0B772" w14:textId="6A02A408" w:rsidR="00751891" w:rsidRPr="00751891" w:rsidRDefault="00751891" w:rsidP="00751891">
      <w:pPr>
        <w:pStyle w:val="Bullet1"/>
      </w:pPr>
      <w:r>
        <w:t>v</w:t>
      </w:r>
      <w:r w:rsidRPr="00751891">
        <w:t>ertical sprayers (section 5.1.)—</w:t>
      </w:r>
      <w:r>
        <w:t>p</w:t>
      </w:r>
      <w:r w:rsidRPr="00751891">
        <w:t>rovides options for instructions specifically related to application by vertical sprayer, including buffer zones for three different canopy types. Additional options for</w:t>
      </w:r>
      <w:r>
        <w:t xml:space="preserve"> DRTs may be added to the table</w:t>
      </w:r>
    </w:p>
    <w:p w14:paraId="62EA781D" w14:textId="62047149" w:rsidR="00751891" w:rsidRPr="00751891" w:rsidRDefault="00751891" w:rsidP="00751891">
      <w:pPr>
        <w:pStyle w:val="Bullet1"/>
      </w:pPr>
      <w:r>
        <w:t>a</w:t>
      </w:r>
      <w:r w:rsidRPr="00751891">
        <w:t>ircraft (s</w:t>
      </w:r>
      <w:r>
        <w:t>ection 5.1</w:t>
      </w:r>
      <w:r w:rsidRPr="00751891">
        <w:t>)—</w:t>
      </w:r>
      <w:r>
        <w:t>p</w:t>
      </w:r>
      <w:r w:rsidRPr="00751891">
        <w:t xml:space="preserve">rovides three options for instructions specifically related to application by aircraft, including buffer zones for fixed-wing and helicopter aircraft. The first option can be varied by refining the instructions to account for approved labels where only one aircraft type is supported or different droplet sizes are required for different aircraft types. Additional options for lower rates and </w:t>
      </w:r>
      <w:r>
        <w:t>DRTs may be added to the table.</w:t>
      </w:r>
    </w:p>
    <w:p w14:paraId="6E36572E" w14:textId="1680571F" w:rsidR="00146613" w:rsidRPr="00751891" w:rsidRDefault="00751891" w:rsidP="00751891">
      <w:pPr>
        <w:pStyle w:val="NormalText"/>
        <w:sectPr w:rsidR="00146613" w:rsidRPr="00751891" w:rsidSect="00CB58D6">
          <w:headerReference w:type="default" r:id="rId81"/>
          <w:pgSz w:w="11906" w:h="16838" w:code="9"/>
          <w:pgMar w:top="2835" w:right="1134" w:bottom="1134" w:left="1134" w:header="1701" w:footer="680" w:gutter="0"/>
          <w:cols w:space="708"/>
          <w:docGrid w:linePitch="360"/>
        </w:sectPr>
      </w:pPr>
      <w:r w:rsidRPr="00751891">
        <w:t>The selection of application equipment is at the discretion of the applicant, provided that they are within the limits of the Agvet Code (ie they must align with the outcomes of the safety, trade and efficacy assessments). For example, if an application was not supported on the grounds that vertical sprayer application presented an un-mitigatable occupational health and safety exposure risk to users, then this section of the label must include the instruction ‘DO NOT apply with vertical sprayers’.</w:t>
      </w:r>
    </w:p>
    <w:p w14:paraId="187C39F1" w14:textId="7307BE45" w:rsidR="00751891" w:rsidRDefault="00146613" w:rsidP="00A76E59">
      <w:pPr>
        <w:pStyle w:val="Heading3"/>
        <w:spacing w:after="320"/>
      </w:pPr>
      <w:bookmarkStart w:id="42" w:name="_Toc14340852"/>
      <w:r>
        <w:lastRenderedPageBreak/>
        <w:t>General instructions</w:t>
      </w:r>
      <w:bookmarkEnd w:id="42"/>
    </w:p>
    <w:tbl>
      <w:tblPr>
        <w:tblW w:w="5000" w:type="pct"/>
        <w:shd w:val="clear" w:color="auto" w:fill="D5D7D5" w:themeFill="text1" w:themeFillTint="33"/>
        <w:tblLook w:val="04A0" w:firstRow="1" w:lastRow="0" w:firstColumn="1" w:lastColumn="0" w:noHBand="0" w:noVBand="1"/>
      </w:tblPr>
      <w:tblGrid>
        <w:gridCol w:w="9638"/>
      </w:tblGrid>
      <w:tr w:rsidR="00AD0A95" w14:paraId="382E42B4" w14:textId="77777777" w:rsidTr="009B60F8">
        <w:tc>
          <w:tcPr>
            <w:tcW w:w="5000" w:type="pct"/>
            <w:shd w:val="clear" w:color="auto" w:fill="B9C9D0"/>
            <w:vAlign w:val="center"/>
          </w:tcPr>
          <w:p w14:paraId="5517C489" w14:textId="77777777" w:rsidR="00AD0A95" w:rsidRPr="009B60F8" w:rsidRDefault="00AD0A95" w:rsidP="009B60F8">
            <w:pPr>
              <w:pStyle w:val="APVMATableText"/>
              <w:rPr>
                <w:b/>
              </w:rPr>
            </w:pPr>
            <w:r w:rsidRPr="009B60F8">
              <w:rPr>
                <w:b/>
              </w:rPr>
              <w:t>SPRAY DRIFT RESTRAINTS</w:t>
            </w:r>
          </w:p>
          <w:p w14:paraId="0BDBAC9D" w14:textId="3112BA49" w:rsidR="00AD0A95" w:rsidRPr="009B60F8" w:rsidRDefault="00AD0A95" w:rsidP="009B60F8">
            <w:pPr>
              <w:pStyle w:val="APVMATableText"/>
            </w:pPr>
            <w:r w:rsidRPr="009B60F8">
              <w:t>Specific definitions for terms used in this section of the label can be found at apvma.gov.au/spraydrift.</w:t>
            </w:r>
          </w:p>
          <w:p w14:paraId="0579CBA5" w14:textId="77777777" w:rsidR="00AD0A95" w:rsidRPr="009B60F8" w:rsidRDefault="00AD0A95" w:rsidP="009B60F8">
            <w:pPr>
              <w:pStyle w:val="APVMATableText"/>
            </w:pPr>
            <w:r w:rsidRPr="009B60F8">
              <w:rPr>
                <w:b/>
              </w:rPr>
              <w:t>DO NOT</w:t>
            </w:r>
            <w:r w:rsidRPr="009B60F8">
              <w:t xml:space="preserve"> allow bystanders to come into contact with the spray cloud.</w:t>
            </w:r>
          </w:p>
          <w:p w14:paraId="2C862CCB" w14:textId="77777777" w:rsidR="00AD0A95" w:rsidRPr="009B60F8" w:rsidRDefault="00AD0A95" w:rsidP="009B60F8">
            <w:pPr>
              <w:pStyle w:val="APVMATableText"/>
            </w:pPr>
            <w:r w:rsidRPr="009B60F8">
              <w:rPr>
                <w:b/>
              </w:rPr>
              <w:t>DO NOT</w:t>
            </w:r>
            <w:r w:rsidRPr="009B60F8">
              <w:t xml:space="preserve"> apply in a manner that may cause an unacceptable impact to native vegetation, agricultural crops, landscaped gardens and aquaculture production, or cause contamination of plant or livestock commodities, outside the application site from spray drift. The buffer zones in the relevant buffer zone table/s below provide guidance but may not be sufficient in all situations. Wherever possible, correctly use application equipment designed to reduce spray drift and apply when the wind direction is away from these sensitive areas.</w:t>
            </w:r>
          </w:p>
          <w:p w14:paraId="327135E6" w14:textId="77777777" w:rsidR="00AD0A95" w:rsidRPr="009B60F8" w:rsidRDefault="00AD0A95" w:rsidP="009B60F8">
            <w:pPr>
              <w:pStyle w:val="APVMATableText"/>
            </w:pPr>
            <w:r w:rsidRPr="009B60F8">
              <w:rPr>
                <w:b/>
              </w:rPr>
              <w:t>DO NOT</w:t>
            </w:r>
            <w:r w:rsidRPr="009B60F8">
              <w:t xml:space="preserve"> apply unless the wind speed is between 3 and 20 kilometres per hour at the application site during the time of application.</w:t>
            </w:r>
          </w:p>
          <w:p w14:paraId="3C2D7D57" w14:textId="77777777" w:rsidR="00AD0A95" w:rsidRPr="004D100F" w:rsidRDefault="00AD0A95" w:rsidP="009B60F8">
            <w:pPr>
              <w:pStyle w:val="APVMATableText"/>
            </w:pPr>
            <w:r w:rsidRPr="009B60F8">
              <w:rPr>
                <w:b/>
              </w:rPr>
              <w:t>DO NOT</w:t>
            </w:r>
            <w:r w:rsidRPr="009B60F8">
              <w:t xml:space="preserve"> apply if there are hazardous surface temperature inversion conditions present at the application site during the time of application. Surface temperature inversion conditions exist most evenings one to two hours before sunset and persist until one to two hours after sunrise.</w:t>
            </w:r>
          </w:p>
        </w:tc>
      </w:tr>
    </w:tbl>
    <w:p w14:paraId="458399B5" w14:textId="38001531" w:rsidR="006628D0" w:rsidRDefault="006628D0" w:rsidP="00A76E59">
      <w:pPr>
        <w:pStyle w:val="Heading3"/>
        <w:numPr>
          <w:ilvl w:val="0"/>
          <w:numId w:val="0"/>
        </w:numPr>
        <w:spacing w:after="320"/>
      </w:pPr>
      <w:bookmarkStart w:id="43" w:name="_Toc14340853"/>
      <w:r>
        <w:t>Boom sprayers</w:t>
      </w:r>
      <w:bookmarkEnd w:id="43"/>
    </w:p>
    <w:tbl>
      <w:tblPr>
        <w:tblW w:w="5000" w:type="pct"/>
        <w:shd w:val="clear" w:color="auto" w:fill="D5D7D5" w:themeFill="text1" w:themeFillTint="33"/>
        <w:tblLook w:val="04A0" w:firstRow="1" w:lastRow="0" w:firstColumn="1" w:lastColumn="0" w:noHBand="0" w:noVBand="1"/>
      </w:tblPr>
      <w:tblGrid>
        <w:gridCol w:w="9638"/>
      </w:tblGrid>
      <w:tr w:rsidR="00AD0A95" w:rsidRPr="00344111" w14:paraId="6A5EE5A1" w14:textId="77777777" w:rsidTr="009B60F8">
        <w:tc>
          <w:tcPr>
            <w:tcW w:w="5000" w:type="pct"/>
            <w:shd w:val="clear" w:color="auto" w:fill="B9C9D0"/>
          </w:tcPr>
          <w:p w14:paraId="36CF3B30" w14:textId="77777777" w:rsidR="00AD0A95" w:rsidRPr="009B60F8" w:rsidRDefault="00AD0A95" w:rsidP="009B60F8">
            <w:pPr>
              <w:pStyle w:val="APVMATableText"/>
            </w:pPr>
            <w:r w:rsidRPr="009B60F8">
              <w:rPr>
                <w:b/>
              </w:rPr>
              <w:t>DO NOT</w:t>
            </w:r>
            <w:r w:rsidRPr="009B60F8">
              <w:t xml:space="preserve"> apply by a boom sprayer unless the following requirements are met:</w:t>
            </w:r>
          </w:p>
          <w:p w14:paraId="471E81D8" w14:textId="77777777" w:rsidR="00AD0A95" w:rsidRPr="008A6B0A" w:rsidRDefault="00AD0A95" w:rsidP="00AD0A95">
            <w:pPr>
              <w:pStyle w:val="APVMATableBullet"/>
              <w:numPr>
                <w:ilvl w:val="0"/>
                <w:numId w:val="1"/>
              </w:numPr>
              <w:rPr>
                <w:color w:val="auto"/>
              </w:rPr>
            </w:pPr>
            <w:r w:rsidRPr="008A6B0A">
              <w:rPr>
                <w:color w:val="auto"/>
              </w:rPr>
              <w:t xml:space="preserve">spray droplets not smaller than a </w:t>
            </w:r>
            <w:r w:rsidRPr="008A6B0A">
              <w:rPr>
                <w:b/>
                <w:color w:val="auto"/>
              </w:rPr>
              <w:t>[ZAA]</w:t>
            </w:r>
            <w:r w:rsidRPr="008A6B0A">
              <w:rPr>
                <w:color w:val="auto"/>
              </w:rPr>
              <w:t xml:space="preserve"> spray droplet size category</w:t>
            </w:r>
          </w:p>
          <w:p w14:paraId="78681A66" w14:textId="77777777" w:rsidR="00AD0A95" w:rsidRPr="008A6B0A" w:rsidRDefault="00AD0A95" w:rsidP="00AD0A95">
            <w:pPr>
              <w:pStyle w:val="APVMATableBullet"/>
              <w:numPr>
                <w:ilvl w:val="0"/>
                <w:numId w:val="1"/>
              </w:numPr>
              <w:rPr>
                <w:color w:val="auto"/>
              </w:rPr>
            </w:pPr>
            <w:r w:rsidRPr="008A6B0A">
              <w:rPr>
                <w:color w:val="auto"/>
              </w:rPr>
              <w:t>minimum distances between the application site and downwind sensitive areas (see ‘Mandatory buffer zones’ section of the following table titled ‘Buffer zones for boom sprayers’) are observed.</w:t>
            </w:r>
          </w:p>
          <w:tbl>
            <w:tblPr>
              <w:tblW w:w="0" w:type="auto"/>
              <w:tblLook w:val="04A0" w:firstRow="1" w:lastRow="0" w:firstColumn="1" w:lastColumn="0" w:noHBand="0" w:noVBand="1"/>
            </w:tblPr>
            <w:tblGrid>
              <w:gridCol w:w="9422"/>
            </w:tblGrid>
            <w:tr w:rsidR="009B60F8" w:rsidRPr="009B60F8" w14:paraId="41077BD2" w14:textId="77777777" w:rsidTr="00CB58D6">
              <w:trPr>
                <w:trHeight w:val="3624"/>
              </w:trPr>
              <w:tc>
                <w:tcPr>
                  <w:tcW w:w="9402" w:type="dxa"/>
                </w:tcPr>
                <w:p w14:paraId="4CC9C094" w14:textId="77777777" w:rsidR="00AD0A95" w:rsidRPr="009B60F8" w:rsidRDefault="00AD0A95" w:rsidP="009B60F8">
                  <w:pPr>
                    <w:pStyle w:val="RGTableText"/>
                    <w:rPr>
                      <w:b/>
                    </w:rPr>
                  </w:pPr>
                  <w:r w:rsidRPr="009B60F8">
                    <w:rPr>
                      <w:b/>
                    </w:rPr>
                    <w:t>Buffer zones for boom sprayers</w:t>
                  </w:r>
                </w:p>
                <w:tbl>
                  <w:tblPr>
                    <w:tblW w:w="9272" w:type="dxa"/>
                    <w:tblCellMar>
                      <w:left w:w="0" w:type="dxa"/>
                      <w:right w:w="0" w:type="dxa"/>
                    </w:tblCellMar>
                    <w:tblLook w:val="04A0" w:firstRow="1" w:lastRow="0" w:firstColumn="1" w:lastColumn="0" w:noHBand="0" w:noVBand="1"/>
                  </w:tblPr>
                  <w:tblGrid>
                    <w:gridCol w:w="1607"/>
                    <w:gridCol w:w="1419"/>
                    <w:gridCol w:w="1139"/>
                    <w:gridCol w:w="1419"/>
                    <w:gridCol w:w="1135"/>
                    <w:gridCol w:w="1170"/>
                    <w:gridCol w:w="1383"/>
                  </w:tblGrid>
                  <w:tr w:rsidR="009B60F8" w:rsidRPr="009B60F8" w14:paraId="11D7D8EE" w14:textId="77777777" w:rsidTr="00CB58D6">
                    <w:tc>
                      <w:tcPr>
                        <w:tcW w:w="867" w:type="pct"/>
                        <w:vMerge w:val="restart"/>
                        <w:tcBorders>
                          <w:top w:val="single" w:sz="8" w:space="0" w:color="auto"/>
                          <w:left w:val="single" w:sz="8" w:space="0" w:color="auto"/>
                          <w:right w:val="single" w:sz="8" w:space="0" w:color="auto"/>
                        </w:tcBorders>
                      </w:tcPr>
                      <w:p w14:paraId="72EDBB9D" w14:textId="77777777" w:rsidR="00AD0A95" w:rsidRPr="009B60F8" w:rsidRDefault="00AD0A95" w:rsidP="009B60F8">
                        <w:pPr>
                          <w:pStyle w:val="APVMATableText"/>
                        </w:pPr>
                        <w:r w:rsidRPr="009B60F8">
                          <w:t>Application rate</w:t>
                        </w:r>
                      </w:p>
                    </w:tc>
                    <w:tc>
                      <w:tcPr>
                        <w:tcW w:w="76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436BAD" w14:textId="77777777" w:rsidR="00AD0A95" w:rsidRPr="009B60F8" w:rsidRDefault="00AD0A95" w:rsidP="009B60F8">
                        <w:pPr>
                          <w:pStyle w:val="APVMATableText"/>
                        </w:pPr>
                        <w:r w:rsidRPr="009B60F8">
                          <w:t>Boom height above the target canopy</w:t>
                        </w:r>
                      </w:p>
                    </w:tc>
                    <w:tc>
                      <w:tcPr>
                        <w:tcW w:w="3368"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868638" w14:textId="77777777" w:rsidR="00AD0A95" w:rsidRPr="009B60F8" w:rsidRDefault="00AD0A95" w:rsidP="009B60F8">
                        <w:pPr>
                          <w:pStyle w:val="APVMATableText"/>
                        </w:pPr>
                        <w:r w:rsidRPr="009B60F8">
                          <w:t>Mandatory downwind buffer zones</w:t>
                        </w:r>
                      </w:p>
                    </w:tc>
                  </w:tr>
                  <w:tr w:rsidR="009B60F8" w:rsidRPr="009B60F8" w14:paraId="23114E64" w14:textId="77777777" w:rsidTr="00CB58D6">
                    <w:tc>
                      <w:tcPr>
                        <w:tcW w:w="867" w:type="pct"/>
                        <w:vMerge/>
                        <w:tcBorders>
                          <w:left w:val="single" w:sz="8" w:space="0" w:color="auto"/>
                          <w:bottom w:val="single" w:sz="8" w:space="0" w:color="auto"/>
                          <w:right w:val="single" w:sz="8" w:space="0" w:color="auto"/>
                        </w:tcBorders>
                      </w:tcPr>
                      <w:p w14:paraId="20A9D9FC" w14:textId="77777777" w:rsidR="00AD0A95" w:rsidRPr="009B60F8" w:rsidRDefault="00AD0A95" w:rsidP="009B60F8">
                        <w:pPr>
                          <w:pStyle w:val="APVMATableText"/>
                          <w:rPr>
                            <w:rFonts w:eastAsiaTheme="minorHAnsi"/>
                            <w:szCs w:val="17"/>
                          </w:rPr>
                        </w:pPr>
                      </w:p>
                    </w:tc>
                    <w:tc>
                      <w:tcPr>
                        <w:tcW w:w="765" w:type="pct"/>
                        <w:vMerge/>
                        <w:tcBorders>
                          <w:top w:val="nil"/>
                          <w:left w:val="single" w:sz="8" w:space="0" w:color="auto"/>
                          <w:bottom w:val="single" w:sz="8" w:space="0" w:color="auto"/>
                          <w:right w:val="single" w:sz="8" w:space="0" w:color="auto"/>
                        </w:tcBorders>
                        <w:vAlign w:val="center"/>
                        <w:hideMark/>
                      </w:tcPr>
                      <w:p w14:paraId="2F1C62E1" w14:textId="77777777" w:rsidR="00AD0A95" w:rsidRPr="009B60F8" w:rsidRDefault="00AD0A95" w:rsidP="009B60F8">
                        <w:pPr>
                          <w:pStyle w:val="APVMATableText"/>
                          <w:rPr>
                            <w:rFonts w:eastAsiaTheme="minorHAnsi"/>
                            <w:szCs w:val="17"/>
                          </w:rPr>
                        </w:pP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14:paraId="6F0A0C68" w14:textId="77777777" w:rsidR="00AD0A95" w:rsidRPr="009B60F8" w:rsidRDefault="00AD0A95" w:rsidP="009B60F8">
                        <w:pPr>
                          <w:pStyle w:val="APVMATableText"/>
                        </w:pPr>
                        <w:r w:rsidRPr="009B60F8">
                          <w:t>Bystander areas</w:t>
                        </w: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8AD43C" w14:textId="77777777" w:rsidR="00AD0A95" w:rsidRPr="009B60F8" w:rsidRDefault="00AD0A95" w:rsidP="009B60F8">
                        <w:pPr>
                          <w:pStyle w:val="APVMATableText"/>
                        </w:pPr>
                        <w:r w:rsidRPr="009B60F8">
                          <w:t>Natural aquatic areas</w:t>
                        </w:r>
                      </w:p>
                    </w:tc>
                    <w:tc>
                      <w:tcPr>
                        <w:tcW w:w="6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FCF5B6" w14:textId="77777777" w:rsidR="00AD0A95" w:rsidRPr="009B60F8" w:rsidRDefault="00AD0A95" w:rsidP="009B60F8">
                        <w:pPr>
                          <w:pStyle w:val="APVMATableText"/>
                        </w:pPr>
                        <w:r w:rsidRPr="009B60F8">
                          <w:t>Pollinator areas</w:t>
                        </w:r>
                      </w:p>
                    </w:tc>
                    <w:tc>
                      <w:tcPr>
                        <w:tcW w:w="6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6B20F4" w14:textId="77777777" w:rsidR="00AD0A95" w:rsidRPr="009B60F8" w:rsidRDefault="00AD0A95" w:rsidP="009B60F8">
                        <w:pPr>
                          <w:pStyle w:val="APVMATableText"/>
                        </w:pPr>
                        <w:r w:rsidRPr="009B60F8">
                          <w:t>Vegetation areas</w:t>
                        </w:r>
                      </w:p>
                    </w:tc>
                    <w:tc>
                      <w:tcPr>
                        <w:tcW w:w="7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DC28AE" w14:textId="77777777" w:rsidR="00AD0A95" w:rsidRPr="009B60F8" w:rsidRDefault="00AD0A95" w:rsidP="009B60F8">
                        <w:pPr>
                          <w:pStyle w:val="APVMATableText"/>
                        </w:pPr>
                        <w:r w:rsidRPr="009B60F8">
                          <w:t>Livestock areas</w:t>
                        </w:r>
                      </w:p>
                    </w:tc>
                  </w:tr>
                  <w:tr w:rsidR="009B60F8" w:rsidRPr="009B60F8" w14:paraId="600E29EB" w14:textId="77777777" w:rsidTr="00CB58D6">
                    <w:tc>
                      <w:tcPr>
                        <w:tcW w:w="867" w:type="pct"/>
                        <w:vMerge w:val="restart"/>
                        <w:tcBorders>
                          <w:top w:val="single" w:sz="8" w:space="0" w:color="auto"/>
                          <w:left w:val="single" w:sz="8" w:space="0" w:color="auto"/>
                          <w:bottom w:val="single" w:sz="8" w:space="0" w:color="auto"/>
                          <w:right w:val="single" w:sz="8" w:space="0" w:color="auto"/>
                        </w:tcBorders>
                      </w:tcPr>
                      <w:p w14:paraId="69F90820" w14:textId="77777777" w:rsidR="00AD0A95" w:rsidRPr="009B60F8" w:rsidRDefault="00AD0A95" w:rsidP="009B60F8">
                        <w:pPr>
                          <w:pStyle w:val="APVMATableText"/>
                        </w:pPr>
                        <w:r w:rsidRPr="009B60F8">
                          <w:t>Up to maximum label rate</w:t>
                        </w:r>
                      </w:p>
                    </w:tc>
                    <w:tc>
                      <w:tcPr>
                        <w:tcW w:w="7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B99D80" w14:textId="77777777" w:rsidR="00AD0A95" w:rsidRPr="009B60F8" w:rsidRDefault="00AD0A95" w:rsidP="009B60F8">
                        <w:pPr>
                          <w:pStyle w:val="APVMATableText"/>
                        </w:pPr>
                        <w:r w:rsidRPr="009B60F8">
                          <w:t>0.5 m or lower</w:t>
                        </w:r>
                      </w:p>
                    </w:tc>
                    <w:tc>
                      <w:tcPr>
                        <w:tcW w:w="6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DC043B" w14:textId="77777777" w:rsidR="00AD0A95" w:rsidRPr="009B60F8" w:rsidRDefault="00AD0A95" w:rsidP="009B60F8">
                        <w:pPr>
                          <w:pStyle w:val="APVMATableText"/>
                        </w:pPr>
                        <w:r w:rsidRPr="009B60F8">
                          <w:t>[ZBB] m</w:t>
                        </w: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9AFEE9" w14:textId="77777777" w:rsidR="00AD0A95" w:rsidRPr="009B60F8" w:rsidRDefault="00AD0A95" w:rsidP="009B60F8">
                        <w:pPr>
                          <w:pStyle w:val="APVMATableText"/>
                        </w:pPr>
                        <w:r w:rsidRPr="009B60F8">
                          <w:t>[ZCC] m</w:t>
                        </w:r>
                      </w:p>
                    </w:tc>
                    <w:tc>
                      <w:tcPr>
                        <w:tcW w:w="6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320252" w14:textId="77777777" w:rsidR="00AD0A95" w:rsidRPr="009B60F8" w:rsidRDefault="00AD0A95" w:rsidP="009B60F8">
                        <w:pPr>
                          <w:pStyle w:val="APVMATableText"/>
                        </w:pPr>
                        <w:r w:rsidRPr="009B60F8">
                          <w:t>[ZDD] m</w:t>
                        </w:r>
                      </w:p>
                    </w:tc>
                    <w:tc>
                      <w:tcPr>
                        <w:tcW w:w="6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8FB6D0" w14:textId="77777777" w:rsidR="00AD0A95" w:rsidRPr="009B60F8" w:rsidRDefault="00AD0A95" w:rsidP="009B60F8">
                        <w:pPr>
                          <w:pStyle w:val="APVMATableText"/>
                        </w:pPr>
                        <w:r w:rsidRPr="009B60F8">
                          <w:t>[ZEE] m</w:t>
                        </w:r>
                      </w:p>
                    </w:tc>
                    <w:tc>
                      <w:tcPr>
                        <w:tcW w:w="7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653E26" w14:textId="77777777" w:rsidR="00AD0A95" w:rsidRPr="009B60F8" w:rsidRDefault="00AD0A95" w:rsidP="009B60F8">
                        <w:pPr>
                          <w:pStyle w:val="APVMATableText"/>
                        </w:pPr>
                        <w:r w:rsidRPr="009B60F8">
                          <w:t>[ZFF] m</w:t>
                        </w:r>
                      </w:p>
                    </w:tc>
                  </w:tr>
                  <w:tr w:rsidR="009B60F8" w:rsidRPr="009B60F8" w14:paraId="73C6989C" w14:textId="77777777" w:rsidTr="00CB58D6">
                    <w:tc>
                      <w:tcPr>
                        <w:tcW w:w="867" w:type="pct"/>
                        <w:vMerge/>
                        <w:tcBorders>
                          <w:top w:val="single" w:sz="8" w:space="0" w:color="auto"/>
                          <w:left w:val="single" w:sz="8" w:space="0" w:color="auto"/>
                          <w:bottom w:val="single" w:sz="8" w:space="0" w:color="auto"/>
                          <w:right w:val="single" w:sz="8" w:space="0" w:color="auto"/>
                        </w:tcBorders>
                      </w:tcPr>
                      <w:p w14:paraId="1A6B0ECA" w14:textId="77777777" w:rsidR="00AD0A95" w:rsidRPr="009B60F8" w:rsidRDefault="00AD0A95" w:rsidP="009B60F8">
                        <w:pPr>
                          <w:pStyle w:val="APVMATableText"/>
                        </w:pPr>
                      </w:p>
                    </w:tc>
                    <w:tc>
                      <w:tcPr>
                        <w:tcW w:w="7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231CDF" w14:textId="77777777" w:rsidR="00AD0A95" w:rsidRPr="009B60F8" w:rsidRDefault="00AD0A95" w:rsidP="009B60F8">
                        <w:pPr>
                          <w:pStyle w:val="APVMATableText"/>
                        </w:pPr>
                        <w:r w:rsidRPr="009B60F8">
                          <w:t>1.0 m or lower</w:t>
                        </w:r>
                      </w:p>
                    </w:tc>
                    <w:tc>
                      <w:tcPr>
                        <w:tcW w:w="6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17676A" w14:textId="77777777" w:rsidR="00AD0A95" w:rsidRPr="009B60F8" w:rsidRDefault="00AD0A95" w:rsidP="009B60F8">
                        <w:pPr>
                          <w:pStyle w:val="APVMATableText"/>
                        </w:pPr>
                        <w:r w:rsidRPr="009B60F8">
                          <w:t>[ZLL] m</w:t>
                        </w: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E6FD2A" w14:textId="77777777" w:rsidR="00AD0A95" w:rsidRPr="009B60F8" w:rsidRDefault="00AD0A95" w:rsidP="009B60F8">
                        <w:pPr>
                          <w:pStyle w:val="APVMATableText"/>
                        </w:pPr>
                        <w:r w:rsidRPr="009B60F8">
                          <w:t>[ZMM] m</w:t>
                        </w:r>
                      </w:p>
                    </w:tc>
                    <w:tc>
                      <w:tcPr>
                        <w:tcW w:w="6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8AFBD1" w14:textId="77777777" w:rsidR="00AD0A95" w:rsidRPr="009B60F8" w:rsidRDefault="00AD0A95" w:rsidP="009B60F8">
                        <w:pPr>
                          <w:pStyle w:val="APVMATableText"/>
                        </w:pPr>
                        <w:r w:rsidRPr="009B60F8">
                          <w:t>[ZNN] m</w:t>
                        </w:r>
                      </w:p>
                    </w:tc>
                    <w:tc>
                      <w:tcPr>
                        <w:tcW w:w="6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EB4650" w14:textId="77777777" w:rsidR="00AD0A95" w:rsidRPr="009B60F8" w:rsidRDefault="00AD0A95" w:rsidP="009B60F8">
                        <w:pPr>
                          <w:pStyle w:val="APVMATableText"/>
                        </w:pPr>
                        <w:r w:rsidRPr="009B60F8">
                          <w:t>[ZOO] m</w:t>
                        </w:r>
                      </w:p>
                    </w:tc>
                    <w:tc>
                      <w:tcPr>
                        <w:tcW w:w="7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F5262E" w14:textId="77777777" w:rsidR="00AD0A95" w:rsidRPr="009B60F8" w:rsidRDefault="00AD0A95" w:rsidP="009B60F8">
                        <w:pPr>
                          <w:pStyle w:val="APVMATableText"/>
                        </w:pPr>
                        <w:r w:rsidRPr="009B60F8">
                          <w:t>[ZPP] m</w:t>
                        </w:r>
                      </w:p>
                    </w:tc>
                  </w:tr>
                  <w:tr w:rsidR="009B60F8" w:rsidRPr="009B60F8" w14:paraId="020666B6" w14:textId="77777777" w:rsidTr="00CB58D6">
                    <w:trPr>
                      <w:trHeight w:val="505"/>
                    </w:trPr>
                    <w:tc>
                      <w:tcPr>
                        <w:tcW w:w="867" w:type="pct"/>
                        <w:vMerge w:val="restart"/>
                        <w:tcBorders>
                          <w:top w:val="single" w:sz="8" w:space="0" w:color="auto"/>
                          <w:left w:val="single" w:sz="8" w:space="0" w:color="auto"/>
                          <w:bottom w:val="single" w:sz="8" w:space="0" w:color="auto"/>
                          <w:right w:val="single" w:sz="8" w:space="0" w:color="auto"/>
                        </w:tcBorders>
                        <w:shd w:val="clear" w:color="auto" w:fill="B9C9D0"/>
                      </w:tcPr>
                      <w:p w14:paraId="24D99A13" w14:textId="77777777" w:rsidR="00AD0A95" w:rsidRPr="009B60F8" w:rsidRDefault="00AD0A95" w:rsidP="009B60F8">
                        <w:pPr>
                          <w:pStyle w:val="APVMATableText"/>
                        </w:pPr>
                        <w:r w:rsidRPr="009B60F8">
                          <w:t>A rate lower than the maximum label rate (if relevant for the product label)</w:t>
                        </w:r>
                      </w:p>
                    </w:tc>
                    <w:tc>
                      <w:tcPr>
                        <w:tcW w:w="765" w:type="pct"/>
                        <w:tcBorders>
                          <w:top w:val="single" w:sz="8" w:space="0" w:color="auto"/>
                          <w:left w:val="single" w:sz="8" w:space="0" w:color="auto"/>
                          <w:bottom w:val="single" w:sz="8" w:space="0" w:color="auto"/>
                          <w:right w:val="single" w:sz="8" w:space="0" w:color="auto"/>
                        </w:tcBorders>
                        <w:shd w:val="clear" w:color="auto" w:fill="B9C9D0"/>
                        <w:tcMar>
                          <w:top w:w="0" w:type="dxa"/>
                          <w:left w:w="108" w:type="dxa"/>
                          <w:bottom w:w="0" w:type="dxa"/>
                          <w:right w:w="108" w:type="dxa"/>
                        </w:tcMar>
                        <w:hideMark/>
                      </w:tcPr>
                      <w:p w14:paraId="4AF8990D" w14:textId="77777777" w:rsidR="00AD0A95" w:rsidRPr="009B60F8" w:rsidRDefault="00AD0A95" w:rsidP="009B60F8">
                        <w:pPr>
                          <w:pStyle w:val="APVMATableText"/>
                        </w:pPr>
                        <w:r w:rsidRPr="009B60F8">
                          <w:t>0.5 m or lower</w:t>
                        </w:r>
                      </w:p>
                    </w:tc>
                    <w:tc>
                      <w:tcPr>
                        <w:tcW w:w="614" w:type="pct"/>
                        <w:tcBorders>
                          <w:top w:val="single" w:sz="8" w:space="0" w:color="auto"/>
                          <w:left w:val="single" w:sz="8" w:space="0" w:color="auto"/>
                          <w:bottom w:val="single" w:sz="8" w:space="0" w:color="auto"/>
                          <w:right w:val="single" w:sz="8" w:space="0" w:color="auto"/>
                        </w:tcBorders>
                        <w:shd w:val="clear" w:color="auto" w:fill="B9C9D0"/>
                        <w:tcMar>
                          <w:top w:w="0" w:type="dxa"/>
                          <w:left w:w="108" w:type="dxa"/>
                          <w:bottom w:w="0" w:type="dxa"/>
                          <w:right w:w="108" w:type="dxa"/>
                        </w:tcMar>
                        <w:hideMark/>
                      </w:tcPr>
                      <w:p w14:paraId="3E1472DF" w14:textId="77777777" w:rsidR="00AD0A95" w:rsidRPr="009B60F8" w:rsidRDefault="00AD0A95" w:rsidP="009B60F8">
                        <w:pPr>
                          <w:pStyle w:val="APVMATableText"/>
                        </w:pPr>
                        <w:r w:rsidRPr="009B60F8">
                          <w:t>[ZGG] m</w:t>
                        </w:r>
                      </w:p>
                    </w:tc>
                    <w:tc>
                      <w:tcPr>
                        <w:tcW w:w="765" w:type="pct"/>
                        <w:tcBorders>
                          <w:top w:val="single" w:sz="8" w:space="0" w:color="auto"/>
                          <w:left w:val="single" w:sz="8" w:space="0" w:color="auto"/>
                          <w:bottom w:val="single" w:sz="8" w:space="0" w:color="auto"/>
                          <w:right w:val="single" w:sz="8" w:space="0" w:color="auto"/>
                        </w:tcBorders>
                        <w:shd w:val="clear" w:color="auto" w:fill="B9C9D0"/>
                        <w:tcMar>
                          <w:top w:w="0" w:type="dxa"/>
                          <w:left w:w="108" w:type="dxa"/>
                          <w:bottom w:w="0" w:type="dxa"/>
                          <w:right w:w="108" w:type="dxa"/>
                        </w:tcMar>
                        <w:hideMark/>
                      </w:tcPr>
                      <w:p w14:paraId="3187A51C" w14:textId="77777777" w:rsidR="00AD0A95" w:rsidRPr="009B60F8" w:rsidRDefault="00AD0A95" w:rsidP="009B60F8">
                        <w:pPr>
                          <w:pStyle w:val="APVMATableText"/>
                        </w:pPr>
                        <w:r w:rsidRPr="009B60F8">
                          <w:t>[ZHH] m</w:t>
                        </w:r>
                      </w:p>
                    </w:tc>
                    <w:tc>
                      <w:tcPr>
                        <w:tcW w:w="612" w:type="pct"/>
                        <w:tcBorders>
                          <w:top w:val="single" w:sz="8" w:space="0" w:color="auto"/>
                          <w:left w:val="single" w:sz="8" w:space="0" w:color="auto"/>
                          <w:bottom w:val="single" w:sz="8" w:space="0" w:color="auto"/>
                          <w:right w:val="single" w:sz="8" w:space="0" w:color="auto"/>
                        </w:tcBorders>
                        <w:shd w:val="clear" w:color="auto" w:fill="B9C9D0"/>
                        <w:tcMar>
                          <w:top w:w="0" w:type="dxa"/>
                          <w:left w:w="108" w:type="dxa"/>
                          <w:bottom w:w="0" w:type="dxa"/>
                          <w:right w:w="108" w:type="dxa"/>
                        </w:tcMar>
                        <w:hideMark/>
                      </w:tcPr>
                      <w:p w14:paraId="3BD603AE" w14:textId="77777777" w:rsidR="00AD0A95" w:rsidRPr="009B60F8" w:rsidRDefault="00AD0A95" w:rsidP="009B60F8">
                        <w:pPr>
                          <w:pStyle w:val="APVMATableText"/>
                        </w:pPr>
                        <w:r w:rsidRPr="009B60F8">
                          <w:t>[ZII] m</w:t>
                        </w:r>
                      </w:p>
                    </w:tc>
                    <w:tc>
                      <w:tcPr>
                        <w:tcW w:w="631" w:type="pct"/>
                        <w:tcBorders>
                          <w:top w:val="single" w:sz="8" w:space="0" w:color="auto"/>
                          <w:left w:val="single" w:sz="8" w:space="0" w:color="auto"/>
                          <w:bottom w:val="single" w:sz="8" w:space="0" w:color="auto"/>
                          <w:right w:val="single" w:sz="8" w:space="0" w:color="auto"/>
                        </w:tcBorders>
                        <w:shd w:val="clear" w:color="auto" w:fill="B9C9D0"/>
                        <w:tcMar>
                          <w:top w:w="0" w:type="dxa"/>
                          <w:left w:w="108" w:type="dxa"/>
                          <w:bottom w:w="0" w:type="dxa"/>
                          <w:right w:w="108" w:type="dxa"/>
                        </w:tcMar>
                        <w:hideMark/>
                      </w:tcPr>
                      <w:p w14:paraId="1C580241" w14:textId="77777777" w:rsidR="00AD0A95" w:rsidRPr="009B60F8" w:rsidRDefault="00AD0A95" w:rsidP="009B60F8">
                        <w:pPr>
                          <w:pStyle w:val="APVMATableText"/>
                        </w:pPr>
                        <w:r w:rsidRPr="009B60F8">
                          <w:t>[ZJJ] m</w:t>
                        </w:r>
                      </w:p>
                    </w:tc>
                    <w:tc>
                      <w:tcPr>
                        <w:tcW w:w="745" w:type="pct"/>
                        <w:tcBorders>
                          <w:top w:val="single" w:sz="8" w:space="0" w:color="auto"/>
                          <w:left w:val="single" w:sz="8" w:space="0" w:color="auto"/>
                          <w:bottom w:val="single" w:sz="8" w:space="0" w:color="auto"/>
                          <w:right w:val="single" w:sz="8" w:space="0" w:color="auto"/>
                        </w:tcBorders>
                        <w:shd w:val="clear" w:color="auto" w:fill="B9C9D0"/>
                        <w:tcMar>
                          <w:top w:w="0" w:type="dxa"/>
                          <w:left w:w="108" w:type="dxa"/>
                          <w:bottom w:w="0" w:type="dxa"/>
                          <w:right w:w="108" w:type="dxa"/>
                        </w:tcMar>
                        <w:hideMark/>
                      </w:tcPr>
                      <w:p w14:paraId="775B3B7F" w14:textId="77777777" w:rsidR="00AD0A95" w:rsidRPr="009B60F8" w:rsidRDefault="00AD0A95" w:rsidP="009B60F8">
                        <w:pPr>
                          <w:pStyle w:val="APVMATableText"/>
                        </w:pPr>
                        <w:r w:rsidRPr="009B60F8">
                          <w:t>[ZKK] m</w:t>
                        </w:r>
                      </w:p>
                    </w:tc>
                  </w:tr>
                  <w:tr w:rsidR="009B60F8" w:rsidRPr="009B60F8" w14:paraId="2F7B2C80" w14:textId="77777777" w:rsidTr="00CB58D6">
                    <w:tc>
                      <w:tcPr>
                        <w:tcW w:w="867" w:type="pct"/>
                        <w:vMerge/>
                        <w:tcBorders>
                          <w:top w:val="single" w:sz="8" w:space="0" w:color="auto"/>
                          <w:left w:val="single" w:sz="8" w:space="0" w:color="auto"/>
                          <w:bottom w:val="single" w:sz="8" w:space="0" w:color="auto"/>
                          <w:right w:val="single" w:sz="8" w:space="0" w:color="auto"/>
                        </w:tcBorders>
                        <w:shd w:val="clear" w:color="auto" w:fill="B9C9D0"/>
                      </w:tcPr>
                      <w:p w14:paraId="4A9EF310" w14:textId="77777777" w:rsidR="00AD0A95" w:rsidRPr="009B60F8" w:rsidRDefault="00AD0A95" w:rsidP="009B60F8">
                        <w:pPr>
                          <w:pStyle w:val="APVMATableText"/>
                        </w:pPr>
                      </w:p>
                    </w:tc>
                    <w:tc>
                      <w:tcPr>
                        <w:tcW w:w="765" w:type="pct"/>
                        <w:tcBorders>
                          <w:top w:val="single" w:sz="8" w:space="0" w:color="auto"/>
                          <w:left w:val="single" w:sz="8" w:space="0" w:color="auto"/>
                          <w:bottom w:val="single" w:sz="8" w:space="0" w:color="auto"/>
                          <w:right w:val="single" w:sz="8" w:space="0" w:color="auto"/>
                        </w:tcBorders>
                        <w:shd w:val="clear" w:color="auto" w:fill="B9C9D0"/>
                        <w:tcMar>
                          <w:top w:w="0" w:type="dxa"/>
                          <w:left w:w="108" w:type="dxa"/>
                          <w:bottom w:w="0" w:type="dxa"/>
                          <w:right w:w="108" w:type="dxa"/>
                        </w:tcMar>
                        <w:hideMark/>
                      </w:tcPr>
                      <w:p w14:paraId="4EDF8754" w14:textId="77777777" w:rsidR="00AD0A95" w:rsidRPr="009B60F8" w:rsidRDefault="00AD0A95" w:rsidP="009B60F8">
                        <w:pPr>
                          <w:pStyle w:val="APVMATableText"/>
                        </w:pPr>
                        <w:r w:rsidRPr="009B60F8">
                          <w:t>1.0 m or lower</w:t>
                        </w:r>
                      </w:p>
                    </w:tc>
                    <w:tc>
                      <w:tcPr>
                        <w:tcW w:w="614" w:type="pct"/>
                        <w:tcBorders>
                          <w:top w:val="single" w:sz="8" w:space="0" w:color="auto"/>
                          <w:left w:val="single" w:sz="8" w:space="0" w:color="auto"/>
                          <w:bottom w:val="single" w:sz="8" w:space="0" w:color="auto"/>
                          <w:right w:val="single" w:sz="8" w:space="0" w:color="auto"/>
                        </w:tcBorders>
                        <w:shd w:val="clear" w:color="auto" w:fill="B9C9D0"/>
                        <w:tcMar>
                          <w:top w:w="0" w:type="dxa"/>
                          <w:left w:w="108" w:type="dxa"/>
                          <w:bottom w:w="0" w:type="dxa"/>
                          <w:right w:w="108" w:type="dxa"/>
                        </w:tcMar>
                        <w:hideMark/>
                      </w:tcPr>
                      <w:p w14:paraId="70577C2D" w14:textId="77777777" w:rsidR="00AD0A95" w:rsidRPr="009B60F8" w:rsidRDefault="00AD0A95" w:rsidP="009B60F8">
                        <w:pPr>
                          <w:pStyle w:val="APVMATableText"/>
                        </w:pPr>
                        <w:r w:rsidRPr="009B60F8">
                          <w:t>[ZQQ] m</w:t>
                        </w:r>
                      </w:p>
                    </w:tc>
                    <w:tc>
                      <w:tcPr>
                        <w:tcW w:w="765" w:type="pct"/>
                        <w:tcBorders>
                          <w:top w:val="single" w:sz="8" w:space="0" w:color="auto"/>
                          <w:left w:val="single" w:sz="8" w:space="0" w:color="auto"/>
                          <w:bottom w:val="single" w:sz="8" w:space="0" w:color="auto"/>
                          <w:right w:val="single" w:sz="8" w:space="0" w:color="auto"/>
                        </w:tcBorders>
                        <w:shd w:val="clear" w:color="auto" w:fill="B9C9D0"/>
                        <w:tcMar>
                          <w:top w:w="0" w:type="dxa"/>
                          <w:left w:w="108" w:type="dxa"/>
                          <w:bottom w:w="0" w:type="dxa"/>
                          <w:right w:w="108" w:type="dxa"/>
                        </w:tcMar>
                        <w:hideMark/>
                      </w:tcPr>
                      <w:p w14:paraId="6743C24E" w14:textId="77777777" w:rsidR="00AD0A95" w:rsidRPr="009B60F8" w:rsidRDefault="00AD0A95" w:rsidP="009B60F8">
                        <w:pPr>
                          <w:pStyle w:val="APVMATableText"/>
                        </w:pPr>
                        <w:r w:rsidRPr="009B60F8">
                          <w:t>[ZRR] m</w:t>
                        </w:r>
                      </w:p>
                    </w:tc>
                    <w:tc>
                      <w:tcPr>
                        <w:tcW w:w="612" w:type="pct"/>
                        <w:tcBorders>
                          <w:top w:val="single" w:sz="8" w:space="0" w:color="auto"/>
                          <w:left w:val="single" w:sz="8" w:space="0" w:color="auto"/>
                          <w:bottom w:val="single" w:sz="8" w:space="0" w:color="auto"/>
                          <w:right w:val="single" w:sz="8" w:space="0" w:color="auto"/>
                        </w:tcBorders>
                        <w:shd w:val="clear" w:color="auto" w:fill="B9C9D0"/>
                        <w:tcMar>
                          <w:top w:w="0" w:type="dxa"/>
                          <w:left w:w="108" w:type="dxa"/>
                          <w:bottom w:w="0" w:type="dxa"/>
                          <w:right w:w="108" w:type="dxa"/>
                        </w:tcMar>
                        <w:hideMark/>
                      </w:tcPr>
                      <w:p w14:paraId="2D822332" w14:textId="77777777" w:rsidR="00AD0A95" w:rsidRPr="009B60F8" w:rsidRDefault="00AD0A95" w:rsidP="009B60F8">
                        <w:pPr>
                          <w:pStyle w:val="APVMATableText"/>
                        </w:pPr>
                        <w:r w:rsidRPr="009B60F8">
                          <w:t>[ZSS] m</w:t>
                        </w:r>
                      </w:p>
                    </w:tc>
                    <w:tc>
                      <w:tcPr>
                        <w:tcW w:w="631" w:type="pct"/>
                        <w:tcBorders>
                          <w:top w:val="single" w:sz="8" w:space="0" w:color="auto"/>
                          <w:left w:val="single" w:sz="8" w:space="0" w:color="auto"/>
                          <w:bottom w:val="single" w:sz="8" w:space="0" w:color="auto"/>
                          <w:right w:val="single" w:sz="8" w:space="0" w:color="auto"/>
                        </w:tcBorders>
                        <w:shd w:val="clear" w:color="auto" w:fill="B9C9D0"/>
                        <w:tcMar>
                          <w:top w:w="0" w:type="dxa"/>
                          <w:left w:w="108" w:type="dxa"/>
                          <w:bottom w:w="0" w:type="dxa"/>
                          <w:right w:w="108" w:type="dxa"/>
                        </w:tcMar>
                        <w:hideMark/>
                      </w:tcPr>
                      <w:p w14:paraId="748D0E7A" w14:textId="77777777" w:rsidR="00AD0A95" w:rsidRPr="009B60F8" w:rsidRDefault="00AD0A95" w:rsidP="009B60F8">
                        <w:pPr>
                          <w:pStyle w:val="APVMATableText"/>
                        </w:pPr>
                        <w:r w:rsidRPr="009B60F8">
                          <w:t>[ZTT] m</w:t>
                        </w:r>
                      </w:p>
                    </w:tc>
                    <w:tc>
                      <w:tcPr>
                        <w:tcW w:w="745" w:type="pct"/>
                        <w:tcBorders>
                          <w:top w:val="single" w:sz="8" w:space="0" w:color="auto"/>
                          <w:left w:val="single" w:sz="8" w:space="0" w:color="auto"/>
                          <w:bottom w:val="single" w:sz="8" w:space="0" w:color="auto"/>
                          <w:right w:val="single" w:sz="8" w:space="0" w:color="auto"/>
                        </w:tcBorders>
                        <w:shd w:val="clear" w:color="auto" w:fill="B9C9D0"/>
                        <w:tcMar>
                          <w:top w:w="0" w:type="dxa"/>
                          <w:left w:w="108" w:type="dxa"/>
                          <w:bottom w:w="0" w:type="dxa"/>
                          <w:right w:w="108" w:type="dxa"/>
                        </w:tcMar>
                        <w:hideMark/>
                      </w:tcPr>
                      <w:p w14:paraId="62714BF0" w14:textId="77777777" w:rsidR="00AD0A95" w:rsidRPr="009B60F8" w:rsidRDefault="00AD0A95" w:rsidP="009B60F8">
                        <w:pPr>
                          <w:pStyle w:val="APVMATableText"/>
                        </w:pPr>
                        <w:r w:rsidRPr="009B60F8">
                          <w:t>[ZUU] m</w:t>
                        </w:r>
                      </w:p>
                    </w:tc>
                  </w:tr>
                </w:tbl>
                <w:p w14:paraId="2366FD13" w14:textId="77777777" w:rsidR="00AD0A95" w:rsidRPr="009B60F8" w:rsidRDefault="00AD0A95" w:rsidP="009B60F8">
                  <w:pPr>
                    <w:pStyle w:val="RGTableText"/>
                    <w:rPr>
                      <w:b/>
                    </w:rPr>
                  </w:pPr>
                </w:p>
              </w:tc>
            </w:tr>
          </w:tbl>
          <w:p w14:paraId="572610C9" w14:textId="77777777" w:rsidR="00AD0A95" w:rsidRPr="00344111" w:rsidRDefault="00AD0A95" w:rsidP="009B60F8">
            <w:pPr>
              <w:pStyle w:val="RGNormalText"/>
            </w:pPr>
          </w:p>
        </w:tc>
      </w:tr>
    </w:tbl>
    <w:p w14:paraId="559C3FEE" w14:textId="77777777" w:rsidR="00AD0A95" w:rsidRPr="00344111" w:rsidRDefault="00AD0A95" w:rsidP="00AD0A95">
      <w:pPr>
        <w:pStyle w:val="NormalText"/>
      </w:pPr>
      <w:r>
        <w:t>OR (if an assessment required any buffer zone distance to be greater than the validated distance)</w:t>
      </w:r>
    </w:p>
    <w:tbl>
      <w:tblPr>
        <w:tblW w:w="5000" w:type="pct"/>
        <w:shd w:val="clear" w:color="auto" w:fill="D5D7D5" w:themeFill="text1" w:themeFillTint="33"/>
        <w:tblLook w:val="04A0" w:firstRow="1" w:lastRow="0" w:firstColumn="1" w:lastColumn="0" w:noHBand="0" w:noVBand="1"/>
      </w:tblPr>
      <w:tblGrid>
        <w:gridCol w:w="9638"/>
      </w:tblGrid>
      <w:tr w:rsidR="00AD0A95" w14:paraId="46BF55C2" w14:textId="77777777" w:rsidTr="00CB58D6">
        <w:tc>
          <w:tcPr>
            <w:tcW w:w="5000" w:type="pct"/>
            <w:shd w:val="clear" w:color="auto" w:fill="B9C9D0"/>
          </w:tcPr>
          <w:p w14:paraId="664D839F" w14:textId="77777777" w:rsidR="00AD0A95" w:rsidRDefault="00AD0A95" w:rsidP="009B60F8">
            <w:pPr>
              <w:pStyle w:val="APVMATableText"/>
            </w:pPr>
            <w:r w:rsidRPr="00727245">
              <w:rPr>
                <w:b/>
              </w:rPr>
              <w:t>DO NOT</w:t>
            </w:r>
            <w:r w:rsidRPr="00344111">
              <w:t xml:space="preserve"> apply </w:t>
            </w:r>
            <w:r>
              <w:t>by</w:t>
            </w:r>
            <w:r w:rsidRPr="00344111">
              <w:t xml:space="preserve"> </w:t>
            </w:r>
            <w:r>
              <w:t xml:space="preserve">a </w:t>
            </w:r>
            <w:r w:rsidRPr="00344111">
              <w:t>boom sprayer</w:t>
            </w:r>
            <w:r>
              <w:t>.</w:t>
            </w:r>
          </w:p>
        </w:tc>
      </w:tr>
    </w:tbl>
    <w:p w14:paraId="3549DC01" w14:textId="77777777" w:rsidR="00AD0A95" w:rsidRPr="00344111" w:rsidRDefault="00AD0A95" w:rsidP="00AD0A95">
      <w:pPr>
        <w:pStyle w:val="NormalText"/>
      </w:pPr>
      <w:r w:rsidRPr="00344111">
        <w:t>OR</w:t>
      </w:r>
      <w:r>
        <w:t xml:space="preserve"> (if the use of boom sprayers is not supported under any circumstance)</w:t>
      </w:r>
    </w:p>
    <w:tbl>
      <w:tblPr>
        <w:tblW w:w="5000" w:type="pct"/>
        <w:shd w:val="clear" w:color="auto" w:fill="D5D7D5" w:themeFill="text1" w:themeFillTint="33"/>
        <w:tblLook w:val="04A0" w:firstRow="1" w:lastRow="0" w:firstColumn="1" w:lastColumn="0" w:noHBand="0" w:noVBand="1"/>
      </w:tblPr>
      <w:tblGrid>
        <w:gridCol w:w="9638"/>
      </w:tblGrid>
      <w:tr w:rsidR="00AD0A95" w:rsidRPr="00344111" w14:paraId="5BB3A10A" w14:textId="77777777" w:rsidTr="00CB58D6">
        <w:tc>
          <w:tcPr>
            <w:tcW w:w="5000" w:type="pct"/>
            <w:shd w:val="clear" w:color="auto" w:fill="B9C9D0"/>
          </w:tcPr>
          <w:p w14:paraId="6D89D4BF" w14:textId="77777777" w:rsidR="00AD0A95" w:rsidRPr="00344111" w:rsidRDefault="00AD0A95" w:rsidP="009B60F8">
            <w:pPr>
              <w:pStyle w:val="APVMATableText"/>
              <w:rPr>
                <w:b/>
              </w:rPr>
            </w:pPr>
            <w:r w:rsidRPr="00727245">
              <w:rPr>
                <w:b/>
              </w:rPr>
              <w:t>DO NOT</w:t>
            </w:r>
            <w:r w:rsidRPr="00344111">
              <w:t xml:space="preserve"> apply </w:t>
            </w:r>
            <w:r>
              <w:t>by a</w:t>
            </w:r>
            <w:r w:rsidRPr="00344111">
              <w:t xml:space="preserve"> boom spraye</w:t>
            </w:r>
            <w:r>
              <w:t>r</w:t>
            </w:r>
            <w:r w:rsidRPr="00344111">
              <w:t>.</w:t>
            </w:r>
          </w:p>
        </w:tc>
      </w:tr>
    </w:tbl>
    <w:p w14:paraId="58C6933D" w14:textId="51F5D66D" w:rsidR="00A76E59" w:rsidRDefault="00A47BA4" w:rsidP="002A642E">
      <w:pPr>
        <w:pStyle w:val="Heading3"/>
        <w:spacing w:after="320"/>
      </w:pPr>
      <w:bookmarkStart w:id="44" w:name="_Toc14340854"/>
      <w:r>
        <w:lastRenderedPageBreak/>
        <w:t>Vertical sprayers</w:t>
      </w:r>
      <w:bookmarkEnd w:id="44"/>
    </w:p>
    <w:tbl>
      <w:tblPr>
        <w:tblW w:w="0" w:type="auto"/>
        <w:shd w:val="clear" w:color="auto" w:fill="D5D7D5" w:themeFill="text1" w:themeFillTint="33"/>
        <w:tblLook w:val="04A0" w:firstRow="1" w:lastRow="0" w:firstColumn="1" w:lastColumn="0" w:noHBand="0" w:noVBand="1"/>
      </w:tblPr>
      <w:tblGrid>
        <w:gridCol w:w="9628"/>
      </w:tblGrid>
      <w:tr w:rsidR="00AD0A95" w:rsidRPr="00344111" w14:paraId="4B56563C" w14:textId="77777777" w:rsidTr="00AD0A95">
        <w:tc>
          <w:tcPr>
            <w:tcW w:w="9628" w:type="dxa"/>
            <w:shd w:val="clear" w:color="auto" w:fill="B9C9D0"/>
          </w:tcPr>
          <w:p w14:paraId="426BDDF3" w14:textId="77777777" w:rsidR="00AD0A95" w:rsidRPr="00344111" w:rsidRDefault="00AD0A95" w:rsidP="009B60F8">
            <w:pPr>
              <w:pStyle w:val="APVMATableText"/>
            </w:pPr>
            <w:r w:rsidRPr="004E6648">
              <w:rPr>
                <w:b/>
              </w:rPr>
              <w:t>DO NOT</w:t>
            </w:r>
            <w:r w:rsidRPr="00344111">
              <w:t xml:space="preserve"> apply </w:t>
            </w:r>
            <w:r>
              <w:t>by</w:t>
            </w:r>
            <w:r w:rsidRPr="00344111">
              <w:t xml:space="preserve"> </w:t>
            </w:r>
            <w:r>
              <w:t xml:space="preserve">a </w:t>
            </w:r>
            <w:r w:rsidRPr="00344111">
              <w:t xml:space="preserve">vertical </w:t>
            </w:r>
            <w:r>
              <w:t>sprayer</w:t>
            </w:r>
            <w:r w:rsidRPr="00344111">
              <w:t xml:space="preserve"> u</w:t>
            </w:r>
            <w:r>
              <w:t xml:space="preserve">nless the following requirements </w:t>
            </w:r>
            <w:r w:rsidRPr="00344111">
              <w:t xml:space="preserve">are </w:t>
            </w:r>
            <w:r>
              <w:t>met:</w:t>
            </w:r>
          </w:p>
          <w:p w14:paraId="3F2E87B9" w14:textId="77777777" w:rsidR="00AD0A95" w:rsidRPr="008A6B0A" w:rsidRDefault="00AD0A95" w:rsidP="009B60F8">
            <w:pPr>
              <w:pStyle w:val="APVMATableBullet"/>
              <w:rPr>
                <w:color w:val="auto"/>
              </w:rPr>
            </w:pPr>
            <w:r w:rsidRPr="008A6B0A">
              <w:rPr>
                <w:color w:val="auto"/>
              </w:rPr>
              <w:t>spray is not directed above the target canopy</w:t>
            </w:r>
          </w:p>
          <w:p w14:paraId="771992E1" w14:textId="77777777" w:rsidR="00AD0A95" w:rsidRPr="008A6B0A" w:rsidRDefault="00AD0A95" w:rsidP="009B60F8">
            <w:pPr>
              <w:pStyle w:val="APVMATableBullet"/>
              <w:rPr>
                <w:color w:val="auto"/>
              </w:rPr>
            </w:pPr>
            <w:r w:rsidRPr="008A6B0A">
              <w:rPr>
                <w:color w:val="auto"/>
              </w:rPr>
              <w:t>the outside of the sprayer is turned off when turning at the end of rows and when spraying the outer row on each side of the application site</w:t>
            </w:r>
          </w:p>
          <w:p w14:paraId="2B24B74D" w14:textId="77777777" w:rsidR="00AD0A95" w:rsidRPr="008A6B0A" w:rsidRDefault="00AD0A95" w:rsidP="009B60F8">
            <w:pPr>
              <w:pStyle w:val="APVMATableBullet"/>
              <w:rPr>
                <w:color w:val="auto"/>
              </w:rPr>
            </w:pPr>
            <w:r w:rsidRPr="008A6B0A">
              <w:rPr>
                <w:color w:val="auto"/>
              </w:rPr>
              <w:t>for dilute water rates up to the maximum listed for each type of canopy specified, minimum distances between the application site and downwind sensitive areas (see ‘Mandatory buffer zones’ section of the following table titled ‘Buffer zones for vertical sprayers’) are observed.</w:t>
            </w:r>
          </w:p>
          <w:tbl>
            <w:tblPr>
              <w:tblW w:w="5000" w:type="pct"/>
              <w:tblLook w:val="04A0" w:firstRow="1" w:lastRow="0" w:firstColumn="1" w:lastColumn="0" w:noHBand="0" w:noVBand="1"/>
            </w:tblPr>
            <w:tblGrid>
              <w:gridCol w:w="1729"/>
              <w:gridCol w:w="1519"/>
              <w:gridCol w:w="1519"/>
              <w:gridCol w:w="1521"/>
              <w:gridCol w:w="1562"/>
              <w:gridCol w:w="1562"/>
            </w:tblGrid>
            <w:tr w:rsidR="00AD0A95" w:rsidRPr="00A7675A" w14:paraId="15A2E37F" w14:textId="77777777" w:rsidTr="00CB58D6">
              <w:tc>
                <w:tcPr>
                  <w:tcW w:w="5000" w:type="pct"/>
                  <w:gridSpan w:val="6"/>
                  <w:tcBorders>
                    <w:bottom w:val="single" w:sz="4" w:space="0" w:color="auto"/>
                  </w:tcBorders>
                </w:tcPr>
                <w:p w14:paraId="3A98DEAA" w14:textId="77777777" w:rsidR="00AD0A95" w:rsidRPr="00925A96" w:rsidRDefault="00AD0A95" w:rsidP="009B60F8">
                  <w:pPr>
                    <w:pStyle w:val="RGTableText"/>
                    <w:rPr>
                      <w:b/>
                    </w:rPr>
                  </w:pPr>
                  <w:r>
                    <w:rPr>
                      <w:b/>
                    </w:rPr>
                    <w:t>Buffer</w:t>
                  </w:r>
                  <w:r w:rsidRPr="00925A96">
                    <w:rPr>
                      <w:b/>
                    </w:rPr>
                    <w:t xml:space="preserve"> zones for </w:t>
                  </w:r>
                  <w:r>
                    <w:rPr>
                      <w:b/>
                    </w:rPr>
                    <w:t>vertical sprayers</w:t>
                  </w:r>
                </w:p>
              </w:tc>
            </w:tr>
            <w:tr w:rsidR="00AD0A95" w14:paraId="111675C2" w14:textId="77777777" w:rsidTr="009B60F8">
              <w:tc>
                <w:tcPr>
                  <w:tcW w:w="918" w:type="pct"/>
                  <w:vMerge w:val="restart"/>
                  <w:tcBorders>
                    <w:top w:val="single" w:sz="4" w:space="0" w:color="auto"/>
                    <w:left w:val="single" w:sz="4" w:space="0" w:color="auto"/>
                    <w:bottom w:val="single" w:sz="4" w:space="0" w:color="auto"/>
                    <w:right w:val="single" w:sz="4" w:space="0" w:color="auto"/>
                  </w:tcBorders>
                  <w:vAlign w:val="center"/>
                </w:tcPr>
                <w:p w14:paraId="24FE3A68" w14:textId="77777777" w:rsidR="00AD0A95" w:rsidRPr="000423A4" w:rsidRDefault="00AD0A95" w:rsidP="009B60F8">
                  <w:pPr>
                    <w:pStyle w:val="RGTableText"/>
                  </w:pPr>
                  <w:r w:rsidRPr="000423A4">
                    <w:t>Type of target canopy and dilute water rate</w:t>
                  </w:r>
                </w:p>
              </w:tc>
              <w:tc>
                <w:tcPr>
                  <w:tcW w:w="4082" w:type="pct"/>
                  <w:gridSpan w:val="5"/>
                  <w:tcBorders>
                    <w:top w:val="single" w:sz="4" w:space="0" w:color="auto"/>
                    <w:left w:val="single" w:sz="4" w:space="0" w:color="auto"/>
                    <w:bottom w:val="single" w:sz="4" w:space="0" w:color="auto"/>
                    <w:right w:val="single" w:sz="4" w:space="0" w:color="auto"/>
                  </w:tcBorders>
                  <w:vAlign w:val="center"/>
                </w:tcPr>
                <w:p w14:paraId="2D8637C6" w14:textId="645C8EFB" w:rsidR="00AD0A95" w:rsidRPr="000423A4" w:rsidRDefault="00AD0A95" w:rsidP="009B60F8">
                  <w:pPr>
                    <w:pStyle w:val="RGTableText"/>
                  </w:pPr>
                  <w:r w:rsidRPr="000423A4">
                    <w:t xml:space="preserve">Mandatory </w:t>
                  </w:r>
                  <w:r>
                    <w:t xml:space="preserve">downwind </w:t>
                  </w:r>
                  <w:r w:rsidRPr="000423A4">
                    <w:t>buffer zones</w:t>
                  </w:r>
                </w:p>
              </w:tc>
            </w:tr>
            <w:tr w:rsidR="00AD0A95" w14:paraId="0B518D13" w14:textId="77777777" w:rsidTr="009B60F8">
              <w:tc>
                <w:tcPr>
                  <w:tcW w:w="918" w:type="pct"/>
                  <w:vMerge/>
                  <w:tcBorders>
                    <w:top w:val="single" w:sz="4" w:space="0" w:color="auto"/>
                    <w:left w:val="single" w:sz="4" w:space="0" w:color="auto"/>
                    <w:bottom w:val="single" w:sz="4" w:space="0" w:color="auto"/>
                    <w:right w:val="single" w:sz="4" w:space="0" w:color="auto"/>
                  </w:tcBorders>
                  <w:vAlign w:val="center"/>
                </w:tcPr>
                <w:p w14:paraId="25B04A40" w14:textId="77777777" w:rsidR="00AD0A95" w:rsidRPr="000423A4" w:rsidRDefault="00AD0A95" w:rsidP="009B60F8">
                  <w:pPr>
                    <w:pStyle w:val="RGTableText"/>
                  </w:pPr>
                </w:p>
              </w:tc>
              <w:tc>
                <w:tcPr>
                  <w:tcW w:w="807" w:type="pct"/>
                  <w:tcBorders>
                    <w:top w:val="single" w:sz="4" w:space="0" w:color="auto"/>
                    <w:left w:val="single" w:sz="4" w:space="0" w:color="auto"/>
                    <w:bottom w:val="single" w:sz="4" w:space="0" w:color="auto"/>
                    <w:right w:val="single" w:sz="4" w:space="0" w:color="auto"/>
                  </w:tcBorders>
                  <w:vAlign w:val="center"/>
                </w:tcPr>
                <w:p w14:paraId="771D4A9E" w14:textId="77777777" w:rsidR="00AD0A95" w:rsidRPr="000423A4" w:rsidRDefault="00AD0A95" w:rsidP="009B60F8">
                  <w:pPr>
                    <w:pStyle w:val="RGTableText"/>
                  </w:pPr>
                  <w:r w:rsidRPr="000423A4">
                    <w:t>Bystander areas</w:t>
                  </w:r>
                </w:p>
              </w:tc>
              <w:tc>
                <w:tcPr>
                  <w:tcW w:w="807" w:type="pct"/>
                  <w:tcBorders>
                    <w:top w:val="single" w:sz="4" w:space="0" w:color="auto"/>
                    <w:left w:val="single" w:sz="4" w:space="0" w:color="auto"/>
                    <w:bottom w:val="single" w:sz="4" w:space="0" w:color="auto"/>
                    <w:right w:val="single" w:sz="4" w:space="0" w:color="auto"/>
                  </w:tcBorders>
                  <w:vAlign w:val="center"/>
                </w:tcPr>
                <w:p w14:paraId="39C499A4" w14:textId="77777777" w:rsidR="00AD0A95" w:rsidRPr="000423A4" w:rsidRDefault="00AD0A95" w:rsidP="009B60F8">
                  <w:pPr>
                    <w:pStyle w:val="RGTableText"/>
                  </w:pPr>
                  <w:r w:rsidRPr="000423A4">
                    <w:t>Natural aquatic areas</w:t>
                  </w:r>
                </w:p>
              </w:tc>
              <w:tc>
                <w:tcPr>
                  <w:tcW w:w="808" w:type="pct"/>
                  <w:tcBorders>
                    <w:top w:val="single" w:sz="4" w:space="0" w:color="auto"/>
                    <w:left w:val="single" w:sz="4" w:space="0" w:color="auto"/>
                    <w:bottom w:val="single" w:sz="4" w:space="0" w:color="auto"/>
                    <w:right w:val="single" w:sz="4" w:space="0" w:color="auto"/>
                  </w:tcBorders>
                  <w:vAlign w:val="center"/>
                </w:tcPr>
                <w:p w14:paraId="4647075D" w14:textId="77777777" w:rsidR="00AD0A95" w:rsidRPr="000423A4" w:rsidRDefault="00AD0A95" w:rsidP="009B60F8">
                  <w:pPr>
                    <w:pStyle w:val="RGTableText"/>
                  </w:pPr>
                  <w:r w:rsidRPr="000423A4">
                    <w:t>Pollinator areas</w:t>
                  </w:r>
                </w:p>
              </w:tc>
              <w:tc>
                <w:tcPr>
                  <w:tcW w:w="830" w:type="pct"/>
                  <w:tcBorders>
                    <w:top w:val="single" w:sz="4" w:space="0" w:color="auto"/>
                    <w:left w:val="single" w:sz="4" w:space="0" w:color="auto"/>
                    <w:bottom w:val="single" w:sz="4" w:space="0" w:color="auto"/>
                    <w:right w:val="single" w:sz="4" w:space="0" w:color="auto"/>
                  </w:tcBorders>
                  <w:vAlign w:val="center"/>
                </w:tcPr>
                <w:p w14:paraId="2DF24C02" w14:textId="77777777" w:rsidR="00AD0A95" w:rsidRPr="000423A4" w:rsidRDefault="00AD0A95" w:rsidP="009B60F8">
                  <w:pPr>
                    <w:pStyle w:val="RGTableText"/>
                  </w:pPr>
                  <w:r w:rsidRPr="000423A4">
                    <w:t>Vegetation areas</w:t>
                  </w:r>
                </w:p>
              </w:tc>
              <w:tc>
                <w:tcPr>
                  <w:tcW w:w="830" w:type="pct"/>
                  <w:tcBorders>
                    <w:top w:val="single" w:sz="4" w:space="0" w:color="auto"/>
                    <w:left w:val="single" w:sz="4" w:space="0" w:color="auto"/>
                    <w:bottom w:val="single" w:sz="4" w:space="0" w:color="auto"/>
                    <w:right w:val="single" w:sz="4" w:space="0" w:color="auto"/>
                  </w:tcBorders>
                  <w:vAlign w:val="center"/>
                </w:tcPr>
                <w:p w14:paraId="435ABEAB" w14:textId="77777777" w:rsidR="00AD0A95" w:rsidRPr="000423A4" w:rsidRDefault="00AD0A95" w:rsidP="009B60F8">
                  <w:pPr>
                    <w:pStyle w:val="RGTableText"/>
                  </w:pPr>
                  <w:r w:rsidRPr="000423A4">
                    <w:t>Livestock areas</w:t>
                  </w:r>
                </w:p>
              </w:tc>
            </w:tr>
            <w:tr w:rsidR="00AD0A95" w14:paraId="7B609FE8" w14:textId="77777777" w:rsidTr="009B60F8">
              <w:tc>
                <w:tcPr>
                  <w:tcW w:w="918" w:type="pct"/>
                  <w:tcBorders>
                    <w:top w:val="single" w:sz="4" w:space="0" w:color="auto"/>
                    <w:left w:val="single" w:sz="4" w:space="0" w:color="auto"/>
                    <w:bottom w:val="single" w:sz="4" w:space="0" w:color="auto"/>
                    <w:right w:val="single" w:sz="4" w:space="0" w:color="auto"/>
                  </w:tcBorders>
                  <w:vAlign w:val="center"/>
                </w:tcPr>
                <w:p w14:paraId="529DDB68" w14:textId="77777777" w:rsidR="00AD0A95" w:rsidRPr="000423A4" w:rsidRDefault="00AD0A95" w:rsidP="009B60F8">
                  <w:pPr>
                    <w:pStyle w:val="RGTableText"/>
                  </w:pPr>
                  <w:r w:rsidRPr="000423A4">
                    <w:t>2 metres tall and shorter, maximum dilute water rate of [YPP] L/ha</w:t>
                  </w:r>
                </w:p>
              </w:tc>
              <w:tc>
                <w:tcPr>
                  <w:tcW w:w="807" w:type="pct"/>
                  <w:tcBorders>
                    <w:top w:val="single" w:sz="4" w:space="0" w:color="auto"/>
                    <w:left w:val="single" w:sz="4" w:space="0" w:color="auto"/>
                    <w:bottom w:val="single" w:sz="4" w:space="0" w:color="auto"/>
                    <w:right w:val="single" w:sz="4" w:space="0" w:color="auto"/>
                  </w:tcBorders>
                  <w:vAlign w:val="center"/>
                </w:tcPr>
                <w:p w14:paraId="0CF705E4" w14:textId="77777777" w:rsidR="00AD0A95" w:rsidRPr="000423A4" w:rsidRDefault="00AD0A95" w:rsidP="009B60F8">
                  <w:pPr>
                    <w:pStyle w:val="RGTableText"/>
                  </w:pPr>
                  <w:r w:rsidRPr="000423A4">
                    <w:t>[YAA] m</w:t>
                  </w:r>
                </w:p>
              </w:tc>
              <w:tc>
                <w:tcPr>
                  <w:tcW w:w="807" w:type="pct"/>
                  <w:tcBorders>
                    <w:top w:val="single" w:sz="4" w:space="0" w:color="auto"/>
                    <w:left w:val="single" w:sz="4" w:space="0" w:color="auto"/>
                    <w:bottom w:val="single" w:sz="4" w:space="0" w:color="auto"/>
                    <w:right w:val="single" w:sz="4" w:space="0" w:color="auto"/>
                  </w:tcBorders>
                  <w:vAlign w:val="center"/>
                </w:tcPr>
                <w:p w14:paraId="7BA9BEE3" w14:textId="77777777" w:rsidR="00AD0A95" w:rsidRPr="000423A4" w:rsidRDefault="00AD0A95" w:rsidP="009B60F8">
                  <w:pPr>
                    <w:pStyle w:val="RGTableText"/>
                  </w:pPr>
                  <w:r w:rsidRPr="000423A4">
                    <w:t>[YBB] m</w:t>
                  </w:r>
                </w:p>
              </w:tc>
              <w:tc>
                <w:tcPr>
                  <w:tcW w:w="808" w:type="pct"/>
                  <w:tcBorders>
                    <w:top w:val="single" w:sz="4" w:space="0" w:color="auto"/>
                    <w:left w:val="single" w:sz="4" w:space="0" w:color="auto"/>
                    <w:bottom w:val="single" w:sz="4" w:space="0" w:color="auto"/>
                    <w:right w:val="single" w:sz="4" w:space="0" w:color="auto"/>
                  </w:tcBorders>
                  <w:vAlign w:val="center"/>
                </w:tcPr>
                <w:p w14:paraId="3A0CFA1C" w14:textId="77777777" w:rsidR="00AD0A95" w:rsidRPr="000423A4" w:rsidRDefault="00AD0A95" w:rsidP="009B60F8">
                  <w:pPr>
                    <w:pStyle w:val="RGTableText"/>
                  </w:pPr>
                  <w:r w:rsidRPr="000423A4">
                    <w:t>[YCC] m</w:t>
                  </w:r>
                </w:p>
              </w:tc>
              <w:tc>
                <w:tcPr>
                  <w:tcW w:w="830" w:type="pct"/>
                  <w:tcBorders>
                    <w:top w:val="single" w:sz="4" w:space="0" w:color="auto"/>
                    <w:left w:val="single" w:sz="4" w:space="0" w:color="auto"/>
                    <w:bottom w:val="single" w:sz="4" w:space="0" w:color="auto"/>
                    <w:right w:val="single" w:sz="4" w:space="0" w:color="auto"/>
                  </w:tcBorders>
                  <w:vAlign w:val="center"/>
                </w:tcPr>
                <w:p w14:paraId="1EE3D087" w14:textId="77777777" w:rsidR="00AD0A95" w:rsidRPr="000423A4" w:rsidRDefault="00AD0A95" w:rsidP="009B60F8">
                  <w:pPr>
                    <w:pStyle w:val="RGTableText"/>
                  </w:pPr>
                  <w:r w:rsidRPr="000423A4">
                    <w:t>[YDD] m</w:t>
                  </w:r>
                </w:p>
              </w:tc>
              <w:tc>
                <w:tcPr>
                  <w:tcW w:w="830" w:type="pct"/>
                  <w:tcBorders>
                    <w:top w:val="single" w:sz="4" w:space="0" w:color="auto"/>
                    <w:left w:val="single" w:sz="4" w:space="0" w:color="auto"/>
                    <w:bottom w:val="single" w:sz="4" w:space="0" w:color="auto"/>
                    <w:right w:val="single" w:sz="4" w:space="0" w:color="auto"/>
                  </w:tcBorders>
                  <w:vAlign w:val="center"/>
                </w:tcPr>
                <w:p w14:paraId="24C3820B" w14:textId="77777777" w:rsidR="00AD0A95" w:rsidRPr="000423A4" w:rsidRDefault="00AD0A95" w:rsidP="009B60F8">
                  <w:pPr>
                    <w:pStyle w:val="RGTableText"/>
                  </w:pPr>
                  <w:r w:rsidRPr="000423A4">
                    <w:t>[YEE] m</w:t>
                  </w:r>
                </w:p>
              </w:tc>
            </w:tr>
            <w:tr w:rsidR="00AD0A95" w14:paraId="1008BE92" w14:textId="77777777" w:rsidTr="009B60F8">
              <w:tc>
                <w:tcPr>
                  <w:tcW w:w="918" w:type="pct"/>
                  <w:tcBorders>
                    <w:top w:val="single" w:sz="4" w:space="0" w:color="auto"/>
                    <w:left w:val="single" w:sz="4" w:space="0" w:color="auto"/>
                    <w:bottom w:val="single" w:sz="4" w:space="0" w:color="auto"/>
                    <w:right w:val="single" w:sz="4" w:space="0" w:color="auto"/>
                  </w:tcBorders>
                  <w:vAlign w:val="center"/>
                </w:tcPr>
                <w:p w14:paraId="44E38529" w14:textId="77777777" w:rsidR="00AD0A95" w:rsidRPr="000423A4" w:rsidRDefault="00AD0A95" w:rsidP="009B60F8">
                  <w:pPr>
                    <w:pStyle w:val="RGTableText"/>
                  </w:pPr>
                  <w:r w:rsidRPr="000423A4">
                    <w:t>taller than 2 metres (not fully-foliated), maximum dilute water rate of [YQQ] L/ha</w:t>
                  </w:r>
                </w:p>
              </w:tc>
              <w:tc>
                <w:tcPr>
                  <w:tcW w:w="807" w:type="pct"/>
                  <w:tcBorders>
                    <w:top w:val="single" w:sz="4" w:space="0" w:color="auto"/>
                    <w:left w:val="single" w:sz="4" w:space="0" w:color="auto"/>
                    <w:bottom w:val="single" w:sz="4" w:space="0" w:color="auto"/>
                    <w:right w:val="single" w:sz="4" w:space="0" w:color="auto"/>
                  </w:tcBorders>
                  <w:vAlign w:val="center"/>
                </w:tcPr>
                <w:p w14:paraId="677855BA" w14:textId="77777777" w:rsidR="00AD0A95" w:rsidRPr="000423A4" w:rsidRDefault="00AD0A95" w:rsidP="009B60F8">
                  <w:pPr>
                    <w:pStyle w:val="RGTableText"/>
                  </w:pPr>
                  <w:r w:rsidRPr="000423A4">
                    <w:t>[YFF] m</w:t>
                  </w:r>
                </w:p>
              </w:tc>
              <w:tc>
                <w:tcPr>
                  <w:tcW w:w="807" w:type="pct"/>
                  <w:tcBorders>
                    <w:top w:val="single" w:sz="4" w:space="0" w:color="auto"/>
                    <w:left w:val="single" w:sz="4" w:space="0" w:color="auto"/>
                    <w:bottom w:val="single" w:sz="4" w:space="0" w:color="auto"/>
                    <w:right w:val="single" w:sz="4" w:space="0" w:color="auto"/>
                  </w:tcBorders>
                  <w:vAlign w:val="center"/>
                </w:tcPr>
                <w:p w14:paraId="0E7DA6A0" w14:textId="77777777" w:rsidR="00AD0A95" w:rsidRPr="000423A4" w:rsidRDefault="00AD0A95" w:rsidP="009B60F8">
                  <w:pPr>
                    <w:pStyle w:val="RGTableText"/>
                  </w:pPr>
                  <w:r w:rsidRPr="000423A4">
                    <w:t>[YGG] m</w:t>
                  </w:r>
                </w:p>
              </w:tc>
              <w:tc>
                <w:tcPr>
                  <w:tcW w:w="808" w:type="pct"/>
                  <w:tcBorders>
                    <w:top w:val="single" w:sz="4" w:space="0" w:color="auto"/>
                    <w:left w:val="single" w:sz="4" w:space="0" w:color="auto"/>
                    <w:bottom w:val="single" w:sz="4" w:space="0" w:color="auto"/>
                    <w:right w:val="single" w:sz="4" w:space="0" w:color="auto"/>
                  </w:tcBorders>
                  <w:vAlign w:val="center"/>
                </w:tcPr>
                <w:p w14:paraId="056E0ABD" w14:textId="77777777" w:rsidR="00AD0A95" w:rsidRPr="000423A4" w:rsidRDefault="00AD0A95" w:rsidP="009B60F8">
                  <w:pPr>
                    <w:pStyle w:val="RGTableText"/>
                  </w:pPr>
                  <w:r w:rsidRPr="000423A4">
                    <w:t>[YHH] m</w:t>
                  </w:r>
                </w:p>
              </w:tc>
              <w:tc>
                <w:tcPr>
                  <w:tcW w:w="830" w:type="pct"/>
                  <w:tcBorders>
                    <w:top w:val="single" w:sz="4" w:space="0" w:color="auto"/>
                    <w:left w:val="single" w:sz="4" w:space="0" w:color="auto"/>
                    <w:bottom w:val="single" w:sz="4" w:space="0" w:color="auto"/>
                    <w:right w:val="single" w:sz="4" w:space="0" w:color="auto"/>
                  </w:tcBorders>
                  <w:vAlign w:val="center"/>
                </w:tcPr>
                <w:p w14:paraId="699EBA7E" w14:textId="77777777" w:rsidR="00AD0A95" w:rsidRPr="000423A4" w:rsidRDefault="00AD0A95" w:rsidP="009B60F8">
                  <w:pPr>
                    <w:pStyle w:val="RGTableText"/>
                  </w:pPr>
                  <w:r w:rsidRPr="000423A4">
                    <w:t>[YII] m</w:t>
                  </w:r>
                </w:p>
              </w:tc>
              <w:tc>
                <w:tcPr>
                  <w:tcW w:w="830" w:type="pct"/>
                  <w:tcBorders>
                    <w:top w:val="single" w:sz="4" w:space="0" w:color="auto"/>
                    <w:left w:val="single" w:sz="4" w:space="0" w:color="auto"/>
                    <w:bottom w:val="single" w:sz="4" w:space="0" w:color="auto"/>
                    <w:right w:val="single" w:sz="4" w:space="0" w:color="auto"/>
                  </w:tcBorders>
                  <w:vAlign w:val="center"/>
                </w:tcPr>
                <w:p w14:paraId="096558B5" w14:textId="77777777" w:rsidR="00AD0A95" w:rsidRPr="000423A4" w:rsidRDefault="00AD0A95" w:rsidP="009B60F8">
                  <w:pPr>
                    <w:pStyle w:val="RGTableText"/>
                  </w:pPr>
                  <w:r w:rsidRPr="000423A4">
                    <w:t>[YJJ] m</w:t>
                  </w:r>
                </w:p>
              </w:tc>
            </w:tr>
            <w:tr w:rsidR="00AD0A95" w14:paraId="6489C62F" w14:textId="77777777" w:rsidTr="009B60F8">
              <w:tc>
                <w:tcPr>
                  <w:tcW w:w="918" w:type="pct"/>
                  <w:tcBorders>
                    <w:top w:val="single" w:sz="4" w:space="0" w:color="auto"/>
                    <w:left w:val="single" w:sz="4" w:space="0" w:color="auto"/>
                    <w:bottom w:val="single" w:sz="4" w:space="0" w:color="auto"/>
                    <w:right w:val="single" w:sz="4" w:space="0" w:color="auto"/>
                  </w:tcBorders>
                  <w:vAlign w:val="center"/>
                </w:tcPr>
                <w:p w14:paraId="3A839DF6" w14:textId="77777777" w:rsidR="00AD0A95" w:rsidRPr="000423A4" w:rsidRDefault="00AD0A95" w:rsidP="009B60F8">
                  <w:pPr>
                    <w:pStyle w:val="RGTableText"/>
                  </w:pPr>
                  <w:r w:rsidRPr="000423A4">
                    <w:t>taller than 2 metres (fully-foliated), maximum dilute water rate of [YRR] L/ha</w:t>
                  </w:r>
                </w:p>
              </w:tc>
              <w:tc>
                <w:tcPr>
                  <w:tcW w:w="807" w:type="pct"/>
                  <w:tcBorders>
                    <w:top w:val="single" w:sz="4" w:space="0" w:color="auto"/>
                    <w:left w:val="single" w:sz="4" w:space="0" w:color="auto"/>
                    <w:bottom w:val="single" w:sz="4" w:space="0" w:color="auto"/>
                    <w:right w:val="single" w:sz="4" w:space="0" w:color="auto"/>
                  </w:tcBorders>
                  <w:vAlign w:val="center"/>
                </w:tcPr>
                <w:p w14:paraId="664FC5AD" w14:textId="77777777" w:rsidR="00AD0A95" w:rsidRPr="000423A4" w:rsidRDefault="00AD0A95" w:rsidP="009B60F8">
                  <w:pPr>
                    <w:pStyle w:val="RGTableText"/>
                  </w:pPr>
                  <w:r w:rsidRPr="000423A4">
                    <w:t>[YKK] m</w:t>
                  </w:r>
                </w:p>
              </w:tc>
              <w:tc>
                <w:tcPr>
                  <w:tcW w:w="807" w:type="pct"/>
                  <w:tcBorders>
                    <w:top w:val="single" w:sz="4" w:space="0" w:color="auto"/>
                    <w:left w:val="single" w:sz="4" w:space="0" w:color="auto"/>
                    <w:bottom w:val="single" w:sz="4" w:space="0" w:color="auto"/>
                    <w:right w:val="single" w:sz="4" w:space="0" w:color="auto"/>
                  </w:tcBorders>
                  <w:vAlign w:val="center"/>
                </w:tcPr>
                <w:p w14:paraId="1D5F597D" w14:textId="77777777" w:rsidR="00AD0A95" w:rsidRPr="000423A4" w:rsidRDefault="00AD0A95" w:rsidP="009B60F8">
                  <w:pPr>
                    <w:pStyle w:val="RGTableText"/>
                  </w:pPr>
                  <w:r w:rsidRPr="000423A4">
                    <w:t>[YLL] m</w:t>
                  </w:r>
                </w:p>
              </w:tc>
              <w:tc>
                <w:tcPr>
                  <w:tcW w:w="808" w:type="pct"/>
                  <w:tcBorders>
                    <w:top w:val="single" w:sz="4" w:space="0" w:color="auto"/>
                    <w:left w:val="single" w:sz="4" w:space="0" w:color="auto"/>
                    <w:bottom w:val="single" w:sz="4" w:space="0" w:color="auto"/>
                    <w:right w:val="single" w:sz="4" w:space="0" w:color="auto"/>
                  </w:tcBorders>
                  <w:vAlign w:val="center"/>
                </w:tcPr>
                <w:p w14:paraId="6DF8C981" w14:textId="77777777" w:rsidR="00AD0A95" w:rsidRPr="000423A4" w:rsidRDefault="00AD0A95" w:rsidP="009B60F8">
                  <w:pPr>
                    <w:pStyle w:val="RGTableText"/>
                  </w:pPr>
                  <w:r w:rsidRPr="000423A4">
                    <w:t>[YMM] m</w:t>
                  </w:r>
                </w:p>
              </w:tc>
              <w:tc>
                <w:tcPr>
                  <w:tcW w:w="830" w:type="pct"/>
                  <w:tcBorders>
                    <w:top w:val="single" w:sz="4" w:space="0" w:color="auto"/>
                    <w:left w:val="single" w:sz="4" w:space="0" w:color="auto"/>
                    <w:bottom w:val="single" w:sz="4" w:space="0" w:color="auto"/>
                    <w:right w:val="single" w:sz="4" w:space="0" w:color="auto"/>
                  </w:tcBorders>
                  <w:vAlign w:val="center"/>
                </w:tcPr>
                <w:p w14:paraId="7C57436F" w14:textId="77777777" w:rsidR="00AD0A95" w:rsidRPr="000423A4" w:rsidRDefault="00AD0A95" w:rsidP="009B60F8">
                  <w:pPr>
                    <w:pStyle w:val="RGTableText"/>
                  </w:pPr>
                  <w:r w:rsidRPr="000423A4">
                    <w:t>[YNN] m</w:t>
                  </w:r>
                </w:p>
              </w:tc>
              <w:tc>
                <w:tcPr>
                  <w:tcW w:w="830" w:type="pct"/>
                  <w:tcBorders>
                    <w:top w:val="single" w:sz="4" w:space="0" w:color="auto"/>
                    <w:left w:val="single" w:sz="4" w:space="0" w:color="auto"/>
                    <w:bottom w:val="single" w:sz="4" w:space="0" w:color="auto"/>
                    <w:right w:val="single" w:sz="4" w:space="0" w:color="auto"/>
                  </w:tcBorders>
                  <w:vAlign w:val="center"/>
                </w:tcPr>
                <w:p w14:paraId="3AC2F6FB" w14:textId="77777777" w:rsidR="00AD0A95" w:rsidRPr="000423A4" w:rsidRDefault="00AD0A95" w:rsidP="009B60F8">
                  <w:pPr>
                    <w:pStyle w:val="RGTableText"/>
                  </w:pPr>
                  <w:r w:rsidRPr="000423A4">
                    <w:t>[YOO] m</w:t>
                  </w:r>
                </w:p>
              </w:tc>
            </w:tr>
          </w:tbl>
          <w:p w14:paraId="1484F276" w14:textId="77777777" w:rsidR="00AD0A95" w:rsidRPr="00344111" w:rsidRDefault="00AD0A95" w:rsidP="009B60F8">
            <w:pPr>
              <w:pStyle w:val="RGTableText"/>
            </w:pPr>
          </w:p>
        </w:tc>
      </w:tr>
    </w:tbl>
    <w:p w14:paraId="4A370C92" w14:textId="77777777" w:rsidR="00AD0A95" w:rsidRPr="00344111" w:rsidRDefault="00AD0A95" w:rsidP="00CB58D6">
      <w:pPr>
        <w:pStyle w:val="NormalText"/>
      </w:pPr>
      <w:r>
        <w:t>OR (if an assessment required any buffer zone distance to be greater than the validated distance)</w:t>
      </w:r>
    </w:p>
    <w:tbl>
      <w:tblPr>
        <w:tblW w:w="5000" w:type="pct"/>
        <w:shd w:val="clear" w:color="auto" w:fill="D5D7D5" w:themeFill="text1" w:themeFillTint="33"/>
        <w:tblLook w:val="04A0" w:firstRow="1" w:lastRow="0" w:firstColumn="1" w:lastColumn="0" w:noHBand="0" w:noVBand="1"/>
      </w:tblPr>
      <w:tblGrid>
        <w:gridCol w:w="9638"/>
      </w:tblGrid>
      <w:tr w:rsidR="00AD0A95" w14:paraId="7A62D415" w14:textId="77777777" w:rsidTr="00CB58D6">
        <w:tc>
          <w:tcPr>
            <w:tcW w:w="5000" w:type="pct"/>
            <w:shd w:val="clear" w:color="auto" w:fill="B9C9D0"/>
          </w:tcPr>
          <w:p w14:paraId="3CEA0F89" w14:textId="77777777" w:rsidR="00AD0A95" w:rsidRDefault="00AD0A95" w:rsidP="009B60F8">
            <w:pPr>
              <w:pStyle w:val="RGTableText"/>
            </w:pPr>
            <w:r w:rsidRPr="00727245">
              <w:rPr>
                <w:b/>
              </w:rPr>
              <w:t>DO NOT</w:t>
            </w:r>
            <w:r w:rsidRPr="00344111">
              <w:t xml:space="preserve"> apply </w:t>
            </w:r>
            <w:r>
              <w:t>by</w:t>
            </w:r>
            <w:r w:rsidRPr="00344111">
              <w:t xml:space="preserve"> </w:t>
            </w:r>
            <w:r>
              <w:t>a vertical sprayer.</w:t>
            </w:r>
          </w:p>
        </w:tc>
      </w:tr>
    </w:tbl>
    <w:p w14:paraId="3C6F1740" w14:textId="77777777" w:rsidR="00AD0A95" w:rsidRPr="00CB58D6" w:rsidRDefault="00AD0A95" w:rsidP="00CB58D6">
      <w:pPr>
        <w:pStyle w:val="NormalText"/>
      </w:pPr>
      <w:r w:rsidRPr="00CB58D6">
        <w:t>OR (if the use of vertical sprayers is not supported under any circumstance)</w:t>
      </w:r>
    </w:p>
    <w:tbl>
      <w:tblPr>
        <w:tblW w:w="5000" w:type="pct"/>
        <w:shd w:val="clear" w:color="auto" w:fill="D5D7D5" w:themeFill="text1" w:themeFillTint="33"/>
        <w:tblLook w:val="04A0" w:firstRow="1" w:lastRow="0" w:firstColumn="1" w:lastColumn="0" w:noHBand="0" w:noVBand="1"/>
      </w:tblPr>
      <w:tblGrid>
        <w:gridCol w:w="9638"/>
      </w:tblGrid>
      <w:tr w:rsidR="00AD0A95" w:rsidRPr="00344111" w14:paraId="65B5F119" w14:textId="77777777" w:rsidTr="00CB58D6">
        <w:tc>
          <w:tcPr>
            <w:tcW w:w="5000" w:type="pct"/>
            <w:shd w:val="clear" w:color="auto" w:fill="B9C9D0"/>
          </w:tcPr>
          <w:p w14:paraId="0CDBC234" w14:textId="77777777" w:rsidR="00AD0A95" w:rsidRPr="00344111" w:rsidRDefault="00AD0A95" w:rsidP="009B60F8">
            <w:pPr>
              <w:pStyle w:val="RGTableText"/>
              <w:rPr>
                <w:b/>
              </w:rPr>
            </w:pPr>
            <w:r w:rsidRPr="00727245">
              <w:rPr>
                <w:b/>
              </w:rPr>
              <w:t>DO NOT</w:t>
            </w:r>
            <w:r w:rsidRPr="00344111">
              <w:t xml:space="preserve"> apply </w:t>
            </w:r>
            <w:r>
              <w:t>by</w:t>
            </w:r>
            <w:r w:rsidRPr="00344111">
              <w:t xml:space="preserve"> </w:t>
            </w:r>
            <w:r>
              <w:t>a vertical sprayer.</w:t>
            </w:r>
          </w:p>
        </w:tc>
      </w:tr>
    </w:tbl>
    <w:p w14:paraId="55184F6D" w14:textId="17CA78C5" w:rsidR="00751891" w:rsidRDefault="00783246" w:rsidP="002A642E">
      <w:pPr>
        <w:pStyle w:val="Heading3"/>
        <w:spacing w:after="320"/>
      </w:pPr>
      <w:bookmarkStart w:id="45" w:name="_Toc14340855"/>
      <w:r>
        <w:t>Aircraft</w:t>
      </w:r>
      <w:bookmarkEnd w:id="45"/>
    </w:p>
    <w:tbl>
      <w:tblPr>
        <w:tblW w:w="5000" w:type="pct"/>
        <w:shd w:val="clear" w:color="auto" w:fill="D5D7D5" w:themeFill="text1" w:themeFillTint="33"/>
        <w:tblLook w:val="04A0" w:firstRow="1" w:lastRow="0" w:firstColumn="1" w:lastColumn="0" w:noHBand="0" w:noVBand="1"/>
      </w:tblPr>
      <w:tblGrid>
        <w:gridCol w:w="9638"/>
      </w:tblGrid>
      <w:tr w:rsidR="00CB58D6" w:rsidRPr="00344111" w14:paraId="38876F3A" w14:textId="77777777" w:rsidTr="00CB58D6">
        <w:tc>
          <w:tcPr>
            <w:tcW w:w="5000" w:type="pct"/>
            <w:shd w:val="clear" w:color="auto" w:fill="B9C9D0"/>
          </w:tcPr>
          <w:p w14:paraId="287B6BDF" w14:textId="77777777" w:rsidR="00CB58D6" w:rsidRPr="00344111" w:rsidRDefault="00CB58D6" w:rsidP="009B60F8">
            <w:pPr>
              <w:pStyle w:val="APVMATableText"/>
            </w:pPr>
            <w:r w:rsidRPr="00727245">
              <w:rPr>
                <w:b/>
              </w:rPr>
              <w:t>DO NOT</w:t>
            </w:r>
            <w:r w:rsidRPr="00344111">
              <w:t xml:space="preserve"> apply </w:t>
            </w:r>
            <w:r>
              <w:t>by aircraft</w:t>
            </w:r>
            <w:r w:rsidRPr="00344111">
              <w:t xml:space="preserve"> unless the following requ</w:t>
            </w:r>
            <w:r>
              <w:t>irements</w:t>
            </w:r>
            <w:r w:rsidRPr="00344111">
              <w:t xml:space="preserve"> are </w:t>
            </w:r>
            <w:r>
              <w:t>met:</w:t>
            </w:r>
          </w:p>
          <w:p w14:paraId="21E60CED" w14:textId="77777777" w:rsidR="00CB58D6" w:rsidRPr="00CB58D6" w:rsidRDefault="00CB58D6" w:rsidP="00CB58D6">
            <w:pPr>
              <w:pStyle w:val="APVMATableBullet"/>
              <w:numPr>
                <w:ilvl w:val="0"/>
                <w:numId w:val="1"/>
              </w:numPr>
              <w:rPr>
                <w:color w:val="auto"/>
              </w:rPr>
            </w:pPr>
            <w:r w:rsidRPr="00CB58D6">
              <w:rPr>
                <w:color w:val="auto"/>
              </w:rPr>
              <w:t xml:space="preserve">spray droplets not smaller than a </w:t>
            </w:r>
            <w:r w:rsidRPr="00CB58D6">
              <w:rPr>
                <w:b/>
                <w:color w:val="auto"/>
              </w:rPr>
              <w:t>[XAA]</w:t>
            </w:r>
            <w:r w:rsidRPr="00CB58D6">
              <w:rPr>
                <w:color w:val="auto"/>
              </w:rPr>
              <w:t xml:space="preserve"> spray droplet size category</w:t>
            </w:r>
          </w:p>
          <w:p w14:paraId="118A9B72" w14:textId="5D82B9B2" w:rsidR="00CB58D6" w:rsidRPr="00CB58D6" w:rsidRDefault="00CB58D6" w:rsidP="008353B6">
            <w:pPr>
              <w:pStyle w:val="APVMATableBullet"/>
              <w:rPr>
                <w:color w:val="auto"/>
              </w:rPr>
            </w:pPr>
            <w:r w:rsidRPr="00CB58D6">
              <w:rPr>
                <w:color w:val="auto"/>
              </w:rPr>
              <w:lastRenderedPageBreak/>
              <w:t xml:space="preserve">for </w:t>
            </w:r>
            <w:r w:rsidR="008353B6" w:rsidRPr="008353B6">
              <w:rPr>
                <w:color w:val="auto"/>
              </w:rPr>
              <w:t>maximum release heights above the target canopy of 3m or 25% of wingspan or 25% of rotor diameter whichever is the greatest</w:t>
            </w:r>
            <w:r w:rsidRPr="00CB58D6">
              <w:rPr>
                <w:color w:val="auto"/>
              </w:rPr>
              <w:t>, minimum distances between the application site and downwind sensitive areas (see ‘Mandatory buffer zones’ section of the following table titled ‘Buffer zones for aircraft’) are observed.</w:t>
            </w:r>
          </w:p>
          <w:tbl>
            <w:tblPr>
              <w:tblW w:w="0" w:type="auto"/>
              <w:tblLook w:val="04A0" w:firstRow="1" w:lastRow="0" w:firstColumn="1" w:lastColumn="0" w:noHBand="0" w:noVBand="1"/>
            </w:tblPr>
            <w:tblGrid>
              <w:gridCol w:w="1727"/>
              <w:gridCol w:w="1518"/>
              <w:gridCol w:w="1518"/>
              <w:gridCol w:w="1519"/>
              <w:gridCol w:w="1560"/>
              <w:gridCol w:w="1560"/>
            </w:tblGrid>
            <w:tr w:rsidR="00CB58D6" w:rsidRPr="00CB58D6" w14:paraId="1F2460D0" w14:textId="77777777" w:rsidTr="009B60F8">
              <w:tc>
                <w:tcPr>
                  <w:tcW w:w="9402" w:type="dxa"/>
                  <w:gridSpan w:val="6"/>
                  <w:tcBorders>
                    <w:bottom w:val="single" w:sz="4" w:space="0" w:color="auto"/>
                  </w:tcBorders>
                </w:tcPr>
                <w:p w14:paraId="0D7A1280" w14:textId="77777777" w:rsidR="00CB58D6" w:rsidRPr="00CB58D6" w:rsidRDefault="00CB58D6" w:rsidP="009B60F8">
                  <w:pPr>
                    <w:pStyle w:val="RGTableText"/>
                    <w:rPr>
                      <w:b/>
                    </w:rPr>
                  </w:pPr>
                  <w:r w:rsidRPr="00CB58D6">
                    <w:rPr>
                      <w:b/>
                    </w:rPr>
                    <w:t>Buffer zones for aircraft</w:t>
                  </w:r>
                </w:p>
              </w:tc>
            </w:tr>
            <w:tr w:rsidR="00CB58D6" w14:paraId="4524B1E5" w14:textId="77777777" w:rsidTr="009B60F8">
              <w:tc>
                <w:tcPr>
                  <w:tcW w:w="1727" w:type="dxa"/>
                  <w:vMerge w:val="restart"/>
                  <w:tcBorders>
                    <w:top w:val="single" w:sz="4" w:space="0" w:color="auto"/>
                    <w:left w:val="single" w:sz="4" w:space="0" w:color="auto"/>
                    <w:bottom w:val="single" w:sz="4" w:space="0" w:color="auto"/>
                    <w:right w:val="single" w:sz="4" w:space="0" w:color="auto"/>
                  </w:tcBorders>
                  <w:vAlign w:val="center"/>
                </w:tcPr>
                <w:p w14:paraId="51A2DAC3" w14:textId="77777777" w:rsidR="00CB58D6" w:rsidRDefault="00CB58D6" w:rsidP="009B60F8">
                  <w:pPr>
                    <w:pStyle w:val="APVMATableText"/>
                  </w:pPr>
                  <w:r>
                    <w:t>Type of aircraft</w:t>
                  </w:r>
                </w:p>
              </w:tc>
              <w:tc>
                <w:tcPr>
                  <w:tcW w:w="7675" w:type="dxa"/>
                  <w:gridSpan w:val="5"/>
                  <w:tcBorders>
                    <w:top w:val="single" w:sz="4" w:space="0" w:color="auto"/>
                    <w:left w:val="single" w:sz="4" w:space="0" w:color="auto"/>
                    <w:bottom w:val="single" w:sz="4" w:space="0" w:color="auto"/>
                    <w:right w:val="single" w:sz="4" w:space="0" w:color="auto"/>
                  </w:tcBorders>
                  <w:vAlign w:val="center"/>
                </w:tcPr>
                <w:p w14:paraId="31E1F946" w14:textId="0F2D2F8C" w:rsidR="00CB58D6" w:rsidRDefault="00CB58D6" w:rsidP="009B60F8">
                  <w:pPr>
                    <w:pStyle w:val="APVMATableText"/>
                  </w:pPr>
                  <w:r w:rsidRPr="000423A4">
                    <w:t xml:space="preserve">Mandatory </w:t>
                  </w:r>
                  <w:r>
                    <w:t xml:space="preserve">downwind </w:t>
                  </w:r>
                  <w:r w:rsidRPr="000423A4">
                    <w:t>buffer zones</w:t>
                  </w:r>
                </w:p>
              </w:tc>
            </w:tr>
            <w:tr w:rsidR="00CB58D6" w14:paraId="4936DF06" w14:textId="77777777" w:rsidTr="009B60F8">
              <w:tc>
                <w:tcPr>
                  <w:tcW w:w="1727" w:type="dxa"/>
                  <w:vMerge/>
                  <w:tcBorders>
                    <w:top w:val="single" w:sz="4" w:space="0" w:color="auto"/>
                    <w:left w:val="single" w:sz="4" w:space="0" w:color="auto"/>
                    <w:bottom w:val="single" w:sz="4" w:space="0" w:color="auto"/>
                    <w:right w:val="single" w:sz="4" w:space="0" w:color="auto"/>
                  </w:tcBorders>
                  <w:vAlign w:val="center"/>
                </w:tcPr>
                <w:p w14:paraId="2BC97243" w14:textId="77777777" w:rsidR="00CB58D6" w:rsidRDefault="00CB58D6" w:rsidP="009B60F8">
                  <w:pPr>
                    <w:pStyle w:val="APVMATableText"/>
                  </w:pPr>
                </w:p>
              </w:tc>
              <w:tc>
                <w:tcPr>
                  <w:tcW w:w="1518" w:type="dxa"/>
                  <w:tcBorders>
                    <w:top w:val="single" w:sz="4" w:space="0" w:color="auto"/>
                    <w:left w:val="single" w:sz="4" w:space="0" w:color="auto"/>
                    <w:bottom w:val="single" w:sz="4" w:space="0" w:color="auto"/>
                    <w:right w:val="single" w:sz="4" w:space="0" w:color="auto"/>
                  </w:tcBorders>
                  <w:vAlign w:val="center"/>
                </w:tcPr>
                <w:p w14:paraId="6A314689" w14:textId="77777777" w:rsidR="00CB58D6" w:rsidRPr="000423A4" w:rsidRDefault="00CB58D6" w:rsidP="009B60F8">
                  <w:pPr>
                    <w:pStyle w:val="APVMATableText"/>
                  </w:pPr>
                  <w:r w:rsidRPr="000423A4">
                    <w:t>Bystander areas</w:t>
                  </w:r>
                </w:p>
              </w:tc>
              <w:tc>
                <w:tcPr>
                  <w:tcW w:w="1518" w:type="dxa"/>
                  <w:tcBorders>
                    <w:top w:val="single" w:sz="4" w:space="0" w:color="auto"/>
                    <w:left w:val="single" w:sz="4" w:space="0" w:color="auto"/>
                    <w:bottom w:val="single" w:sz="4" w:space="0" w:color="auto"/>
                    <w:right w:val="single" w:sz="4" w:space="0" w:color="auto"/>
                  </w:tcBorders>
                  <w:vAlign w:val="center"/>
                </w:tcPr>
                <w:p w14:paraId="7F6BD992" w14:textId="77777777" w:rsidR="00CB58D6" w:rsidRPr="000423A4" w:rsidRDefault="00CB58D6" w:rsidP="009B60F8">
                  <w:pPr>
                    <w:pStyle w:val="APVMATableText"/>
                  </w:pPr>
                  <w:r w:rsidRPr="000423A4">
                    <w:t>Natural aquatic areas</w:t>
                  </w:r>
                </w:p>
              </w:tc>
              <w:tc>
                <w:tcPr>
                  <w:tcW w:w="1519" w:type="dxa"/>
                  <w:tcBorders>
                    <w:top w:val="single" w:sz="4" w:space="0" w:color="auto"/>
                    <w:left w:val="single" w:sz="4" w:space="0" w:color="auto"/>
                    <w:bottom w:val="single" w:sz="4" w:space="0" w:color="auto"/>
                    <w:right w:val="single" w:sz="4" w:space="0" w:color="auto"/>
                  </w:tcBorders>
                  <w:vAlign w:val="center"/>
                </w:tcPr>
                <w:p w14:paraId="6786B424" w14:textId="77777777" w:rsidR="00CB58D6" w:rsidRPr="000423A4" w:rsidRDefault="00CB58D6" w:rsidP="009B60F8">
                  <w:pPr>
                    <w:pStyle w:val="APVMATableText"/>
                  </w:pPr>
                  <w:r w:rsidRPr="000423A4">
                    <w:t>Pollinator areas</w:t>
                  </w:r>
                </w:p>
              </w:tc>
              <w:tc>
                <w:tcPr>
                  <w:tcW w:w="1560" w:type="dxa"/>
                  <w:tcBorders>
                    <w:top w:val="single" w:sz="4" w:space="0" w:color="auto"/>
                    <w:left w:val="single" w:sz="4" w:space="0" w:color="auto"/>
                    <w:bottom w:val="single" w:sz="4" w:space="0" w:color="auto"/>
                    <w:right w:val="single" w:sz="4" w:space="0" w:color="auto"/>
                  </w:tcBorders>
                  <w:vAlign w:val="center"/>
                </w:tcPr>
                <w:p w14:paraId="35B9BDE4" w14:textId="77777777" w:rsidR="00CB58D6" w:rsidRDefault="00CB58D6" w:rsidP="009B60F8">
                  <w:pPr>
                    <w:pStyle w:val="APVMATableText"/>
                  </w:pPr>
                  <w:r>
                    <w:t>Vegetation areas</w:t>
                  </w:r>
                </w:p>
              </w:tc>
              <w:tc>
                <w:tcPr>
                  <w:tcW w:w="1560" w:type="dxa"/>
                  <w:tcBorders>
                    <w:top w:val="single" w:sz="4" w:space="0" w:color="auto"/>
                    <w:left w:val="single" w:sz="4" w:space="0" w:color="auto"/>
                    <w:bottom w:val="single" w:sz="4" w:space="0" w:color="auto"/>
                    <w:right w:val="single" w:sz="4" w:space="0" w:color="auto"/>
                  </w:tcBorders>
                  <w:vAlign w:val="center"/>
                </w:tcPr>
                <w:p w14:paraId="31B6B47D" w14:textId="77777777" w:rsidR="00CB58D6" w:rsidRDefault="00CB58D6" w:rsidP="009B60F8">
                  <w:pPr>
                    <w:pStyle w:val="APVMATableText"/>
                  </w:pPr>
                  <w:r>
                    <w:t>Livestock areas</w:t>
                  </w:r>
                </w:p>
              </w:tc>
            </w:tr>
            <w:tr w:rsidR="00CB58D6" w14:paraId="12EEF493" w14:textId="77777777" w:rsidTr="009B60F8">
              <w:tc>
                <w:tcPr>
                  <w:tcW w:w="1727" w:type="dxa"/>
                  <w:tcBorders>
                    <w:top w:val="single" w:sz="4" w:space="0" w:color="auto"/>
                    <w:left w:val="single" w:sz="4" w:space="0" w:color="auto"/>
                    <w:bottom w:val="single" w:sz="4" w:space="0" w:color="auto"/>
                    <w:right w:val="single" w:sz="4" w:space="0" w:color="auto"/>
                  </w:tcBorders>
                  <w:vAlign w:val="center"/>
                </w:tcPr>
                <w:p w14:paraId="5916CB2F" w14:textId="77777777" w:rsidR="00CB58D6" w:rsidRPr="00A7675A" w:rsidRDefault="00CB58D6" w:rsidP="009B60F8">
                  <w:pPr>
                    <w:pStyle w:val="APVMATableText"/>
                    <w:rPr>
                      <w:b/>
                    </w:rPr>
                  </w:pPr>
                  <w:r>
                    <w:t>Fixed-wing</w:t>
                  </w:r>
                </w:p>
              </w:tc>
              <w:tc>
                <w:tcPr>
                  <w:tcW w:w="1518" w:type="dxa"/>
                  <w:tcBorders>
                    <w:top w:val="single" w:sz="4" w:space="0" w:color="auto"/>
                    <w:left w:val="single" w:sz="4" w:space="0" w:color="auto"/>
                    <w:bottom w:val="single" w:sz="4" w:space="0" w:color="auto"/>
                    <w:right w:val="single" w:sz="4" w:space="0" w:color="auto"/>
                  </w:tcBorders>
                  <w:vAlign w:val="center"/>
                </w:tcPr>
                <w:p w14:paraId="5A7DBA64" w14:textId="77777777" w:rsidR="00CB58D6" w:rsidRPr="000423A4" w:rsidRDefault="00CB58D6" w:rsidP="009B60F8">
                  <w:pPr>
                    <w:pStyle w:val="APVMATableText"/>
                  </w:pPr>
                  <w:r w:rsidRPr="000423A4">
                    <w:t>[XBB] m</w:t>
                  </w:r>
                </w:p>
              </w:tc>
              <w:tc>
                <w:tcPr>
                  <w:tcW w:w="1518" w:type="dxa"/>
                  <w:tcBorders>
                    <w:top w:val="single" w:sz="4" w:space="0" w:color="auto"/>
                    <w:left w:val="single" w:sz="4" w:space="0" w:color="auto"/>
                    <w:bottom w:val="single" w:sz="4" w:space="0" w:color="auto"/>
                    <w:right w:val="single" w:sz="4" w:space="0" w:color="auto"/>
                  </w:tcBorders>
                  <w:vAlign w:val="center"/>
                </w:tcPr>
                <w:p w14:paraId="246472E2" w14:textId="77777777" w:rsidR="00CB58D6" w:rsidRPr="000423A4" w:rsidRDefault="00CB58D6" w:rsidP="009B60F8">
                  <w:pPr>
                    <w:pStyle w:val="APVMATableText"/>
                  </w:pPr>
                  <w:r w:rsidRPr="000423A4">
                    <w:t>[XCC] m</w:t>
                  </w:r>
                </w:p>
              </w:tc>
              <w:tc>
                <w:tcPr>
                  <w:tcW w:w="1519" w:type="dxa"/>
                  <w:tcBorders>
                    <w:top w:val="single" w:sz="4" w:space="0" w:color="auto"/>
                    <w:left w:val="single" w:sz="4" w:space="0" w:color="auto"/>
                    <w:bottom w:val="single" w:sz="4" w:space="0" w:color="auto"/>
                    <w:right w:val="single" w:sz="4" w:space="0" w:color="auto"/>
                  </w:tcBorders>
                  <w:vAlign w:val="center"/>
                </w:tcPr>
                <w:p w14:paraId="3C9818CD" w14:textId="77777777" w:rsidR="00CB58D6" w:rsidRPr="000423A4" w:rsidRDefault="00CB58D6" w:rsidP="009B60F8">
                  <w:pPr>
                    <w:pStyle w:val="APVMATableText"/>
                  </w:pPr>
                  <w:r w:rsidRPr="000423A4">
                    <w:t>[XDD] m</w:t>
                  </w:r>
                </w:p>
              </w:tc>
              <w:tc>
                <w:tcPr>
                  <w:tcW w:w="1560" w:type="dxa"/>
                  <w:tcBorders>
                    <w:top w:val="single" w:sz="4" w:space="0" w:color="auto"/>
                    <w:left w:val="single" w:sz="4" w:space="0" w:color="auto"/>
                    <w:bottom w:val="single" w:sz="4" w:space="0" w:color="auto"/>
                    <w:right w:val="single" w:sz="4" w:space="0" w:color="auto"/>
                  </w:tcBorders>
                  <w:vAlign w:val="center"/>
                </w:tcPr>
                <w:p w14:paraId="31FC3C00" w14:textId="77777777" w:rsidR="00CB58D6" w:rsidRDefault="00CB58D6" w:rsidP="009B60F8">
                  <w:pPr>
                    <w:pStyle w:val="APVMATableText"/>
                  </w:pPr>
                  <w:r>
                    <w:t>[XEE]</w:t>
                  </w:r>
                  <w:r w:rsidRPr="00344111">
                    <w:t xml:space="preserve"> m</w:t>
                  </w:r>
                </w:p>
              </w:tc>
              <w:tc>
                <w:tcPr>
                  <w:tcW w:w="1560" w:type="dxa"/>
                  <w:tcBorders>
                    <w:top w:val="single" w:sz="4" w:space="0" w:color="auto"/>
                    <w:left w:val="single" w:sz="4" w:space="0" w:color="auto"/>
                    <w:bottom w:val="single" w:sz="4" w:space="0" w:color="auto"/>
                    <w:right w:val="single" w:sz="4" w:space="0" w:color="auto"/>
                  </w:tcBorders>
                  <w:vAlign w:val="center"/>
                </w:tcPr>
                <w:p w14:paraId="3496A970" w14:textId="77777777" w:rsidR="00CB58D6" w:rsidRDefault="00CB58D6" w:rsidP="009B60F8">
                  <w:pPr>
                    <w:pStyle w:val="APVMATableText"/>
                  </w:pPr>
                  <w:r>
                    <w:t>[XFF] m</w:t>
                  </w:r>
                </w:p>
              </w:tc>
            </w:tr>
            <w:tr w:rsidR="00CB58D6" w14:paraId="622CDF23" w14:textId="77777777" w:rsidTr="009B60F8">
              <w:tc>
                <w:tcPr>
                  <w:tcW w:w="1727" w:type="dxa"/>
                  <w:tcBorders>
                    <w:top w:val="single" w:sz="4" w:space="0" w:color="auto"/>
                    <w:left w:val="single" w:sz="4" w:space="0" w:color="auto"/>
                    <w:bottom w:val="single" w:sz="4" w:space="0" w:color="auto"/>
                    <w:right w:val="single" w:sz="4" w:space="0" w:color="auto"/>
                  </w:tcBorders>
                  <w:vAlign w:val="center"/>
                </w:tcPr>
                <w:p w14:paraId="7429586E" w14:textId="77777777" w:rsidR="00CB58D6" w:rsidRPr="00A7675A" w:rsidRDefault="00CB58D6" w:rsidP="009B60F8">
                  <w:pPr>
                    <w:pStyle w:val="APVMATableText"/>
                    <w:rPr>
                      <w:b/>
                    </w:rPr>
                  </w:pPr>
                  <w:r>
                    <w:t>Helicopter</w:t>
                  </w:r>
                </w:p>
              </w:tc>
              <w:tc>
                <w:tcPr>
                  <w:tcW w:w="1518" w:type="dxa"/>
                  <w:tcBorders>
                    <w:top w:val="single" w:sz="4" w:space="0" w:color="auto"/>
                    <w:left w:val="single" w:sz="4" w:space="0" w:color="auto"/>
                    <w:bottom w:val="single" w:sz="4" w:space="0" w:color="auto"/>
                    <w:right w:val="single" w:sz="4" w:space="0" w:color="auto"/>
                  </w:tcBorders>
                  <w:vAlign w:val="center"/>
                </w:tcPr>
                <w:p w14:paraId="71327A88" w14:textId="77777777" w:rsidR="00CB58D6" w:rsidRPr="000423A4" w:rsidRDefault="00CB58D6" w:rsidP="009B60F8">
                  <w:pPr>
                    <w:pStyle w:val="APVMATableText"/>
                  </w:pPr>
                  <w:r w:rsidRPr="000423A4">
                    <w:t>[XGG] m</w:t>
                  </w:r>
                </w:p>
              </w:tc>
              <w:tc>
                <w:tcPr>
                  <w:tcW w:w="1518" w:type="dxa"/>
                  <w:tcBorders>
                    <w:top w:val="single" w:sz="4" w:space="0" w:color="auto"/>
                    <w:left w:val="single" w:sz="4" w:space="0" w:color="auto"/>
                    <w:bottom w:val="single" w:sz="4" w:space="0" w:color="auto"/>
                    <w:right w:val="single" w:sz="4" w:space="0" w:color="auto"/>
                  </w:tcBorders>
                  <w:vAlign w:val="center"/>
                </w:tcPr>
                <w:p w14:paraId="389395F0" w14:textId="77777777" w:rsidR="00CB58D6" w:rsidRPr="000423A4" w:rsidRDefault="00CB58D6" w:rsidP="009B60F8">
                  <w:pPr>
                    <w:pStyle w:val="APVMATableText"/>
                  </w:pPr>
                  <w:r w:rsidRPr="000423A4">
                    <w:t>[XHH] m</w:t>
                  </w:r>
                </w:p>
              </w:tc>
              <w:tc>
                <w:tcPr>
                  <w:tcW w:w="1519" w:type="dxa"/>
                  <w:tcBorders>
                    <w:top w:val="single" w:sz="4" w:space="0" w:color="auto"/>
                    <w:left w:val="single" w:sz="4" w:space="0" w:color="auto"/>
                    <w:bottom w:val="single" w:sz="4" w:space="0" w:color="auto"/>
                    <w:right w:val="single" w:sz="4" w:space="0" w:color="auto"/>
                  </w:tcBorders>
                  <w:vAlign w:val="center"/>
                </w:tcPr>
                <w:p w14:paraId="10EBECA3" w14:textId="77777777" w:rsidR="00CB58D6" w:rsidRPr="000423A4" w:rsidRDefault="00CB58D6" w:rsidP="009B60F8">
                  <w:pPr>
                    <w:pStyle w:val="APVMATableText"/>
                  </w:pPr>
                  <w:r w:rsidRPr="000423A4">
                    <w:t>[XII] m</w:t>
                  </w:r>
                </w:p>
              </w:tc>
              <w:tc>
                <w:tcPr>
                  <w:tcW w:w="1560" w:type="dxa"/>
                  <w:tcBorders>
                    <w:top w:val="single" w:sz="4" w:space="0" w:color="auto"/>
                    <w:left w:val="single" w:sz="4" w:space="0" w:color="auto"/>
                    <w:bottom w:val="single" w:sz="4" w:space="0" w:color="auto"/>
                    <w:right w:val="single" w:sz="4" w:space="0" w:color="auto"/>
                  </w:tcBorders>
                  <w:vAlign w:val="center"/>
                </w:tcPr>
                <w:p w14:paraId="45E1D187" w14:textId="77777777" w:rsidR="00CB58D6" w:rsidRDefault="00CB58D6" w:rsidP="009B60F8">
                  <w:pPr>
                    <w:pStyle w:val="APVMATableText"/>
                  </w:pPr>
                  <w:r>
                    <w:t>[XJJ] m</w:t>
                  </w:r>
                </w:p>
              </w:tc>
              <w:tc>
                <w:tcPr>
                  <w:tcW w:w="1560" w:type="dxa"/>
                  <w:tcBorders>
                    <w:top w:val="single" w:sz="4" w:space="0" w:color="auto"/>
                    <w:left w:val="single" w:sz="4" w:space="0" w:color="auto"/>
                    <w:bottom w:val="single" w:sz="4" w:space="0" w:color="auto"/>
                    <w:right w:val="single" w:sz="4" w:space="0" w:color="auto"/>
                  </w:tcBorders>
                  <w:vAlign w:val="center"/>
                </w:tcPr>
                <w:p w14:paraId="032FF73F" w14:textId="77777777" w:rsidR="00CB58D6" w:rsidRDefault="00CB58D6" w:rsidP="009B60F8">
                  <w:pPr>
                    <w:pStyle w:val="APVMATableText"/>
                  </w:pPr>
                  <w:r>
                    <w:t>[XKK]</w:t>
                  </w:r>
                  <w:r w:rsidRPr="00344111">
                    <w:t xml:space="preserve"> m</w:t>
                  </w:r>
                </w:p>
              </w:tc>
            </w:tr>
          </w:tbl>
          <w:p w14:paraId="6E7924D8" w14:textId="77777777" w:rsidR="00CB58D6" w:rsidRPr="00344111" w:rsidRDefault="00CB58D6" w:rsidP="009B60F8">
            <w:pPr>
              <w:pStyle w:val="RGTableText"/>
            </w:pPr>
          </w:p>
        </w:tc>
      </w:tr>
    </w:tbl>
    <w:p w14:paraId="3EC2C82E" w14:textId="77777777" w:rsidR="00CB58D6" w:rsidRPr="00344111" w:rsidRDefault="00CB58D6" w:rsidP="00CB58D6">
      <w:pPr>
        <w:pStyle w:val="NormalText"/>
      </w:pPr>
      <w:r>
        <w:lastRenderedPageBreak/>
        <w:t>OR (if an assessment required any buffer zone distance to be greater than the validated distance)</w:t>
      </w:r>
    </w:p>
    <w:tbl>
      <w:tblPr>
        <w:tblW w:w="0" w:type="auto"/>
        <w:shd w:val="clear" w:color="auto" w:fill="D5D7D5" w:themeFill="text1" w:themeFillTint="33"/>
        <w:tblLook w:val="04A0" w:firstRow="1" w:lastRow="0" w:firstColumn="1" w:lastColumn="0" w:noHBand="0" w:noVBand="1"/>
      </w:tblPr>
      <w:tblGrid>
        <w:gridCol w:w="9628"/>
      </w:tblGrid>
      <w:tr w:rsidR="00CB58D6" w14:paraId="2CBCD986" w14:textId="77777777" w:rsidTr="00CB58D6">
        <w:tc>
          <w:tcPr>
            <w:tcW w:w="9628" w:type="dxa"/>
            <w:shd w:val="clear" w:color="auto" w:fill="B9C9D0"/>
          </w:tcPr>
          <w:p w14:paraId="51866AD2" w14:textId="77777777" w:rsidR="00CB58D6" w:rsidRDefault="00CB58D6" w:rsidP="009B60F8">
            <w:pPr>
              <w:pStyle w:val="RGTableText"/>
            </w:pPr>
            <w:r w:rsidRPr="00727245">
              <w:rPr>
                <w:b/>
              </w:rPr>
              <w:t>DO NOT</w:t>
            </w:r>
            <w:r w:rsidRPr="00344111">
              <w:t xml:space="preserve"> apply </w:t>
            </w:r>
            <w:r>
              <w:t>by</w:t>
            </w:r>
            <w:r w:rsidRPr="00344111">
              <w:t xml:space="preserve"> </w:t>
            </w:r>
            <w:r>
              <w:t>aircraft.</w:t>
            </w:r>
          </w:p>
        </w:tc>
      </w:tr>
    </w:tbl>
    <w:p w14:paraId="63F1BE59" w14:textId="77777777" w:rsidR="00CB58D6" w:rsidRDefault="00CB58D6" w:rsidP="00CB58D6">
      <w:pPr>
        <w:pStyle w:val="NormalText"/>
      </w:pPr>
      <w:r w:rsidRPr="00344111">
        <w:t>OR</w:t>
      </w:r>
      <w:r>
        <w:t xml:space="preserve"> (if the use of aircraft is not supported under any circumstance)</w:t>
      </w:r>
    </w:p>
    <w:tbl>
      <w:tblPr>
        <w:tblW w:w="0" w:type="auto"/>
        <w:shd w:val="clear" w:color="auto" w:fill="D5D7D5" w:themeFill="text1" w:themeFillTint="33"/>
        <w:tblLook w:val="04A0" w:firstRow="1" w:lastRow="0" w:firstColumn="1" w:lastColumn="0" w:noHBand="0" w:noVBand="1"/>
      </w:tblPr>
      <w:tblGrid>
        <w:gridCol w:w="9628"/>
      </w:tblGrid>
      <w:tr w:rsidR="00CB58D6" w:rsidRPr="00344111" w14:paraId="0C40B6D9" w14:textId="77777777" w:rsidTr="00CB58D6">
        <w:tc>
          <w:tcPr>
            <w:tcW w:w="9628" w:type="dxa"/>
            <w:shd w:val="clear" w:color="auto" w:fill="B9C9D0"/>
          </w:tcPr>
          <w:p w14:paraId="4C203FE9" w14:textId="77777777" w:rsidR="00CB58D6" w:rsidRPr="00344111" w:rsidRDefault="00CB58D6" w:rsidP="009B60F8">
            <w:pPr>
              <w:pStyle w:val="RGTableText"/>
              <w:rPr>
                <w:b/>
              </w:rPr>
            </w:pPr>
            <w:r w:rsidRPr="00727245">
              <w:rPr>
                <w:b/>
              </w:rPr>
              <w:t>DO NOT</w:t>
            </w:r>
            <w:r w:rsidRPr="00344111">
              <w:t xml:space="preserve"> apply </w:t>
            </w:r>
            <w:r>
              <w:t>by</w:t>
            </w:r>
            <w:r w:rsidRPr="00344111">
              <w:t xml:space="preserve"> </w:t>
            </w:r>
            <w:r>
              <w:t>aircraft.</w:t>
            </w:r>
          </w:p>
        </w:tc>
      </w:tr>
    </w:tbl>
    <w:p w14:paraId="6E4D4080" w14:textId="4CF43837" w:rsidR="00783246" w:rsidRDefault="00C24AA9" w:rsidP="00C24AA9">
      <w:pPr>
        <w:pStyle w:val="Heading3"/>
      </w:pPr>
      <w:bookmarkStart w:id="46" w:name="_Toc14340856"/>
      <w:r>
        <w:t>Different application equipment types for different crop/situation use patterns</w:t>
      </w:r>
      <w:bookmarkEnd w:id="46"/>
    </w:p>
    <w:p w14:paraId="3BC5B66B" w14:textId="77777777" w:rsidR="00C24AA9" w:rsidRPr="00C24AA9" w:rsidRDefault="00C24AA9" w:rsidP="00C24AA9">
      <w:pPr>
        <w:pStyle w:val="NormalText"/>
      </w:pPr>
      <w:r w:rsidRPr="00C24AA9">
        <w:t>When the range of crop/situation use patterns on a product label are intended to be treated with the same type/s of application equipment, no further use instructions are required. However, if different application equipment types are intended for different crop/situation use patterns, specific instructions must be incorporated onto the label in order to provide clarity to users.</w:t>
      </w:r>
    </w:p>
    <w:p w14:paraId="2AF40356" w14:textId="5D59F3F2" w:rsidR="00C24AA9" w:rsidRPr="00C24AA9" w:rsidRDefault="00C24AA9" w:rsidP="00C24AA9">
      <w:pPr>
        <w:pStyle w:val="NormalText"/>
      </w:pPr>
      <w:r w:rsidRPr="00C24AA9">
        <w:t>For example, if boom and aerial application was supported for wheat and only vertical sprayer application was supported for apples on efficacy grounds, then the use instructions would need to clarify this.</w:t>
      </w:r>
    </w:p>
    <w:p w14:paraId="6E30B343" w14:textId="77777777" w:rsidR="00C24AA9" w:rsidRPr="00C24AA9" w:rsidRDefault="00C24AA9" w:rsidP="00C24AA9">
      <w:pPr>
        <w:pStyle w:val="NormalText"/>
      </w:pPr>
      <w:r w:rsidRPr="00C24AA9">
        <w:t>These clarifying instructions are required in order to indicate which application type/s are intended for use with which crop/situation; they may appear in different sections of the label at the discretion of the registrant. The complexity of a label (ie the number and range of different crop/situations approved) will dictate the most efficient and effective way of providing this clarification. Some suggested locations for these statements are in the following sections of a label:</w:t>
      </w:r>
    </w:p>
    <w:p w14:paraId="589F3F6C" w14:textId="77777777" w:rsidR="00C24AA9" w:rsidRPr="00C24AA9" w:rsidRDefault="00C24AA9" w:rsidP="00C24AA9">
      <w:pPr>
        <w:pStyle w:val="Bullet1"/>
      </w:pPr>
      <w:r w:rsidRPr="00C24AA9">
        <w:t>SPRAY DRIFT RESTRAINTS</w:t>
      </w:r>
    </w:p>
    <w:p w14:paraId="70510AA4" w14:textId="77777777" w:rsidR="00C24AA9" w:rsidRPr="00C24AA9" w:rsidRDefault="00C24AA9" w:rsidP="00C24AA9">
      <w:pPr>
        <w:pStyle w:val="Bullet1"/>
      </w:pPr>
      <w:r w:rsidRPr="00C24AA9">
        <w:t>GENERAL INSTRUCTIONS</w:t>
      </w:r>
    </w:p>
    <w:p w14:paraId="701231CE" w14:textId="77777777" w:rsidR="00C24AA9" w:rsidRDefault="00C24AA9" w:rsidP="00C24AA9">
      <w:pPr>
        <w:pStyle w:val="Bullet1"/>
      </w:pPr>
      <w:r w:rsidRPr="00C24AA9">
        <w:t>DIRECTIONS FOR USE (CROP/SITUATION or CRITICAL COMMENTS)</w:t>
      </w:r>
    </w:p>
    <w:p w14:paraId="3FE91075" w14:textId="77777777" w:rsidR="00C24AA9" w:rsidRDefault="00C24AA9" w:rsidP="00C24AA9">
      <w:pPr>
        <w:pStyle w:val="NormalText"/>
      </w:pPr>
      <w:r>
        <w:t>The DIRECTIONS FOR USE table could also be split into sections for each application equipment type (eg a label could have four DIRECTIONS FOR USE sections with only the relevant use pattern(s) in each: a boom sprayer section, a vertical sprayer section, an aircraft section, and a miscellaneous application equipment section for use patterns that do not require a spray drift risk assessment as detailed in section 1.4 above).</w:t>
      </w:r>
    </w:p>
    <w:p w14:paraId="4947602E" w14:textId="3BB40A27" w:rsidR="00C24AA9" w:rsidRDefault="00C24AA9" w:rsidP="00C24AA9">
      <w:pPr>
        <w:pStyle w:val="Heading2"/>
      </w:pPr>
      <w:bookmarkStart w:id="47" w:name="_Toc14340857"/>
      <w:r>
        <w:lastRenderedPageBreak/>
        <w:t>Custom instructions</w:t>
      </w:r>
      <w:bookmarkEnd w:id="47"/>
    </w:p>
    <w:p w14:paraId="727162E0" w14:textId="19559A1C" w:rsidR="00C24AA9" w:rsidRPr="00C24AA9" w:rsidRDefault="00C24AA9" w:rsidP="00C24AA9">
      <w:pPr>
        <w:pStyle w:val="NormalText"/>
      </w:pPr>
      <w:r w:rsidRPr="00C24AA9">
        <w:t>When information relating to spray drift (see</w:t>
      </w:r>
      <w:r w:rsidR="002E4D78" w:rsidRPr="00C24AA9">
        <w:t xml:space="preserve"> </w:t>
      </w:r>
      <w:hyperlink r:id="rId82" w:history="1">
        <w:r w:rsidR="00F807AA">
          <w:rPr>
            <w:rStyle w:val="Hyperlink"/>
          </w:rPr>
          <w:t>s</w:t>
        </w:r>
        <w:r w:rsidR="002E4D78">
          <w:rPr>
            <w:rStyle w:val="Hyperlink"/>
          </w:rPr>
          <w:t>pray</w:t>
        </w:r>
        <w:r w:rsidR="00F807AA">
          <w:rPr>
            <w:rStyle w:val="Hyperlink"/>
          </w:rPr>
          <w:t xml:space="preserve"> d</w:t>
        </w:r>
        <w:r w:rsidR="002E4D78">
          <w:rPr>
            <w:rStyle w:val="Hyperlink"/>
          </w:rPr>
          <w:t xml:space="preserve">rift </w:t>
        </w:r>
        <w:r w:rsidR="00F807AA">
          <w:rPr>
            <w:rStyle w:val="Hyperlink"/>
          </w:rPr>
          <w:t>data g</w:t>
        </w:r>
        <w:r w:rsidR="002E4D78" w:rsidRPr="00C24AA9">
          <w:rPr>
            <w:rStyle w:val="Hyperlink"/>
          </w:rPr>
          <w:t>uideline</w:t>
        </w:r>
      </w:hyperlink>
      <w:r w:rsidRPr="00C24AA9">
        <w:t>) is submitted as part of an application, the standard instructions outlined in section 5.1 will be used as a basis for establishing label instructions; the standard instructions will be refined, reduced or expanded in accordance with the nature of that application.</w:t>
      </w:r>
    </w:p>
    <w:p w14:paraId="02EB14F4" w14:textId="725C2596" w:rsidR="00C24AA9" w:rsidRDefault="00C24AA9" w:rsidP="00C24AA9">
      <w:pPr>
        <w:pStyle w:val="NormalText"/>
      </w:pPr>
      <w:r w:rsidRPr="00C24AA9">
        <w:t>When an application proposes to only allow use with certain equipment, examples of potential additional instructions are:</w:t>
      </w:r>
    </w:p>
    <w:p w14:paraId="24229996" w14:textId="77777777" w:rsidR="00C24AA9" w:rsidRPr="00C24AA9" w:rsidRDefault="00C24AA9" w:rsidP="00C24AA9">
      <w:pPr>
        <w:pStyle w:val="Bullet1"/>
      </w:pPr>
      <w:r w:rsidRPr="00C24AA9">
        <w:t>‘only to be applied with a make A model B nozzle up to a maximum pressure of C bar’ (for boom sprayer application)</w:t>
      </w:r>
    </w:p>
    <w:p w14:paraId="5E6AD28D" w14:textId="77777777" w:rsidR="00C24AA9" w:rsidRPr="00C24AA9" w:rsidRDefault="00C24AA9" w:rsidP="00C24AA9">
      <w:pPr>
        <w:pStyle w:val="Bullet1"/>
      </w:pPr>
      <w:r w:rsidRPr="00C24AA9">
        <w:t>‘only to be applied with a make A model B tower sprayer’ (for vertical sprayer application)</w:t>
      </w:r>
    </w:p>
    <w:p w14:paraId="431C5ADE" w14:textId="77777777" w:rsidR="00C24AA9" w:rsidRDefault="00C24AA9" w:rsidP="00C24AA9">
      <w:pPr>
        <w:pStyle w:val="Bullet1"/>
      </w:pPr>
      <w:r w:rsidRPr="00C24AA9">
        <w:t>‘only to be applied with a make A model B orifice C nozzle at a maximum airspeed of D with a minimum pressure of E bar and a maximum angle of Fº from the horizontal (where 0º is directly opposite from the direction of flight and 90º is directly downwards)’ (for aircraft application).</w:t>
      </w:r>
    </w:p>
    <w:p w14:paraId="6FCD1F87" w14:textId="77777777" w:rsidR="00C24AA9" w:rsidRDefault="00C24AA9" w:rsidP="00C24AA9">
      <w:pPr>
        <w:pStyle w:val="NormalText"/>
      </w:pPr>
      <w:r>
        <w:t>When an application proposes the addition of a drift-reducing adjuvant, examples of potential additional instructions are:</w:t>
      </w:r>
    </w:p>
    <w:p w14:paraId="2F6C8132" w14:textId="2A03846C" w:rsidR="00C24AA9" w:rsidRPr="00C24AA9" w:rsidRDefault="004279CA" w:rsidP="00C24AA9">
      <w:pPr>
        <w:pStyle w:val="Bullet1"/>
      </w:pPr>
      <w:r>
        <w:t>‘only to be applied when [a</w:t>
      </w:r>
      <w:r w:rsidR="00C24AA9" w:rsidRPr="00C24AA9">
        <w:t xml:space="preserve">djuvant </w:t>
      </w:r>
      <w:r>
        <w:t>p</w:t>
      </w:r>
      <w:r w:rsidR="00C24AA9" w:rsidRPr="00C24AA9">
        <w:t xml:space="preserve">roduct </w:t>
      </w:r>
      <w:r>
        <w:t>name and n</w:t>
      </w:r>
      <w:r w:rsidR="00C24AA9" w:rsidRPr="00C24AA9">
        <w:t>umber] is used in a tank mix at label rates’</w:t>
      </w:r>
    </w:p>
    <w:p w14:paraId="70A5390C" w14:textId="77777777" w:rsidR="00C24AA9" w:rsidRPr="00C24AA9" w:rsidRDefault="00C24AA9" w:rsidP="00C24AA9">
      <w:pPr>
        <w:pStyle w:val="Bullet1"/>
      </w:pPr>
      <w:r w:rsidRPr="00C24AA9">
        <w:t>‘minimum distances between the application site and downwind sensitive areas that appear in the ‘Mandatory buffer zones’ section of the table below titled ‘Buffer zones for boom sprayers (with or without using adjuvant) must be observed’ (where the first row of the table lists buffer zones established by a risk assessment using standard deposition curves and the second lists buffer zones established by a risk assessment using custom deposition curves).</w:t>
      </w:r>
    </w:p>
    <w:p w14:paraId="1949E321" w14:textId="400141EB" w:rsidR="00C24AA9" w:rsidRDefault="00C24AA9" w:rsidP="00C24AA9">
      <w:pPr>
        <w:pStyle w:val="NormalText"/>
        <w:sectPr w:rsidR="00C24AA9" w:rsidSect="00CB58D6">
          <w:headerReference w:type="default" r:id="rId83"/>
          <w:pgSz w:w="11906" w:h="16838" w:code="9"/>
          <w:pgMar w:top="2835" w:right="1134" w:bottom="1134" w:left="1134" w:header="1701" w:footer="680" w:gutter="0"/>
          <w:cols w:space="708"/>
          <w:docGrid w:linePitch="360"/>
        </w:sectPr>
      </w:pPr>
      <w:r>
        <w:t>More generally, applicants may wish to provide additional risk management use instructions in relation to spray drift. For example, as buffer zones may not always be completely protective of agricultural crops or aquacultural production (see section 3.1), applicants may wish to include specific statements about these areas through custom use instructions. This may be particularly useful when there are known risks posed to certain crops or aquacultural species (including at certain development stages) by a certain product.</w:t>
      </w:r>
    </w:p>
    <w:p w14:paraId="79524EDE" w14:textId="48F65737" w:rsidR="00C24AA9" w:rsidRDefault="00C24AA9" w:rsidP="00C24AA9">
      <w:pPr>
        <w:pStyle w:val="Heading1"/>
      </w:pPr>
      <w:bookmarkStart w:id="48" w:name="_Toc14340858"/>
      <w:r>
        <w:lastRenderedPageBreak/>
        <w:t>Spray drift risk assessment tool (SDRAT)</w:t>
      </w:r>
      <w:bookmarkEnd w:id="48"/>
    </w:p>
    <w:p w14:paraId="0BE89F86" w14:textId="29E9A7E6" w:rsidR="00C24AA9" w:rsidRPr="00C24AA9" w:rsidRDefault="00C24AA9" w:rsidP="00C24AA9">
      <w:pPr>
        <w:pStyle w:val="NormalText"/>
      </w:pPr>
      <w:r w:rsidRPr="00C24AA9">
        <w:t>To ensure consistenc</w:t>
      </w:r>
      <w:r w:rsidR="004279CA">
        <w:t>y and evaluation efficiency, a spray drift risk assessment t</w:t>
      </w:r>
      <w:r w:rsidR="0043717A">
        <w:t>ool</w:t>
      </w:r>
      <w:r w:rsidRPr="00C24AA9">
        <w:t xml:space="preserve"> has been developed to automate the spray drift risk assessment process described in this ma</w:t>
      </w:r>
      <w:r w:rsidR="00FA6429">
        <w:t>nual as much as possible. This t</w:t>
      </w:r>
      <w:r w:rsidRPr="00C24AA9">
        <w:t>ool includes the generation of complete standard instructions (see section 5.1) based on the outcome of a risk assessment. Applicants are able to conduct self-assessments using this tool prior to making an application.</w:t>
      </w:r>
    </w:p>
    <w:p w14:paraId="763C8B4D" w14:textId="77777777" w:rsidR="00C24AA9" w:rsidRPr="00C24AA9" w:rsidRDefault="00C24AA9" w:rsidP="00C24AA9">
      <w:pPr>
        <w:pStyle w:val="NormalText"/>
      </w:pPr>
      <w:r w:rsidRPr="00C24AA9">
        <w:t>An Excel-based tool will be used in the interim until a permanent web based tool is established:</w:t>
      </w:r>
    </w:p>
    <w:p w14:paraId="557F2B0F" w14:textId="1F60527E" w:rsidR="00C24AA9" w:rsidRPr="00C24AA9" w:rsidRDefault="008516F4" w:rsidP="00C24AA9">
      <w:pPr>
        <w:pStyle w:val="NormalText"/>
      </w:pPr>
      <w:hyperlink r:id="rId84" w:history="1">
        <w:r w:rsidR="00C24AA9" w:rsidRPr="0080521C">
          <w:rPr>
            <w:rStyle w:val="Hyperlink"/>
          </w:rPr>
          <w:t>SDRAT APVMA Assessments v</w:t>
        </w:r>
        <w:r w:rsidR="000252E1">
          <w:rPr>
            <w:rStyle w:val="Hyperlink"/>
          </w:rPr>
          <w:t>1.0</w:t>
        </w:r>
        <w:r w:rsidR="00C24AA9" w:rsidRPr="0080521C">
          <w:rPr>
            <w:rStyle w:val="Hyperlink"/>
          </w:rPr>
          <w:t>.xlsx.</w:t>
        </w:r>
      </w:hyperlink>
    </w:p>
    <w:p w14:paraId="0B4AA05A" w14:textId="7D8DCF91" w:rsidR="00C24AA9" w:rsidRDefault="00C24AA9" w:rsidP="00C24AA9">
      <w:pPr>
        <w:pStyle w:val="Heading2"/>
      </w:pPr>
      <w:bookmarkStart w:id="49" w:name="_Toc14340859"/>
      <w:r>
        <w:t>Buffer zone rounding</w:t>
      </w:r>
      <w:bookmarkEnd w:id="49"/>
    </w:p>
    <w:p w14:paraId="6335A588" w14:textId="7FD3BB6F" w:rsidR="00BB0CEC" w:rsidRPr="00BB0CEC" w:rsidRDefault="00BB0CEC" w:rsidP="00BB0CEC">
      <w:pPr>
        <w:pStyle w:val="NormalText"/>
      </w:pPr>
      <w:r w:rsidRPr="00BB0CEC">
        <w:t>For simplicity, when the SDRAT is used to determine use instructions on product labels or permits (see section 5), buffer zones will be rounded up to the neare</w:t>
      </w:r>
      <w:r w:rsidR="0043717A">
        <w:t>st interval in accordance with t</w:t>
      </w:r>
      <w:r w:rsidRPr="00BB0CEC">
        <w:t xml:space="preserve">able 9. When a product label references the </w:t>
      </w:r>
      <w:r w:rsidR="00FA6429">
        <w:t>spray d</w:t>
      </w:r>
      <w:r w:rsidRPr="00BB0CEC">
        <w:t xml:space="preserve">rift </w:t>
      </w:r>
      <w:r w:rsidR="00FA6429">
        <w:t>m</w:t>
      </w:r>
      <w:r w:rsidRPr="00BB0CEC">
        <w:t xml:space="preserve">anagement </w:t>
      </w:r>
      <w:r w:rsidR="00FA6429">
        <w:t>t</w:t>
      </w:r>
      <w:r w:rsidRPr="00BB0CEC">
        <w:t>ool, users are able to access the actual calculated buffer zone as no rounding is used in the SDMT.</w:t>
      </w:r>
    </w:p>
    <w:p w14:paraId="017D461E" w14:textId="01BEC3A7" w:rsidR="00BB0CEC" w:rsidRDefault="00BB0CEC" w:rsidP="00BB0CEC">
      <w:pPr>
        <w:pStyle w:val="Caption"/>
      </w:pPr>
      <w:bookmarkStart w:id="50" w:name="_Toc14340888"/>
      <w:r>
        <w:t xml:space="preserve">Table </w:t>
      </w:r>
      <w:r w:rsidR="00371051">
        <w:rPr>
          <w:noProof/>
        </w:rPr>
        <w:fldChar w:fldCharType="begin"/>
      </w:r>
      <w:r w:rsidR="00371051">
        <w:rPr>
          <w:noProof/>
        </w:rPr>
        <w:instrText xml:space="preserve"> SEQ Table \* ARABIC </w:instrText>
      </w:r>
      <w:r w:rsidR="00371051">
        <w:rPr>
          <w:noProof/>
        </w:rPr>
        <w:fldChar w:fldCharType="separate"/>
      </w:r>
      <w:r w:rsidR="00037DBD">
        <w:rPr>
          <w:noProof/>
        </w:rPr>
        <w:t>9</w:t>
      </w:r>
      <w:r w:rsidR="00371051">
        <w:rPr>
          <w:noProof/>
        </w:rPr>
        <w:fldChar w:fldCharType="end"/>
      </w:r>
      <w:r>
        <w:t>:</w:t>
      </w:r>
      <w:r>
        <w:tab/>
        <w:t>Buffer zone rounding</w:t>
      </w:r>
      <w:bookmarkEnd w:id="50"/>
    </w:p>
    <w:tbl>
      <w:tblPr>
        <w:tblW w:w="5000" w:type="pct"/>
        <w:tblBorders>
          <w:bottom w:val="dotted" w:sz="2" w:space="0" w:color="auto"/>
          <w:insideH w:val="dotted" w:sz="2" w:space="0" w:color="auto"/>
        </w:tblBorders>
        <w:tblLook w:val="01E0" w:firstRow="1" w:lastRow="1" w:firstColumn="1" w:lastColumn="1" w:noHBand="0" w:noVBand="0"/>
      </w:tblPr>
      <w:tblGrid>
        <w:gridCol w:w="1233"/>
        <w:gridCol w:w="2101"/>
        <w:gridCol w:w="2194"/>
        <w:gridCol w:w="2009"/>
        <w:gridCol w:w="2101"/>
      </w:tblGrid>
      <w:tr w:rsidR="00BB0CEC" w14:paraId="77583770" w14:textId="42092EA4" w:rsidTr="00F807AA">
        <w:trPr>
          <w:cantSplit/>
          <w:tblHeader/>
        </w:trPr>
        <w:tc>
          <w:tcPr>
            <w:tcW w:w="640" w:type="pct"/>
            <w:tcBorders>
              <w:bottom w:val="single" w:sz="4" w:space="0" w:color="auto"/>
            </w:tcBorders>
            <w:shd w:val="clear" w:color="auto" w:fill="53284F"/>
            <w:vAlign w:val="bottom"/>
          </w:tcPr>
          <w:p w14:paraId="3DF7B102" w14:textId="29048E6B" w:rsidR="00BB0CEC" w:rsidRPr="00BB0CEC" w:rsidRDefault="00BB0CEC" w:rsidP="00BB0CEC">
            <w:pPr>
              <w:pStyle w:val="APVMATableHead"/>
            </w:pPr>
            <w:r w:rsidRPr="00BB0CEC">
              <w:t>Distance range (m)</w:t>
            </w:r>
          </w:p>
        </w:tc>
        <w:tc>
          <w:tcPr>
            <w:tcW w:w="1090" w:type="pct"/>
            <w:tcBorders>
              <w:bottom w:val="single" w:sz="4" w:space="0" w:color="auto"/>
            </w:tcBorders>
            <w:shd w:val="clear" w:color="auto" w:fill="53284F"/>
            <w:vAlign w:val="bottom"/>
          </w:tcPr>
          <w:p w14:paraId="624E77D6" w14:textId="2ED87351" w:rsidR="00BB0CEC" w:rsidRPr="00BB0CEC" w:rsidRDefault="00BB0CEC" w:rsidP="00BB0CEC">
            <w:pPr>
              <w:pStyle w:val="APVMATableHead"/>
            </w:pPr>
            <w:r w:rsidRPr="00BB0CEC">
              <w:t>Interval (m)</w:t>
            </w:r>
          </w:p>
        </w:tc>
        <w:tc>
          <w:tcPr>
            <w:tcW w:w="1138" w:type="pct"/>
            <w:tcBorders>
              <w:bottom w:val="single" w:sz="4" w:space="0" w:color="auto"/>
            </w:tcBorders>
            <w:shd w:val="clear" w:color="auto" w:fill="53284F"/>
            <w:vAlign w:val="bottom"/>
          </w:tcPr>
          <w:p w14:paraId="134BDFDD" w14:textId="40CCB91A" w:rsidR="00BB0CEC" w:rsidRPr="00BB0CEC" w:rsidRDefault="00BB0CEC" w:rsidP="00BB0CEC">
            <w:pPr>
              <w:pStyle w:val="APVMATableHead"/>
            </w:pPr>
            <w:r w:rsidRPr="00BB0CEC">
              <w:t>Boom sprayer</w:t>
            </w:r>
          </w:p>
        </w:tc>
        <w:tc>
          <w:tcPr>
            <w:tcW w:w="1042" w:type="pct"/>
            <w:tcBorders>
              <w:bottom w:val="single" w:sz="4" w:space="0" w:color="auto"/>
            </w:tcBorders>
            <w:shd w:val="clear" w:color="auto" w:fill="53284F"/>
            <w:vAlign w:val="bottom"/>
          </w:tcPr>
          <w:p w14:paraId="2C7EE711" w14:textId="08E5E9A6" w:rsidR="00BB0CEC" w:rsidRPr="00BB0CEC" w:rsidRDefault="00BB0CEC" w:rsidP="00BB0CEC">
            <w:pPr>
              <w:pStyle w:val="APVMATableHead"/>
            </w:pPr>
            <w:r w:rsidRPr="00BB0CEC">
              <w:t>Vertical sprayer</w:t>
            </w:r>
          </w:p>
        </w:tc>
        <w:tc>
          <w:tcPr>
            <w:tcW w:w="1090" w:type="pct"/>
            <w:tcBorders>
              <w:bottom w:val="single" w:sz="4" w:space="0" w:color="auto"/>
            </w:tcBorders>
            <w:shd w:val="clear" w:color="auto" w:fill="53284F"/>
            <w:vAlign w:val="bottom"/>
          </w:tcPr>
          <w:p w14:paraId="754F2C68" w14:textId="7741388D" w:rsidR="00BB0CEC" w:rsidRPr="00BB0CEC" w:rsidRDefault="00BB0CEC" w:rsidP="00BB0CEC">
            <w:pPr>
              <w:pStyle w:val="APVMATableHead"/>
            </w:pPr>
            <w:r w:rsidRPr="00BB0CEC">
              <w:t>Aircraft</w:t>
            </w:r>
          </w:p>
        </w:tc>
      </w:tr>
      <w:tr w:rsidR="00BB0CEC" w14:paraId="37EEC201" w14:textId="79678205" w:rsidTr="00F807AA">
        <w:trPr>
          <w:cantSplit/>
        </w:trPr>
        <w:tc>
          <w:tcPr>
            <w:tcW w:w="640" w:type="pct"/>
            <w:tcBorders>
              <w:top w:val="single" w:sz="4" w:space="0" w:color="auto"/>
              <w:bottom w:val="single" w:sz="4" w:space="0" w:color="auto"/>
            </w:tcBorders>
          </w:tcPr>
          <w:p w14:paraId="0E53B6B5" w14:textId="6840F371" w:rsidR="00BB0CEC" w:rsidRPr="00BB0CEC" w:rsidRDefault="00FA6429" w:rsidP="00BB0CEC">
            <w:pPr>
              <w:pStyle w:val="APVMATableText"/>
            </w:pPr>
            <w:r>
              <w:t>0–</w:t>
            </w:r>
            <w:r w:rsidR="00BB0CEC" w:rsidRPr="00BB0CEC">
              <w:t>100</w:t>
            </w:r>
          </w:p>
        </w:tc>
        <w:tc>
          <w:tcPr>
            <w:tcW w:w="1090" w:type="pct"/>
            <w:tcBorders>
              <w:top w:val="single" w:sz="4" w:space="0" w:color="auto"/>
              <w:bottom w:val="single" w:sz="4" w:space="0" w:color="auto"/>
            </w:tcBorders>
          </w:tcPr>
          <w:p w14:paraId="3C94EA56" w14:textId="7FB9368F" w:rsidR="00BB0CEC" w:rsidRPr="00BB0CEC" w:rsidRDefault="00BB0CEC" w:rsidP="00BB0CEC">
            <w:pPr>
              <w:pStyle w:val="APVMATableText"/>
            </w:pPr>
            <w:r w:rsidRPr="00BB0CEC">
              <w:t>5</w:t>
            </w:r>
          </w:p>
        </w:tc>
        <w:tc>
          <w:tcPr>
            <w:tcW w:w="1138" w:type="pct"/>
            <w:tcBorders>
              <w:top w:val="single" w:sz="4" w:space="0" w:color="auto"/>
              <w:bottom w:val="single" w:sz="4" w:space="0" w:color="auto"/>
            </w:tcBorders>
          </w:tcPr>
          <w:p w14:paraId="528014B8" w14:textId="7F6F1B6F" w:rsidR="00BB0CEC" w:rsidRPr="00BB0CEC" w:rsidRDefault="00BB0CEC" w:rsidP="00BB0CEC">
            <w:pPr>
              <w:pStyle w:val="APVMATableText"/>
            </w:pPr>
            <w:r w:rsidRPr="00BB0CEC">
              <w:t>Yes</w:t>
            </w:r>
          </w:p>
        </w:tc>
        <w:tc>
          <w:tcPr>
            <w:tcW w:w="1042" w:type="pct"/>
            <w:tcBorders>
              <w:top w:val="single" w:sz="4" w:space="0" w:color="auto"/>
              <w:bottom w:val="single" w:sz="4" w:space="0" w:color="auto"/>
            </w:tcBorders>
          </w:tcPr>
          <w:p w14:paraId="327092B2" w14:textId="647C6B88" w:rsidR="00BB0CEC" w:rsidRPr="00BB0CEC" w:rsidRDefault="00BB0CEC" w:rsidP="00BB0CEC">
            <w:pPr>
              <w:pStyle w:val="APVMATableText"/>
            </w:pPr>
            <w:r w:rsidRPr="00BB0CEC">
              <w:t>Yes</w:t>
            </w:r>
          </w:p>
        </w:tc>
        <w:tc>
          <w:tcPr>
            <w:tcW w:w="1090" w:type="pct"/>
            <w:tcBorders>
              <w:top w:val="single" w:sz="4" w:space="0" w:color="auto"/>
              <w:bottom w:val="single" w:sz="4" w:space="0" w:color="auto"/>
            </w:tcBorders>
          </w:tcPr>
          <w:p w14:paraId="12F3FDEB" w14:textId="14362424" w:rsidR="00BB0CEC" w:rsidRPr="00BB0CEC" w:rsidRDefault="00BB0CEC" w:rsidP="00BB0CEC">
            <w:pPr>
              <w:pStyle w:val="APVMATableText"/>
            </w:pPr>
            <w:r w:rsidRPr="00BB0CEC">
              <w:t>Yes</w:t>
            </w:r>
          </w:p>
        </w:tc>
      </w:tr>
      <w:tr w:rsidR="00BB0CEC" w14:paraId="6E0E96EA" w14:textId="3560DCD7" w:rsidTr="00F807AA">
        <w:trPr>
          <w:cantSplit/>
        </w:trPr>
        <w:tc>
          <w:tcPr>
            <w:tcW w:w="640" w:type="pct"/>
            <w:tcBorders>
              <w:top w:val="single" w:sz="4" w:space="0" w:color="auto"/>
              <w:bottom w:val="single" w:sz="4" w:space="0" w:color="auto"/>
            </w:tcBorders>
          </w:tcPr>
          <w:p w14:paraId="5D957541" w14:textId="7C15237C" w:rsidR="00BB0CEC" w:rsidRPr="00BB0CEC" w:rsidRDefault="00BB0CEC" w:rsidP="00BB0CEC">
            <w:pPr>
              <w:pStyle w:val="APVMATableText"/>
            </w:pPr>
            <w:r w:rsidRPr="00BB0CEC">
              <w:t>100–250</w:t>
            </w:r>
          </w:p>
        </w:tc>
        <w:tc>
          <w:tcPr>
            <w:tcW w:w="1090" w:type="pct"/>
            <w:tcBorders>
              <w:top w:val="single" w:sz="4" w:space="0" w:color="auto"/>
              <w:bottom w:val="single" w:sz="4" w:space="0" w:color="auto"/>
            </w:tcBorders>
          </w:tcPr>
          <w:p w14:paraId="49C03719" w14:textId="51FF44E8" w:rsidR="00BB0CEC" w:rsidRPr="00BB0CEC" w:rsidRDefault="00BB0CEC" w:rsidP="00BB0CEC">
            <w:pPr>
              <w:pStyle w:val="APVMATableText"/>
            </w:pPr>
            <w:r w:rsidRPr="00BB0CEC">
              <w:t>10</w:t>
            </w:r>
          </w:p>
        </w:tc>
        <w:tc>
          <w:tcPr>
            <w:tcW w:w="1138" w:type="pct"/>
            <w:tcBorders>
              <w:top w:val="single" w:sz="4" w:space="0" w:color="auto"/>
              <w:bottom w:val="single" w:sz="4" w:space="0" w:color="auto"/>
            </w:tcBorders>
          </w:tcPr>
          <w:p w14:paraId="3B06B1AD" w14:textId="490351AC" w:rsidR="00BB0CEC" w:rsidRPr="00BB0CEC" w:rsidRDefault="00BB0CEC" w:rsidP="00BB0CEC">
            <w:pPr>
              <w:pStyle w:val="APVMATableText"/>
            </w:pPr>
            <w:r w:rsidRPr="00BB0CEC">
              <w:t>Yes</w:t>
            </w:r>
          </w:p>
        </w:tc>
        <w:tc>
          <w:tcPr>
            <w:tcW w:w="1042" w:type="pct"/>
            <w:tcBorders>
              <w:top w:val="single" w:sz="4" w:space="0" w:color="auto"/>
              <w:bottom w:val="single" w:sz="4" w:space="0" w:color="auto"/>
            </w:tcBorders>
          </w:tcPr>
          <w:p w14:paraId="778A1931" w14:textId="1F6101B6" w:rsidR="00BB0CEC" w:rsidRPr="00BB0CEC" w:rsidRDefault="00BB0CEC" w:rsidP="00BB0CEC">
            <w:pPr>
              <w:pStyle w:val="APVMATableText"/>
            </w:pPr>
            <w:r w:rsidRPr="00BB0CEC">
              <w:t>Yes</w:t>
            </w:r>
          </w:p>
        </w:tc>
        <w:tc>
          <w:tcPr>
            <w:tcW w:w="1090" w:type="pct"/>
            <w:tcBorders>
              <w:top w:val="single" w:sz="4" w:space="0" w:color="auto"/>
              <w:bottom w:val="single" w:sz="4" w:space="0" w:color="auto"/>
            </w:tcBorders>
          </w:tcPr>
          <w:p w14:paraId="6004EDFC" w14:textId="678B6EDE" w:rsidR="00BB0CEC" w:rsidRPr="00BB0CEC" w:rsidRDefault="00BB0CEC" w:rsidP="00BB0CEC">
            <w:pPr>
              <w:pStyle w:val="APVMATableText"/>
            </w:pPr>
            <w:r w:rsidRPr="00BB0CEC">
              <w:t>Yes</w:t>
            </w:r>
          </w:p>
        </w:tc>
      </w:tr>
      <w:tr w:rsidR="00BB0CEC" w14:paraId="5F7CC70F" w14:textId="382ABA22" w:rsidTr="00F807AA">
        <w:trPr>
          <w:cantSplit/>
        </w:trPr>
        <w:tc>
          <w:tcPr>
            <w:tcW w:w="640" w:type="pct"/>
            <w:tcBorders>
              <w:top w:val="single" w:sz="4" w:space="0" w:color="auto"/>
              <w:bottom w:val="single" w:sz="4" w:space="0" w:color="auto"/>
            </w:tcBorders>
          </w:tcPr>
          <w:p w14:paraId="40C0913C" w14:textId="6B292CFD" w:rsidR="00BB0CEC" w:rsidRPr="00BB0CEC" w:rsidRDefault="00BB0CEC" w:rsidP="00BB0CEC">
            <w:pPr>
              <w:pStyle w:val="APVMATableText"/>
            </w:pPr>
            <w:r w:rsidRPr="00BB0CEC">
              <w:t>250–400</w:t>
            </w:r>
          </w:p>
        </w:tc>
        <w:tc>
          <w:tcPr>
            <w:tcW w:w="1090" w:type="pct"/>
            <w:tcBorders>
              <w:top w:val="single" w:sz="4" w:space="0" w:color="auto"/>
              <w:bottom w:val="single" w:sz="4" w:space="0" w:color="auto"/>
            </w:tcBorders>
          </w:tcPr>
          <w:p w14:paraId="369078F3" w14:textId="25AFC6CB" w:rsidR="00BB0CEC" w:rsidRPr="00BB0CEC" w:rsidRDefault="00BB0CEC" w:rsidP="00BB0CEC">
            <w:pPr>
              <w:pStyle w:val="APVMATableText"/>
            </w:pPr>
            <w:r w:rsidRPr="00BB0CEC">
              <w:t>25</w:t>
            </w:r>
          </w:p>
        </w:tc>
        <w:tc>
          <w:tcPr>
            <w:tcW w:w="1138" w:type="pct"/>
            <w:tcBorders>
              <w:top w:val="single" w:sz="4" w:space="0" w:color="auto"/>
              <w:bottom w:val="single" w:sz="4" w:space="0" w:color="auto"/>
            </w:tcBorders>
          </w:tcPr>
          <w:p w14:paraId="11C89607" w14:textId="636A2E57" w:rsidR="00BB0CEC" w:rsidRPr="00BB0CEC" w:rsidRDefault="00BB0CEC" w:rsidP="00BB0CEC">
            <w:pPr>
              <w:pStyle w:val="APVMATableText"/>
            </w:pPr>
            <w:r w:rsidRPr="00BB0CEC">
              <w:t>Yes</w:t>
            </w:r>
          </w:p>
        </w:tc>
        <w:tc>
          <w:tcPr>
            <w:tcW w:w="1042" w:type="pct"/>
            <w:vMerge w:val="restart"/>
            <w:tcBorders>
              <w:top w:val="single" w:sz="4" w:space="0" w:color="auto"/>
            </w:tcBorders>
            <w:vAlign w:val="center"/>
          </w:tcPr>
          <w:p w14:paraId="6C1BDFDA" w14:textId="7B809C37" w:rsidR="00BB0CEC" w:rsidRPr="00BB0CEC" w:rsidRDefault="00BB0CEC" w:rsidP="00CD6ABC">
            <w:pPr>
              <w:pStyle w:val="APVMATableText"/>
            </w:pPr>
            <w:r w:rsidRPr="00BB0CEC">
              <w:t>Outside validated standard deposition curve range</w:t>
            </w:r>
          </w:p>
        </w:tc>
        <w:tc>
          <w:tcPr>
            <w:tcW w:w="1090" w:type="pct"/>
            <w:tcBorders>
              <w:top w:val="single" w:sz="4" w:space="0" w:color="auto"/>
              <w:bottom w:val="single" w:sz="4" w:space="0" w:color="auto"/>
            </w:tcBorders>
          </w:tcPr>
          <w:p w14:paraId="5A337F2B" w14:textId="0FF5D74E" w:rsidR="00BB0CEC" w:rsidRPr="00BB0CEC" w:rsidRDefault="00BB0CEC" w:rsidP="00BB0CEC">
            <w:pPr>
              <w:pStyle w:val="APVMATableText"/>
            </w:pPr>
            <w:r w:rsidRPr="00BB0CEC">
              <w:t>Yes</w:t>
            </w:r>
          </w:p>
        </w:tc>
      </w:tr>
      <w:tr w:rsidR="00BB0CEC" w14:paraId="1724C1D5" w14:textId="77777777" w:rsidTr="00F807AA">
        <w:trPr>
          <w:cantSplit/>
        </w:trPr>
        <w:tc>
          <w:tcPr>
            <w:tcW w:w="640" w:type="pct"/>
            <w:tcBorders>
              <w:top w:val="single" w:sz="4" w:space="0" w:color="auto"/>
              <w:bottom w:val="single" w:sz="4" w:space="0" w:color="auto"/>
            </w:tcBorders>
          </w:tcPr>
          <w:p w14:paraId="4AF3AB1E" w14:textId="782CCA9D" w:rsidR="00BB0CEC" w:rsidRPr="00BB0CEC" w:rsidRDefault="00BB0CEC" w:rsidP="00BB0CEC">
            <w:pPr>
              <w:pStyle w:val="APVMATableText"/>
            </w:pPr>
            <w:r w:rsidRPr="00BB0CEC">
              <w:t>400–800</w:t>
            </w:r>
          </w:p>
        </w:tc>
        <w:tc>
          <w:tcPr>
            <w:tcW w:w="1090" w:type="pct"/>
            <w:tcBorders>
              <w:top w:val="single" w:sz="4" w:space="0" w:color="auto"/>
              <w:bottom w:val="single" w:sz="4" w:space="0" w:color="auto"/>
            </w:tcBorders>
          </w:tcPr>
          <w:p w14:paraId="00F8683B" w14:textId="6965D8C0" w:rsidR="00BB0CEC" w:rsidRPr="00BB0CEC" w:rsidRDefault="00BB0CEC" w:rsidP="00BB0CEC">
            <w:pPr>
              <w:pStyle w:val="APVMATableText"/>
            </w:pPr>
            <w:r w:rsidRPr="00BB0CEC">
              <w:t>25</w:t>
            </w:r>
          </w:p>
        </w:tc>
        <w:tc>
          <w:tcPr>
            <w:tcW w:w="1138" w:type="pct"/>
            <w:tcBorders>
              <w:top w:val="single" w:sz="4" w:space="0" w:color="auto"/>
              <w:bottom w:val="single" w:sz="4" w:space="0" w:color="auto"/>
            </w:tcBorders>
          </w:tcPr>
          <w:p w14:paraId="54C35A1A" w14:textId="0339375D" w:rsidR="00BB0CEC" w:rsidRPr="00BB0CEC" w:rsidRDefault="00BB0CEC" w:rsidP="00BB0CEC">
            <w:pPr>
              <w:pStyle w:val="APVMATableText"/>
            </w:pPr>
            <w:r w:rsidRPr="00BB0CEC">
              <w:t>Outside validated standard deposition curve range</w:t>
            </w:r>
          </w:p>
        </w:tc>
        <w:tc>
          <w:tcPr>
            <w:tcW w:w="1042" w:type="pct"/>
            <w:vMerge/>
            <w:tcBorders>
              <w:bottom w:val="single" w:sz="4" w:space="0" w:color="auto"/>
            </w:tcBorders>
          </w:tcPr>
          <w:p w14:paraId="656479E6" w14:textId="77777777" w:rsidR="00BB0CEC" w:rsidRPr="00BB0CEC" w:rsidRDefault="00BB0CEC" w:rsidP="00BB0CEC">
            <w:pPr>
              <w:pStyle w:val="APVMATableText"/>
            </w:pPr>
          </w:p>
        </w:tc>
        <w:tc>
          <w:tcPr>
            <w:tcW w:w="1090" w:type="pct"/>
            <w:tcBorders>
              <w:top w:val="single" w:sz="4" w:space="0" w:color="auto"/>
              <w:bottom w:val="single" w:sz="4" w:space="0" w:color="auto"/>
            </w:tcBorders>
          </w:tcPr>
          <w:p w14:paraId="5AA56BC8" w14:textId="450D96B1" w:rsidR="00BB0CEC" w:rsidRPr="00BB0CEC" w:rsidRDefault="00BB0CEC" w:rsidP="00BB0CEC">
            <w:pPr>
              <w:pStyle w:val="APVMATableText"/>
            </w:pPr>
            <w:r w:rsidRPr="00BB0CEC">
              <w:t>Yes</w:t>
            </w:r>
          </w:p>
        </w:tc>
      </w:tr>
    </w:tbl>
    <w:p w14:paraId="396BF474" w14:textId="57CC3740" w:rsidR="00C24AA9" w:rsidRDefault="00BB0CEC" w:rsidP="00BB0CEC">
      <w:pPr>
        <w:pStyle w:val="Heading2"/>
      </w:pPr>
      <w:bookmarkStart w:id="51" w:name="_Toc14340860"/>
      <w:r>
        <w:t>Mandatory tank mixes</w:t>
      </w:r>
      <w:bookmarkEnd w:id="51"/>
    </w:p>
    <w:p w14:paraId="73EC21D4" w14:textId="77777777" w:rsidR="00BB0CEC" w:rsidRPr="00BB0CEC" w:rsidRDefault="00BB0CEC" w:rsidP="00BB0CEC">
      <w:pPr>
        <w:pStyle w:val="NormalText"/>
      </w:pPr>
      <w:r w:rsidRPr="00BB0CEC">
        <w:t>NOTE: This function is not available in the current SDRAT.</w:t>
      </w:r>
    </w:p>
    <w:p w14:paraId="44DAB3AF" w14:textId="77777777" w:rsidR="00BB0CEC" w:rsidRPr="00BB0CEC" w:rsidRDefault="00BB0CEC" w:rsidP="00BB0CEC">
      <w:pPr>
        <w:pStyle w:val="NormalText"/>
      </w:pPr>
      <w:r w:rsidRPr="00BB0CEC">
        <w:t>When an instruction for a mandatory tank-mix instruction is considered, a set of RALs for each combination in a particular ratio (ie the product used by itself and with mandatory tank mix partner/s—see section 3.3) will be entered into the SDRAT. As RALs are expressed as a fraction of applied rate (see section 3.2), each set of RALs will also have an active application rate relative to the product being assessed, but adjusted to the tank mix.</w:t>
      </w:r>
    </w:p>
    <w:p w14:paraId="152C092F" w14:textId="1281709D" w:rsidR="00BB0CEC" w:rsidRDefault="00BB0CEC" w:rsidP="00BB0CEC">
      <w:pPr>
        <w:pStyle w:val="NormalText"/>
      </w:pPr>
      <w:r w:rsidRPr="00BB0CEC">
        <w:t>The SDRAT will then calculate the required buffer zones for the use pattern of each combination. For simplicity only the worst case will be used for label/permit instructions, however the buffer zone table may be expanded to cover the additional combi</w:t>
      </w:r>
      <w:r w:rsidR="00812A30">
        <w:t>nations if required.</w:t>
      </w:r>
    </w:p>
    <w:p w14:paraId="032CFE67" w14:textId="76771250" w:rsidR="00BB0CEC" w:rsidRPr="00BB0CEC" w:rsidRDefault="00BB0CEC" w:rsidP="00BB0CEC">
      <w:pPr>
        <w:pStyle w:val="NormalText"/>
      </w:pPr>
      <w:r w:rsidRPr="00BB0CEC">
        <w:lastRenderedPageBreak/>
        <w:t>The formula used to calculate the adjusted active r</w:t>
      </w:r>
      <w:r w:rsidR="00460E9D">
        <w:t>ate for tank mixes is shown in e</w:t>
      </w:r>
      <w:r w:rsidRPr="00BB0CEC">
        <w:t>quation 13 and an example is provided i</w:t>
      </w:r>
      <w:r w:rsidR="0043717A">
        <w:t>n t</w:t>
      </w:r>
      <w:r w:rsidRPr="00BB0CEC">
        <w:t>able 10. An example of determining the worst case buffer zones for label/p</w:t>
      </w:r>
      <w:r w:rsidR="0043717A">
        <w:t>ermit instructions is shown in t</w:t>
      </w:r>
      <w:r w:rsidRPr="00BB0CEC">
        <w:t>able 11.</w:t>
      </w:r>
    </w:p>
    <w:p w14:paraId="5B3874C0" w14:textId="77777777" w:rsidR="00BB0CEC" w:rsidRPr="00BB0CEC" w:rsidRDefault="00BB0CEC" w:rsidP="00BB0CEC">
      <w:pPr>
        <w:pStyle w:val="Caption"/>
      </w:pPr>
      <w:r w:rsidRPr="00BB0CEC">
        <w:t>Equation 13: Formula for calculating adjusted active rates for tank mixes</w:t>
      </w:r>
    </w:p>
    <w:p w14:paraId="7E84649F" w14:textId="4409E50C" w:rsidR="00BB0CEC" w:rsidRDefault="00BB0CEC" w:rsidP="00BB0CEC">
      <w:pPr>
        <w:pStyle w:val="RGNormalText"/>
        <w:spacing w:before="720" w:after="720"/>
        <w:ind w:right="-285"/>
      </w:pPr>
      <m:oMathPara>
        <m:oMath>
          <m:r>
            <w:rPr>
              <w:rFonts w:ascii="Cambria Math" w:hAnsi="Cambria Math"/>
            </w:rPr>
            <m:t>ActiveRate(tank mix)=Conc(product)× Rate(product)+Conc(tank mix partner)×Rate(tank mix partner)</m:t>
          </m:r>
        </m:oMath>
      </m:oMathPara>
    </w:p>
    <w:p w14:paraId="7DEC4F7B" w14:textId="6517B1DC" w:rsidR="00BB0CEC" w:rsidRPr="00BB0CEC" w:rsidRDefault="00BB0CEC" w:rsidP="00BB0CEC">
      <w:pPr>
        <w:pStyle w:val="Caption"/>
      </w:pPr>
      <w:bookmarkStart w:id="52" w:name="_Toc14340889"/>
      <w:r w:rsidRPr="00BB0CEC">
        <w:t xml:space="preserve">Table </w:t>
      </w:r>
      <w:r w:rsidR="00371051">
        <w:rPr>
          <w:noProof/>
        </w:rPr>
        <w:fldChar w:fldCharType="begin"/>
      </w:r>
      <w:r w:rsidR="00371051">
        <w:rPr>
          <w:noProof/>
        </w:rPr>
        <w:instrText xml:space="preserve"> SEQ Table \* ARABIC </w:instrText>
      </w:r>
      <w:r w:rsidR="00371051">
        <w:rPr>
          <w:noProof/>
        </w:rPr>
        <w:fldChar w:fldCharType="separate"/>
      </w:r>
      <w:r w:rsidR="00037DBD">
        <w:rPr>
          <w:noProof/>
        </w:rPr>
        <w:t>10</w:t>
      </w:r>
      <w:r w:rsidR="00371051">
        <w:rPr>
          <w:noProof/>
        </w:rPr>
        <w:fldChar w:fldCharType="end"/>
      </w:r>
      <w:r w:rsidRPr="00BB0CEC">
        <w:t>:</w:t>
      </w:r>
      <w:r w:rsidRPr="00BB0CEC">
        <w:tab/>
        <w:t>Example calculation of an adjusted active concentration for a tank mix</w:t>
      </w:r>
      <w:bookmarkEnd w:id="52"/>
    </w:p>
    <w:tbl>
      <w:tblPr>
        <w:tblW w:w="5000" w:type="pct"/>
        <w:tblBorders>
          <w:bottom w:val="dotted" w:sz="2" w:space="0" w:color="auto"/>
          <w:insideH w:val="dotted" w:sz="2" w:space="0" w:color="auto"/>
        </w:tblBorders>
        <w:tblLook w:val="01E0" w:firstRow="1" w:lastRow="1" w:firstColumn="1" w:lastColumn="1" w:noHBand="0" w:noVBand="0"/>
      </w:tblPr>
      <w:tblGrid>
        <w:gridCol w:w="3686"/>
        <w:gridCol w:w="2552"/>
        <w:gridCol w:w="3400"/>
      </w:tblGrid>
      <w:tr w:rsidR="00BB0CEC" w14:paraId="198E878A" w14:textId="77777777" w:rsidTr="00BB0CEC">
        <w:trPr>
          <w:cantSplit/>
          <w:tblHeader/>
        </w:trPr>
        <w:tc>
          <w:tcPr>
            <w:tcW w:w="1912" w:type="pct"/>
            <w:tcBorders>
              <w:bottom w:val="single" w:sz="4" w:space="0" w:color="auto"/>
            </w:tcBorders>
            <w:shd w:val="clear" w:color="auto" w:fill="53284F"/>
            <w:vAlign w:val="bottom"/>
          </w:tcPr>
          <w:p w14:paraId="6DB20B68" w14:textId="11D27865" w:rsidR="00BB0CEC" w:rsidRPr="00BB0CEC" w:rsidRDefault="00BB0CEC" w:rsidP="00BB0CEC">
            <w:pPr>
              <w:pStyle w:val="APVMATableHead"/>
            </w:pPr>
          </w:p>
        </w:tc>
        <w:tc>
          <w:tcPr>
            <w:tcW w:w="1324" w:type="pct"/>
            <w:tcBorders>
              <w:bottom w:val="single" w:sz="4" w:space="0" w:color="auto"/>
            </w:tcBorders>
            <w:shd w:val="clear" w:color="auto" w:fill="53284F"/>
            <w:vAlign w:val="bottom"/>
          </w:tcPr>
          <w:p w14:paraId="626C7A02" w14:textId="3892D67C" w:rsidR="00BB0CEC" w:rsidRPr="00BB0CEC" w:rsidRDefault="00BB0CEC" w:rsidP="00BB0CEC">
            <w:pPr>
              <w:pStyle w:val="APVMATableHead"/>
            </w:pPr>
            <w:r w:rsidRPr="00BB0CEC">
              <w:t>Product used by itself</w:t>
            </w:r>
          </w:p>
        </w:tc>
        <w:tc>
          <w:tcPr>
            <w:tcW w:w="1764" w:type="pct"/>
            <w:tcBorders>
              <w:bottom w:val="single" w:sz="4" w:space="0" w:color="auto"/>
            </w:tcBorders>
            <w:shd w:val="clear" w:color="auto" w:fill="53284F"/>
            <w:vAlign w:val="bottom"/>
          </w:tcPr>
          <w:p w14:paraId="769187D9" w14:textId="1A3374CC" w:rsidR="00BB0CEC" w:rsidRPr="00BB0CEC" w:rsidRDefault="00BB0CEC" w:rsidP="00BB0CEC">
            <w:pPr>
              <w:pStyle w:val="APVMATableHead"/>
            </w:pPr>
            <w:r w:rsidRPr="00BB0CEC">
              <w:t>Product used with mandatory tank mix partner</w:t>
            </w:r>
          </w:p>
        </w:tc>
      </w:tr>
      <w:tr w:rsidR="00BB0CEC" w14:paraId="7F108602" w14:textId="77777777" w:rsidTr="00BB0CEC">
        <w:trPr>
          <w:cantSplit/>
        </w:trPr>
        <w:tc>
          <w:tcPr>
            <w:tcW w:w="1912" w:type="pct"/>
            <w:tcBorders>
              <w:top w:val="single" w:sz="4" w:space="0" w:color="auto"/>
              <w:bottom w:val="single" w:sz="4" w:space="0" w:color="auto"/>
            </w:tcBorders>
          </w:tcPr>
          <w:p w14:paraId="0BF28749" w14:textId="5AE26E0C" w:rsidR="00BB0CEC" w:rsidRPr="00BB0CEC" w:rsidRDefault="00BB0CEC" w:rsidP="00BB0CEC">
            <w:pPr>
              <w:pStyle w:val="APVMATableText"/>
            </w:pPr>
            <w:r w:rsidRPr="00367FFE">
              <w:t>Active concentration of product</w:t>
            </w:r>
          </w:p>
        </w:tc>
        <w:tc>
          <w:tcPr>
            <w:tcW w:w="1324" w:type="pct"/>
            <w:tcBorders>
              <w:top w:val="single" w:sz="4" w:space="0" w:color="auto"/>
              <w:bottom w:val="single" w:sz="4" w:space="0" w:color="auto"/>
            </w:tcBorders>
          </w:tcPr>
          <w:p w14:paraId="723CC04D" w14:textId="3BA49C46" w:rsidR="00BB0CEC" w:rsidRPr="00BB0CEC" w:rsidRDefault="00BB0CEC" w:rsidP="00BB0CEC">
            <w:pPr>
              <w:pStyle w:val="APVMATableText"/>
            </w:pPr>
            <w:r>
              <w:t>250 g ac/L</w:t>
            </w:r>
          </w:p>
        </w:tc>
        <w:tc>
          <w:tcPr>
            <w:tcW w:w="1764" w:type="pct"/>
            <w:tcBorders>
              <w:top w:val="single" w:sz="4" w:space="0" w:color="auto"/>
              <w:bottom w:val="single" w:sz="4" w:space="0" w:color="auto"/>
            </w:tcBorders>
          </w:tcPr>
          <w:p w14:paraId="1FAA4070" w14:textId="350C0212" w:rsidR="00BB0CEC" w:rsidRPr="00BB0CEC" w:rsidRDefault="00BB0CEC" w:rsidP="00BB0CEC">
            <w:pPr>
              <w:pStyle w:val="APVMATableText"/>
            </w:pPr>
            <w:r>
              <w:t>250 g ac/L</w:t>
            </w:r>
          </w:p>
        </w:tc>
      </w:tr>
      <w:tr w:rsidR="00BB0CEC" w14:paraId="06FF0362" w14:textId="77777777" w:rsidTr="00BB0CEC">
        <w:trPr>
          <w:cantSplit/>
        </w:trPr>
        <w:tc>
          <w:tcPr>
            <w:tcW w:w="1912" w:type="pct"/>
            <w:tcBorders>
              <w:top w:val="single" w:sz="4" w:space="0" w:color="auto"/>
              <w:bottom w:val="single" w:sz="4" w:space="0" w:color="auto"/>
            </w:tcBorders>
          </w:tcPr>
          <w:p w14:paraId="37F1EAAC" w14:textId="28B841CF" w:rsidR="00BB0CEC" w:rsidRPr="00BB0CEC" w:rsidRDefault="00BB0CEC" w:rsidP="00BB0CEC">
            <w:pPr>
              <w:pStyle w:val="APVMATableText"/>
            </w:pPr>
            <w:r w:rsidRPr="00367FFE">
              <w:t>Active concentration of tank mix partner</w:t>
            </w:r>
          </w:p>
        </w:tc>
        <w:tc>
          <w:tcPr>
            <w:tcW w:w="1324" w:type="pct"/>
            <w:tcBorders>
              <w:top w:val="single" w:sz="4" w:space="0" w:color="auto"/>
              <w:bottom w:val="single" w:sz="4" w:space="0" w:color="auto"/>
            </w:tcBorders>
          </w:tcPr>
          <w:p w14:paraId="56C48A58" w14:textId="3FC170CD" w:rsidR="00BB0CEC" w:rsidRPr="00BB0CEC" w:rsidRDefault="00BB0CEC" w:rsidP="00BB0CEC">
            <w:pPr>
              <w:pStyle w:val="APVMATableText"/>
            </w:pPr>
            <w:r>
              <w:t>-</w:t>
            </w:r>
          </w:p>
        </w:tc>
        <w:tc>
          <w:tcPr>
            <w:tcW w:w="1764" w:type="pct"/>
            <w:tcBorders>
              <w:top w:val="single" w:sz="4" w:space="0" w:color="auto"/>
              <w:bottom w:val="single" w:sz="4" w:space="0" w:color="auto"/>
            </w:tcBorders>
          </w:tcPr>
          <w:p w14:paraId="4CFC4535" w14:textId="7B1130B3" w:rsidR="00BB0CEC" w:rsidRPr="00BB0CEC" w:rsidRDefault="00BB0CEC" w:rsidP="00BB0CEC">
            <w:pPr>
              <w:pStyle w:val="APVMATableText"/>
            </w:pPr>
            <w:r>
              <w:t>500 g ac/L</w:t>
            </w:r>
          </w:p>
        </w:tc>
      </w:tr>
      <w:tr w:rsidR="00BB0CEC" w14:paraId="767CEFE1" w14:textId="77777777" w:rsidTr="00BB0CEC">
        <w:trPr>
          <w:cantSplit/>
        </w:trPr>
        <w:tc>
          <w:tcPr>
            <w:tcW w:w="1912" w:type="pct"/>
            <w:tcBorders>
              <w:top w:val="single" w:sz="4" w:space="0" w:color="auto"/>
              <w:bottom w:val="single" w:sz="4" w:space="0" w:color="auto"/>
            </w:tcBorders>
          </w:tcPr>
          <w:p w14:paraId="00318DCA" w14:textId="5D864720" w:rsidR="00BB0CEC" w:rsidRPr="00BB0CEC" w:rsidRDefault="00BB0CEC" w:rsidP="00BB0CEC">
            <w:pPr>
              <w:pStyle w:val="APVMATableText"/>
            </w:pPr>
            <w:r w:rsidRPr="00367FFE">
              <w:t>Maximum application rate of product</w:t>
            </w:r>
          </w:p>
        </w:tc>
        <w:tc>
          <w:tcPr>
            <w:tcW w:w="1324" w:type="pct"/>
            <w:tcBorders>
              <w:top w:val="single" w:sz="4" w:space="0" w:color="auto"/>
              <w:bottom w:val="single" w:sz="4" w:space="0" w:color="auto"/>
            </w:tcBorders>
          </w:tcPr>
          <w:p w14:paraId="081920EE" w14:textId="03637976" w:rsidR="00BB0CEC" w:rsidRPr="00BB0CEC" w:rsidRDefault="00BB0CEC" w:rsidP="00BB0CEC">
            <w:pPr>
              <w:pStyle w:val="APVMATableText"/>
            </w:pPr>
            <w:r>
              <w:t>1,000 mL/ha</w:t>
            </w:r>
          </w:p>
        </w:tc>
        <w:tc>
          <w:tcPr>
            <w:tcW w:w="1764" w:type="pct"/>
            <w:tcBorders>
              <w:top w:val="single" w:sz="4" w:space="0" w:color="auto"/>
              <w:bottom w:val="single" w:sz="4" w:space="0" w:color="auto"/>
            </w:tcBorders>
          </w:tcPr>
          <w:p w14:paraId="4710F3D3" w14:textId="1A374763" w:rsidR="00BB0CEC" w:rsidRPr="00BB0CEC" w:rsidRDefault="00BB0CEC" w:rsidP="00BB0CEC">
            <w:pPr>
              <w:pStyle w:val="APVMATableText"/>
            </w:pPr>
            <w:r>
              <w:t>500 mL/ha</w:t>
            </w:r>
          </w:p>
        </w:tc>
      </w:tr>
      <w:tr w:rsidR="00BB0CEC" w14:paraId="1835D58F" w14:textId="77777777" w:rsidTr="00BB0CEC">
        <w:trPr>
          <w:cantSplit/>
        </w:trPr>
        <w:tc>
          <w:tcPr>
            <w:tcW w:w="1912" w:type="pct"/>
            <w:tcBorders>
              <w:top w:val="single" w:sz="4" w:space="0" w:color="auto"/>
              <w:bottom w:val="single" w:sz="4" w:space="0" w:color="auto"/>
            </w:tcBorders>
          </w:tcPr>
          <w:p w14:paraId="320B91C3" w14:textId="55BA5830" w:rsidR="00BB0CEC" w:rsidRPr="00BB0CEC" w:rsidRDefault="00BB0CEC" w:rsidP="00BB0CEC">
            <w:pPr>
              <w:pStyle w:val="APVMATableText"/>
            </w:pPr>
            <w:r w:rsidRPr="00367FFE">
              <w:t>Maximum application rate of tank mix partner</w:t>
            </w:r>
          </w:p>
        </w:tc>
        <w:tc>
          <w:tcPr>
            <w:tcW w:w="1324" w:type="pct"/>
            <w:tcBorders>
              <w:top w:val="single" w:sz="4" w:space="0" w:color="auto"/>
              <w:bottom w:val="single" w:sz="4" w:space="0" w:color="auto"/>
            </w:tcBorders>
          </w:tcPr>
          <w:p w14:paraId="00E3A59C" w14:textId="68D5FE41" w:rsidR="00BB0CEC" w:rsidRPr="00BB0CEC" w:rsidRDefault="00BB0CEC" w:rsidP="00BB0CEC">
            <w:pPr>
              <w:pStyle w:val="APVMATableText"/>
            </w:pPr>
            <w:r>
              <w:t>-</w:t>
            </w:r>
          </w:p>
        </w:tc>
        <w:tc>
          <w:tcPr>
            <w:tcW w:w="1764" w:type="pct"/>
            <w:tcBorders>
              <w:top w:val="single" w:sz="4" w:space="0" w:color="auto"/>
              <w:bottom w:val="single" w:sz="4" w:space="0" w:color="auto"/>
            </w:tcBorders>
          </w:tcPr>
          <w:p w14:paraId="3854F4E4" w14:textId="7487F520" w:rsidR="00BB0CEC" w:rsidRPr="00BB0CEC" w:rsidRDefault="00BB0CEC" w:rsidP="00BB0CEC">
            <w:pPr>
              <w:pStyle w:val="APVMATableText"/>
            </w:pPr>
            <w:r>
              <w:t>2,000 mL/ha</w:t>
            </w:r>
          </w:p>
        </w:tc>
      </w:tr>
      <w:tr w:rsidR="00BB0CEC" w14:paraId="5C921D6F" w14:textId="77777777" w:rsidTr="00BB0CEC">
        <w:trPr>
          <w:cantSplit/>
        </w:trPr>
        <w:tc>
          <w:tcPr>
            <w:tcW w:w="1912" w:type="pct"/>
            <w:tcBorders>
              <w:top w:val="single" w:sz="4" w:space="0" w:color="auto"/>
              <w:bottom w:val="single" w:sz="4" w:space="0" w:color="auto"/>
            </w:tcBorders>
          </w:tcPr>
          <w:p w14:paraId="40F072C9" w14:textId="6C8012CC" w:rsidR="00BB0CEC" w:rsidRPr="00367FFE" w:rsidRDefault="00BB0CEC" w:rsidP="00BB0CEC">
            <w:pPr>
              <w:pStyle w:val="APVMATableText"/>
            </w:pPr>
            <w:r w:rsidRPr="00367FFE">
              <w:t xml:space="preserve">Active </w:t>
            </w:r>
            <w:r>
              <w:t>applied rate</w:t>
            </w:r>
          </w:p>
        </w:tc>
        <w:tc>
          <w:tcPr>
            <w:tcW w:w="1324" w:type="pct"/>
            <w:tcBorders>
              <w:top w:val="single" w:sz="4" w:space="0" w:color="auto"/>
              <w:bottom w:val="single" w:sz="4" w:space="0" w:color="auto"/>
            </w:tcBorders>
          </w:tcPr>
          <w:p w14:paraId="6370603C" w14:textId="085E1665" w:rsidR="00BB0CEC" w:rsidRDefault="00BB0CEC" w:rsidP="00BB0CEC">
            <w:pPr>
              <w:pStyle w:val="APVMATableText"/>
            </w:pPr>
            <w:r>
              <w:t>250 g/ha</w:t>
            </w:r>
          </w:p>
        </w:tc>
        <w:tc>
          <w:tcPr>
            <w:tcW w:w="1764" w:type="pct"/>
            <w:tcBorders>
              <w:top w:val="single" w:sz="4" w:space="0" w:color="auto"/>
              <w:bottom w:val="single" w:sz="4" w:space="0" w:color="auto"/>
            </w:tcBorders>
          </w:tcPr>
          <w:p w14:paraId="6928C81E" w14:textId="1C8DE4F4" w:rsidR="00BB0CEC" w:rsidRDefault="00BB0CEC" w:rsidP="00BB0CEC">
            <w:pPr>
              <w:pStyle w:val="APVMATableText"/>
            </w:pPr>
            <w:r>
              <w:t xml:space="preserve">1,125 g/ha </w:t>
            </w:r>
          </w:p>
        </w:tc>
      </w:tr>
    </w:tbl>
    <w:p w14:paraId="6794C922" w14:textId="20C0AA0C" w:rsidR="00BB0CEC" w:rsidRPr="00BB0CEC" w:rsidRDefault="00BB0CEC" w:rsidP="00BB0CEC">
      <w:pPr>
        <w:pStyle w:val="Caption"/>
      </w:pPr>
      <w:bookmarkStart w:id="53" w:name="_Toc14340890"/>
      <w:r>
        <w:t xml:space="preserve">Table </w:t>
      </w:r>
      <w:r w:rsidR="00371051">
        <w:rPr>
          <w:noProof/>
        </w:rPr>
        <w:fldChar w:fldCharType="begin"/>
      </w:r>
      <w:r w:rsidR="00371051">
        <w:rPr>
          <w:noProof/>
        </w:rPr>
        <w:instrText xml:space="preserve"> SEQ Table \* ARABIC </w:instrText>
      </w:r>
      <w:r w:rsidR="00371051">
        <w:rPr>
          <w:noProof/>
        </w:rPr>
        <w:fldChar w:fldCharType="separate"/>
      </w:r>
      <w:r w:rsidR="00037DBD">
        <w:rPr>
          <w:noProof/>
        </w:rPr>
        <w:t>11</w:t>
      </w:r>
      <w:r w:rsidR="00371051">
        <w:rPr>
          <w:noProof/>
        </w:rPr>
        <w:fldChar w:fldCharType="end"/>
      </w:r>
      <w:r w:rsidRPr="00BB0CEC">
        <w:t>:</w:t>
      </w:r>
      <w:r w:rsidRPr="00BB0CEC">
        <w:tab/>
      </w:r>
      <w:r>
        <w:t>Example calculation of worst-case buffer zones for a tank mix</w:t>
      </w:r>
      <w:bookmarkEnd w:id="53"/>
    </w:p>
    <w:tbl>
      <w:tblPr>
        <w:tblW w:w="5000" w:type="pct"/>
        <w:tblBorders>
          <w:bottom w:val="dotted" w:sz="2" w:space="0" w:color="auto"/>
          <w:insideH w:val="dotted" w:sz="2" w:space="0" w:color="auto"/>
        </w:tblBorders>
        <w:tblLook w:val="01E0" w:firstRow="1" w:lastRow="1" w:firstColumn="1" w:lastColumn="1" w:noHBand="0" w:noVBand="0"/>
      </w:tblPr>
      <w:tblGrid>
        <w:gridCol w:w="2270"/>
        <w:gridCol w:w="1984"/>
        <w:gridCol w:w="2872"/>
        <w:gridCol w:w="2512"/>
      </w:tblGrid>
      <w:tr w:rsidR="00BB0CEC" w14:paraId="7E93911F" w14:textId="00C3613F" w:rsidTr="00BB0CEC">
        <w:trPr>
          <w:cantSplit/>
          <w:tblHeader/>
        </w:trPr>
        <w:tc>
          <w:tcPr>
            <w:tcW w:w="1177" w:type="pct"/>
            <w:tcBorders>
              <w:bottom w:val="single" w:sz="4" w:space="0" w:color="auto"/>
            </w:tcBorders>
            <w:shd w:val="clear" w:color="auto" w:fill="53284F"/>
            <w:vAlign w:val="bottom"/>
          </w:tcPr>
          <w:p w14:paraId="51F5068D" w14:textId="39BE5351" w:rsidR="00BB0CEC" w:rsidRPr="00BB0CEC" w:rsidRDefault="00BB0CEC" w:rsidP="00BB0CEC">
            <w:pPr>
              <w:pStyle w:val="APVMATableHead"/>
            </w:pPr>
            <w:r w:rsidRPr="00BB0CEC">
              <w:t>Sensitive area</w:t>
            </w:r>
          </w:p>
        </w:tc>
        <w:tc>
          <w:tcPr>
            <w:tcW w:w="1029" w:type="pct"/>
            <w:tcBorders>
              <w:bottom w:val="single" w:sz="4" w:space="0" w:color="auto"/>
            </w:tcBorders>
            <w:shd w:val="clear" w:color="auto" w:fill="53284F"/>
            <w:vAlign w:val="bottom"/>
          </w:tcPr>
          <w:p w14:paraId="400929F6" w14:textId="558F235D" w:rsidR="00BB0CEC" w:rsidRPr="00BB0CEC" w:rsidRDefault="00BB0CEC" w:rsidP="00BB0CEC">
            <w:pPr>
              <w:pStyle w:val="APVMATableHead"/>
            </w:pPr>
            <w:r w:rsidRPr="00BB0CEC">
              <w:t>Product used by itself</w:t>
            </w:r>
          </w:p>
        </w:tc>
        <w:tc>
          <w:tcPr>
            <w:tcW w:w="1490" w:type="pct"/>
            <w:tcBorders>
              <w:bottom w:val="single" w:sz="4" w:space="0" w:color="auto"/>
            </w:tcBorders>
            <w:shd w:val="clear" w:color="auto" w:fill="53284F"/>
            <w:vAlign w:val="bottom"/>
          </w:tcPr>
          <w:p w14:paraId="3A9B9AEF" w14:textId="6F4C97ED" w:rsidR="00BB0CEC" w:rsidRPr="00BB0CEC" w:rsidRDefault="00BB0CEC" w:rsidP="00BB0CEC">
            <w:pPr>
              <w:pStyle w:val="APVMATableHead"/>
            </w:pPr>
            <w:r w:rsidRPr="00BB0CEC">
              <w:t>Product used with mandatory tank mix partner</w:t>
            </w:r>
          </w:p>
        </w:tc>
        <w:tc>
          <w:tcPr>
            <w:tcW w:w="1303" w:type="pct"/>
            <w:tcBorders>
              <w:bottom w:val="single" w:sz="4" w:space="0" w:color="auto"/>
            </w:tcBorders>
            <w:shd w:val="clear" w:color="auto" w:fill="53284F"/>
            <w:vAlign w:val="bottom"/>
          </w:tcPr>
          <w:p w14:paraId="6276676E" w14:textId="686D4393" w:rsidR="00BB0CEC" w:rsidRPr="00BB0CEC" w:rsidRDefault="00BB0CEC" w:rsidP="00BB0CEC">
            <w:pPr>
              <w:pStyle w:val="APVMATableHead"/>
            </w:pPr>
            <w:r w:rsidRPr="00BB0CEC">
              <w:t>Label/permit use instructions</w:t>
            </w:r>
          </w:p>
        </w:tc>
      </w:tr>
      <w:tr w:rsidR="00BB0CEC" w14:paraId="3860EC88" w14:textId="736AD3FB" w:rsidTr="00BB0CEC">
        <w:trPr>
          <w:cantSplit/>
        </w:trPr>
        <w:tc>
          <w:tcPr>
            <w:tcW w:w="1177" w:type="pct"/>
            <w:tcBorders>
              <w:top w:val="single" w:sz="4" w:space="0" w:color="auto"/>
              <w:bottom w:val="single" w:sz="4" w:space="0" w:color="auto"/>
            </w:tcBorders>
          </w:tcPr>
          <w:p w14:paraId="7E334B58" w14:textId="34F2FB46" w:rsidR="00BB0CEC" w:rsidRPr="00BB0CEC" w:rsidRDefault="00BB0CEC" w:rsidP="00BB0CEC">
            <w:pPr>
              <w:pStyle w:val="APVMATableText"/>
            </w:pPr>
            <w:r w:rsidRPr="00BB0CEC">
              <w:t>Bystander areas</w:t>
            </w:r>
          </w:p>
        </w:tc>
        <w:tc>
          <w:tcPr>
            <w:tcW w:w="1029" w:type="pct"/>
            <w:tcBorders>
              <w:top w:val="single" w:sz="4" w:space="0" w:color="auto"/>
              <w:bottom w:val="single" w:sz="4" w:space="0" w:color="auto"/>
            </w:tcBorders>
          </w:tcPr>
          <w:p w14:paraId="10DE5D31" w14:textId="689E8AEA" w:rsidR="00BB0CEC" w:rsidRPr="00BB0CEC" w:rsidRDefault="00BB0CEC" w:rsidP="00BB0CEC">
            <w:pPr>
              <w:pStyle w:val="APVMATableText"/>
            </w:pPr>
            <w:r w:rsidRPr="00BB0CEC">
              <w:t>10 metres</w:t>
            </w:r>
          </w:p>
        </w:tc>
        <w:tc>
          <w:tcPr>
            <w:tcW w:w="1490" w:type="pct"/>
            <w:tcBorders>
              <w:top w:val="single" w:sz="4" w:space="0" w:color="auto"/>
              <w:bottom w:val="single" w:sz="4" w:space="0" w:color="auto"/>
            </w:tcBorders>
          </w:tcPr>
          <w:p w14:paraId="3DA9DBC5" w14:textId="25440EB9" w:rsidR="00BB0CEC" w:rsidRPr="00BB0CEC" w:rsidRDefault="00BB0CEC" w:rsidP="00BB0CEC">
            <w:pPr>
              <w:pStyle w:val="APVMATableText"/>
            </w:pPr>
            <w:r w:rsidRPr="00BB0CEC">
              <w:t>Not required</w:t>
            </w:r>
          </w:p>
        </w:tc>
        <w:tc>
          <w:tcPr>
            <w:tcW w:w="1303" w:type="pct"/>
            <w:tcBorders>
              <w:top w:val="single" w:sz="4" w:space="0" w:color="auto"/>
              <w:bottom w:val="single" w:sz="4" w:space="0" w:color="auto"/>
            </w:tcBorders>
          </w:tcPr>
          <w:p w14:paraId="64533480" w14:textId="3EF58F45" w:rsidR="00BB0CEC" w:rsidRPr="00BB0CEC" w:rsidRDefault="00BB0CEC" w:rsidP="00BB0CEC">
            <w:pPr>
              <w:pStyle w:val="APVMATableText"/>
            </w:pPr>
            <w:r w:rsidRPr="00BB0CEC">
              <w:t>10 metres</w:t>
            </w:r>
          </w:p>
        </w:tc>
      </w:tr>
      <w:tr w:rsidR="00BB0CEC" w14:paraId="42ADC161" w14:textId="6711F720" w:rsidTr="00BB0CEC">
        <w:trPr>
          <w:cantSplit/>
        </w:trPr>
        <w:tc>
          <w:tcPr>
            <w:tcW w:w="1177" w:type="pct"/>
            <w:tcBorders>
              <w:top w:val="single" w:sz="4" w:space="0" w:color="auto"/>
              <w:bottom w:val="single" w:sz="4" w:space="0" w:color="auto"/>
            </w:tcBorders>
          </w:tcPr>
          <w:p w14:paraId="795F00AF" w14:textId="6D862F84" w:rsidR="00BB0CEC" w:rsidRPr="00BB0CEC" w:rsidRDefault="00BB0CEC" w:rsidP="00BB0CEC">
            <w:pPr>
              <w:pStyle w:val="APVMATableText"/>
            </w:pPr>
            <w:r w:rsidRPr="00BB0CEC">
              <w:t>Natural aquatic areas</w:t>
            </w:r>
          </w:p>
        </w:tc>
        <w:tc>
          <w:tcPr>
            <w:tcW w:w="1029" w:type="pct"/>
            <w:tcBorders>
              <w:top w:val="single" w:sz="4" w:space="0" w:color="auto"/>
              <w:bottom w:val="single" w:sz="4" w:space="0" w:color="auto"/>
            </w:tcBorders>
          </w:tcPr>
          <w:p w14:paraId="4CAA2D43" w14:textId="4FD9D8E8" w:rsidR="00BB0CEC" w:rsidRPr="00BB0CEC" w:rsidRDefault="00BB0CEC" w:rsidP="00BB0CEC">
            <w:pPr>
              <w:pStyle w:val="APVMATableText"/>
            </w:pPr>
            <w:r w:rsidRPr="00BB0CEC">
              <w:t>Not required</w:t>
            </w:r>
          </w:p>
        </w:tc>
        <w:tc>
          <w:tcPr>
            <w:tcW w:w="1490" w:type="pct"/>
            <w:tcBorders>
              <w:top w:val="single" w:sz="4" w:space="0" w:color="auto"/>
              <w:bottom w:val="single" w:sz="4" w:space="0" w:color="auto"/>
            </w:tcBorders>
          </w:tcPr>
          <w:p w14:paraId="37974E90" w14:textId="73632328" w:rsidR="00BB0CEC" w:rsidRPr="00BB0CEC" w:rsidRDefault="00BB0CEC" w:rsidP="00BB0CEC">
            <w:pPr>
              <w:pStyle w:val="APVMATableText"/>
            </w:pPr>
            <w:r w:rsidRPr="00BB0CEC">
              <w:t>100 metres</w:t>
            </w:r>
          </w:p>
        </w:tc>
        <w:tc>
          <w:tcPr>
            <w:tcW w:w="1303" w:type="pct"/>
            <w:tcBorders>
              <w:top w:val="single" w:sz="4" w:space="0" w:color="auto"/>
              <w:bottom w:val="single" w:sz="4" w:space="0" w:color="auto"/>
            </w:tcBorders>
          </w:tcPr>
          <w:p w14:paraId="374284A8" w14:textId="3D489E6E" w:rsidR="00BB0CEC" w:rsidRPr="00BB0CEC" w:rsidRDefault="00BB0CEC" w:rsidP="00BB0CEC">
            <w:pPr>
              <w:pStyle w:val="APVMATableText"/>
            </w:pPr>
            <w:r w:rsidRPr="00BB0CEC">
              <w:t>100 metres</w:t>
            </w:r>
          </w:p>
        </w:tc>
      </w:tr>
      <w:tr w:rsidR="00BB0CEC" w14:paraId="453E02E3" w14:textId="0DE7E871" w:rsidTr="00BB0CEC">
        <w:trPr>
          <w:cantSplit/>
        </w:trPr>
        <w:tc>
          <w:tcPr>
            <w:tcW w:w="1177" w:type="pct"/>
            <w:tcBorders>
              <w:top w:val="single" w:sz="4" w:space="0" w:color="auto"/>
              <w:bottom w:val="single" w:sz="4" w:space="0" w:color="auto"/>
            </w:tcBorders>
          </w:tcPr>
          <w:p w14:paraId="1EE082A1" w14:textId="25F2C731" w:rsidR="00BB0CEC" w:rsidRPr="00BB0CEC" w:rsidRDefault="00BB0CEC" w:rsidP="00BB0CEC">
            <w:pPr>
              <w:pStyle w:val="APVMATableText"/>
            </w:pPr>
            <w:r w:rsidRPr="00BB0CEC">
              <w:t>Pollinator areas</w:t>
            </w:r>
          </w:p>
        </w:tc>
        <w:tc>
          <w:tcPr>
            <w:tcW w:w="1029" w:type="pct"/>
            <w:tcBorders>
              <w:top w:val="single" w:sz="4" w:space="0" w:color="auto"/>
              <w:bottom w:val="single" w:sz="4" w:space="0" w:color="auto"/>
            </w:tcBorders>
          </w:tcPr>
          <w:p w14:paraId="26000C8B" w14:textId="6DD0657C" w:rsidR="00BB0CEC" w:rsidRPr="00BB0CEC" w:rsidRDefault="00BB0CEC" w:rsidP="00BB0CEC">
            <w:pPr>
              <w:pStyle w:val="APVMATableText"/>
            </w:pPr>
            <w:r w:rsidRPr="00BB0CEC">
              <w:t>20 metres</w:t>
            </w:r>
          </w:p>
        </w:tc>
        <w:tc>
          <w:tcPr>
            <w:tcW w:w="1490" w:type="pct"/>
            <w:tcBorders>
              <w:top w:val="single" w:sz="4" w:space="0" w:color="auto"/>
              <w:bottom w:val="single" w:sz="4" w:space="0" w:color="auto"/>
            </w:tcBorders>
          </w:tcPr>
          <w:p w14:paraId="6AEDF0DB" w14:textId="6ED23936" w:rsidR="00BB0CEC" w:rsidRPr="00BB0CEC" w:rsidRDefault="00BB0CEC" w:rsidP="00BB0CEC">
            <w:pPr>
              <w:pStyle w:val="APVMATableText"/>
            </w:pPr>
            <w:r w:rsidRPr="00BB0CEC">
              <w:t>20 metres</w:t>
            </w:r>
          </w:p>
        </w:tc>
        <w:tc>
          <w:tcPr>
            <w:tcW w:w="1303" w:type="pct"/>
            <w:tcBorders>
              <w:top w:val="single" w:sz="4" w:space="0" w:color="auto"/>
              <w:bottom w:val="single" w:sz="4" w:space="0" w:color="auto"/>
            </w:tcBorders>
          </w:tcPr>
          <w:p w14:paraId="14CCEE80" w14:textId="11E9AD81" w:rsidR="00BB0CEC" w:rsidRPr="00BB0CEC" w:rsidRDefault="00BB0CEC" w:rsidP="00BB0CEC">
            <w:pPr>
              <w:pStyle w:val="APVMATableText"/>
            </w:pPr>
            <w:r w:rsidRPr="00BB0CEC">
              <w:t>20 metres</w:t>
            </w:r>
          </w:p>
        </w:tc>
      </w:tr>
      <w:tr w:rsidR="00BB0CEC" w14:paraId="66943294" w14:textId="14E667DD" w:rsidTr="00BB0CEC">
        <w:trPr>
          <w:cantSplit/>
        </w:trPr>
        <w:tc>
          <w:tcPr>
            <w:tcW w:w="1177" w:type="pct"/>
            <w:tcBorders>
              <w:top w:val="single" w:sz="4" w:space="0" w:color="auto"/>
              <w:bottom w:val="single" w:sz="4" w:space="0" w:color="auto"/>
            </w:tcBorders>
          </w:tcPr>
          <w:p w14:paraId="770185B8" w14:textId="4CB1DC18" w:rsidR="00BB0CEC" w:rsidRPr="00BB0CEC" w:rsidRDefault="00BB0CEC" w:rsidP="00BB0CEC">
            <w:pPr>
              <w:pStyle w:val="APVMATableText"/>
            </w:pPr>
            <w:r w:rsidRPr="00BB0CEC">
              <w:t>Vegetation areas</w:t>
            </w:r>
          </w:p>
        </w:tc>
        <w:tc>
          <w:tcPr>
            <w:tcW w:w="1029" w:type="pct"/>
            <w:tcBorders>
              <w:top w:val="single" w:sz="4" w:space="0" w:color="auto"/>
              <w:bottom w:val="single" w:sz="4" w:space="0" w:color="auto"/>
            </w:tcBorders>
          </w:tcPr>
          <w:p w14:paraId="1073DA15" w14:textId="5E556154" w:rsidR="00BB0CEC" w:rsidRPr="00BB0CEC" w:rsidRDefault="00BB0CEC" w:rsidP="00BB0CEC">
            <w:pPr>
              <w:pStyle w:val="APVMATableText"/>
            </w:pPr>
            <w:r w:rsidRPr="00BB0CEC">
              <w:t>Not required</w:t>
            </w:r>
          </w:p>
        </w:tc>
        <w:tc>
          <w:tcPr>
            <w:tcW w:w="1490" w:type="pct"/>
            <w:tcBorders>
              <w:top w:val="single" w:sz="4" w:space="0" w:color="auto"/>
              <w:bottom w:val="single" w:sz="4" w:space="0" w:color="auto"/>
            </w:tcBorders>
          </w:tcPr>
          <w:p w14:paraId="47822362" w14:textId="0C83C0D7" w:rsidR="00BB0CEC" w:rsidRPr="00BB0CEC" w:rsidRDefault="00BB0CEC" w:rsidP="00BB0CEC">
            <w:pPr>
              <w:pStyle w:val="APVMATableText"/>
            </w:pPr>
            <w:r w:rsidRPr="00BB0CEC">
              <w:t>Not required</w:t>
            </w:r>
          </w:p>
        </w:tc>
        <w:tc>
          <w:tcPr>
            <w:tcW w:w="1303" w:type="pct"/>
            <w:tcBorders>
              <w:top w:val="single" w:sz="4" w:space="0" w:color="auto"/>
              <w:bottom w:val="single" w:sz="4" w:space="0" w:color="auto"/>
            </w:tcBorders>
          </w:tcPr>
          <w:p w14:paraId="662B4813" w14:textId="3589AC1B" w:rsidR="00BB0CEC" w:rsidRPr="00BB0CEC" w:rsidRDefault="00BB0CEC" w:rsidP="00BB0CEC">
            <w:pPr>
              <w:pStyle w:val="APVMATableText"/>
            </w:pPr>
            <w:r w:rsidRPr="00BB0CEC">
              <w:t>Not required</w:t>
            </w:r>
          </w:p>
        </w:tc>
      </w:tr>
      <w:tr w:rsidR="00BB0CEC" w14:paraId="19AEBEC4" w14:textId="2578E2FC" w:rsidTr="00BB0CEC">
        <w:trPr>
          <w:cantSplit/>
        </w:trPr>
        <w:tc>
          <w:tcPr>
            <w:tcW w:w="1177" w:type="pct"/>
            <w:tcBorders>
              <w:top w:val="single" w:sz="4" w:space="0" w:color="auto"/>
              <w:bottom w:val="single" w:sz="4" w:space="0" w:color="auto"/>
            </w:tcBorders>
          </w:tcPr>
          <w:p w14:paraId="5E6538A5" w14:textId="7D9C63E4" w:rsidR="00BB0CEC" w:rsidRPr="00BB0CEC" w:rsidRDefault="00BB0CEC" w:rsidP="00BB0CEC">
            <w:pPr>
              <w:pStyle w:val="APVMATableText"/>
            </w:pPr>
            <w:r w:rsidRPr="00BB0CEC">
              <w:t>Livestock areas</w:t>
            </w:r>
          </w:p>
        </w:tc>
        <w:tc>
          <w:tcPr>
            <w:tcW w:w="1029" w:type="pct"/>
            <w:tcBorders>
              <w:top w:val="single" w:sz="4" w:space="0" w:color="auto"/>
              <w:bottom w:val="single" w:sz="4" w:space="0" w:color="auto"/>
            </w:tcBorders>
          </w:tcPr>
          <w:p w14:paraId="6C3B0CD2" w14:textId="73B12B18" w:rsidR="00BB0CEC" w:rsidRPr="00BB0CEC" w:rsidRDefault="00BB0CEC" w:rsidP="00BB0CEC">
            <w:pPr>
              <w:pStyle w:val="APVMATableText"/>
            </w:pPr>
            <w:r w:rsidRPr="00BB0CEC">
              <w:t>250 metres</w:t>
            </w:r>
          </w:p>
        </w:tc>
        <w:tc>
          <w:tcPr>
            <w:tcW w:w="1490" w:type="pct"/>
            <w:tcBorders>
              <w:top w:val="single" w:sz="4" w:space="0" w:color="auto"/>
              <w:bottom w:val="single" w:sz="4" w:space="0" w:color="auto"/>
            </w:tcBorders>
          </w:tcPr>
          <w:p w14:paraId="3067D04C" w14:textId="6ECF2EED" w:rsidR="00BB0CEC" w:rsidRPr="00BB0CEC" w:rsidRDefault="00BB0CEC" w:rsidP="00BB0CEC">
            <w:pPr>
              <w:pStyle w:val="APVMATableText"/>
            </w:pPr>
            <w:r w:rsidRPr="00BB0CEC">
              <w:t>Not required</w:t>
            </w:r>
          </w:p>
        </w:tc>
        <w:tc>
          <w:tcPr>
            <w:tcW w:w="1303" w:type="pct"/>
            <w:tcBorders>
              <w:top w:val="single" w:sz="4" w:space="0" w:color="auto"/>
              <w:bottom w:val="single" w:sz="4" w:space="0" w:color="auto"/>
            </w:tcBorders>
          </w:tcPr>
          <w:p w14:paraId="29A8AE79" w14:textId="1D483A01" w:rsidR="00BB0CEC" w:rsidRPr="00BB0CEC" w:rsidRDefault="00BB0CEC" w:rsidP="00BB0CEC">
            <w:pPr>
              <w:pStyle w:val="APVMATableText"/>
            </w:pPr>
            <w:r w:rsidRPr="00BB0CEC">
              <w:t>250 metres</w:t>
            </w:r>
          </w:p>
        </w:tc>
      </w:tr>
    </w:tbl>
    <w:p w14:paraId="38792AB6" w14:textId="77777777" w:rsidR="00BB0CEC" w:rsidRPr="00BB0CEC" w:rsidRDefault="00BB0CEC" w:rsidP="00BB0CEC">
      <w:pPr>
        <w:pStyle w:val="NormalText"/>
        <w:sectPr w:rsidR="00BB0CEC" w:rsidRPr="00BB0CEC" w:rsidSect="00CB58D6">
          <w:headerReference w:type="default" r:id="rId85"/>
          <w:pgSz w:w="11906" w:h="16838" w:code="9"/>
          <w:pgMar w:top="2835" w:right="1134" w:bottom="1134" w:left="1134" w:header="1701" w:footer="680" w:gutter="0"/>
          <w:cols w:space="708"/>
          <w:docGrid w:linePitch="360"/>
        </w:sectPr>
      </w:pPr>
    </w:p>
    <w:p w14:paraId="43EC3579" w14:textId="1D8568C9" w:rsidR="00BB0CEC" w:rsidRDefault="00BB0CEC" w:rsidP="00BB0CEC">
      <w:pPr>
        <w:pStyle w:val="Heading1"/>
      </w:pPr>
      <w:bookmarkStart w:id="54" w:name="_Toc14340861"/>
      <w:r>
        <w:lastRenderedPageBreak/>
        <w:t>Spray drift management tool (SDMT)</w:t>
      </w:r>
      <w:bookmarkEnd w:id="54"/>
    </w:p>
    <w:p w14:paraId="61013FE5" w14:textId="236F07A2" w:rsidR="00BB0CEC" w:rsidRPr="00BB0CEC" w:rsidRDefault="00BB0CEC" w:rsidP="00BB0CEC">
      <w:pPr>
        <w:pStyle w:val="NormalText"/>
      </w:pPr>
      <w:r w:rsidRPr="00BB0CEC">
        <w:t>To allow application by techniques other than those covered by the st</w:t>
      </w:r>
      <w:r w:rsidR="00FA6429">
        <w:t>andard risk assessments in the s</w:t>
      </w:r>
      <w:r w:rsidRPr="00BB0CEC">
        <w:t xml:space="preserve">pray </w:t>
      </w:r>
      <w:r w:rsidR="00FA6429">
        <w:t>drift risk a</w:t>
      </w:r>
      <w:r w:rsidRPr="00BB0CEC">
        <w:t xml:space="preserve">ssessment </w:t>
      </w:r>
      <w:r w:rsidR="00FA6429">
        <w:t>t</w:t>
      </w:r>
      <w:r w:rsidRPr="00BB0CEC">
        <w:t>ool</w:t>
      </w:r>
      <w:r w:rsidR="0043717A">
        <w:t xml:space="preserve">, a </w:t>
      </w:r>
      <w:r w:rsidR="00FA6429">
        <w:t>s</w:t>
      </w:r>
      <w:r w:rsidR="0043717A">
        <w:t xml:space="preserve">pray </w:t>
      </w:r>
      <w:r w:rsidR="00FA6429">
        <w:t>d</w:t>
      </w:r>
      <w:r w:rsidR="0043717A">
        <w:t xml:space="preserve">rift </w:t>
      </w:r>
      <w:r w:rsidR="00FA6429">
        <w:t>management t</w:t>
      </w:r>
      <w:r w:rsidR="0043717A">
        <w:t>ool</w:t>
      </w:r>
      <w:r w:rsidRPr="00BB0CEC">
        <w:t xml:space="preserve"> will be used by regulatory risk assessment specialists</w:t>
      </w:r>
      <w:r>
        <w:t>.</w:t>
      </w:r>
    </w:p>
    <w:p w14:paraId="67536EC7" w14:textId="77777777" w:rsidR="00BB0CEC" w:rsidRPr="00BB0CEC" w:rsidRDefault="00BB0CEC" w:rsidP="00BB0CEC">
      <w:pPr>
        <w:pStyle w:val="NormalText"/>
      </w:pPr>
      <w:r w:rsidRPr="00BB0CEC">
        <w:t>The SDRAT has been developed, based on conservative assumptions, to account for a variety of factors which contribute to the distance that spray drifts. This is to ensure that the risk of spray drift can be managed with any spray application in accordance with a broad set of use instructions. By contrast, the SDMT allows buffer zones to be recalculated by considering specific factors and specific use instructions.</w:t>
      </w:r>
    </w:p>
    <w:p w14:paraId="06CDBE4F" w14:textId="77777777" w:rsidR="00BB0CEC" w:rsidRPr="00BB0CEC" w:rsidRDefault="00BB0CEC" w:rsidP="00BB0CEC">
      <w:pPr>
        <w:pStyle w:val="NormalText"/>
      </w:pPr>
      <w:r w:rsidRPr="00BB0CEC">
        <w:t>As a trade-off for increasing flexibility in the way the product can be applied (compared to the use instructions and the risk assessment), the SDMT can recalculate larger buffer zone distances in certain situations (eg with a finer droplet size when using a product in a tank-mix and higher release heights for application by aircraft).</w:t>
      </w:r>
    </w:p>
    <w:p w14:paraId="30F7C281" w14:textId="2BEDAD33" w:rsidR="00BB0CEC" w:rsidRPr="00BB0CEC" w:rsidRDefault="00BB0CEC" w:rsidP="00BB0CEC">
      <w:pPr>
        <w:pStyle w:val="NormalText"/>
      </w:pPr>
      <w:r w:rsidRPr="00BB0CEC">
        <w:t>An Excel-based SDMT will be used by regulatory risk assessment specialists to establish buffers for additional application techniques on a label or permit while a permanent web based tool is established:</w:t>
      </w:r>
    </w:p>
    <w:p w14:paraId="03C7B7A5" w14:textId="4D497DD2" w:rsidR="00BB0CEC" w:rsidRPr="00BB0CEC" w:rsidRDefault="008516F4" w:rsidP="00BB0CEC">
      <w:pPr>
        <w:pStyle w:val="NormalText"/>
      </w:pPr>
      <w:hyperlink r:id="rId86" w:history="1">
        <w:r w:rsidR="00BB0CEC" w:rsidRPr="0080521C">
          <w:rPr>
            <w:rStyle w:val="Hyperlink"/>
          </w:rPr>
          <w:t>SDMT—Chemical user refinement—v</w:t>
        </w:r>
        <w:r w:rsidR="000252E1">
          <w:rPr>
            <w:rStyle w:val="Hyperlink"/>
          </w:rPr>
          <w:t>1.0</w:t>
        </w:r>
        <w:r w:rsidR="00BB0CEC" w:rsidRPr="0080521C">
          <w:rPr>
            <w:rStyle w:val="Hyperlink"/>
          </w:rPr>
          <w:t>.xlsx.</w:t>
        </w:r>
      </w:hyperlink>
    </w:p>
    <w:p w14:paraId="1C024107" w14:textId="486E4605" w:rsidR="00BB0CEC" w:rsidRDefault="00BB0CEC" w:rsidP="00BB0CEC">
      <w:pPr>
        <w:pStyle w:val="Heading2"/>
      </w:pPr>
      <w:bookmarkStart w:id="55" w:name="_Toc14340862"/>
      <w:r>
        <w:t>SDMT overview</w:t>
      </w:r>
      <w:bookmarkEnd w:id="55"/>
    </w:p>
    <w:p w14:paraId="685EA235" w14:textId="77777777" w:rsidR="00BB0CEC" w:rsidRPr="00BB0CEC" w:rsidRDefault="00BB0CEC" w:rsidP="00BB0CEC">
      <w:pPr>
        <w:pStyle w:val="NormalText"/>
      </w:pPr>
      <w:r w:rsidRPr="00BB0CEC">
        <w:t>The SDMT allows more targeted risk assessments with a wider range of application techniques. This information is then used to establish additional buffer zones and conditions through two methods:</w:t>
      </w:r>
    </w:p>
    <w:p w14:paraId="272033CA" w14:textId="77777777" w:rsidR="00BB0CEC" w:rsidRPr="00BB0CEC" w:rsidRDefault="00BB0CEC" w:rsidP="00BB0CEC">
      <w:pPr>
        <w:pStyle w:val="Bullet1"/>
      </w:pPr>
      <w:r w:rsidRPr="00BB0CEC">
        <w:t>fraction of applied rate factors</w:t>
      </w:r>
    </w:p>
    <w:p w14:paraId="196FA34D" w14:textId="77777777" w:rsidR="00BB0CEC" w:rsidRPr="00BB0CEC" w:rsidRDefault="00BB0CEC" w:rsidP="00BB0CEC">
      <w:pPr>
        <w:pStyle w:val="Bullet1"/>
      </w:pPr>
      <w:r w:rsidRPr="00BB0CEC">
        <w:t>alternative deposition curves.</w:t>
      </w:r>
    </w:p>
    <w:p w14:paraId="5AB5C0B5" w14:textId="57CE7F66" w:rsidR="00BB0CEC" w:rsidRDefault="00BB0CEC" w:rsidP="00BB0CEC">
      <w:pPr>
        <w:pStyle w:val="NormalText"/>
      </w:pPr>
      <w:r>
        <w:t>These methods a</w:t>
      </w:r>
      <w:r w:rsidR="00460E9D">
        <w:t>re explained in more detail in s</w:t>
      </w:r>
      <w:r>
        <w:t xml:space="preserve">ections 7.2 and 7.3. They can be applied separately, or in combination, depending on the options selected in the SDMT. Visual representations of how buffer zones can be recalculated by applying </w:t>
      </w:r>
      <w:r w:rsidR="00460E9D">
        <w:t>these methods are shown in f</w:t>
      </w:r>
      <w:r>
        <w:t>igures 10, 11 and 12. In these examples, the solid black arrows show the buffer zone that was established through the use of the SDRAT and the hashed black arrows show the buffer zone recalculated by the SDMT.</w:t>
      </w:r>
    </w:p>
    <w:p w14:paraId="09AEBAA5" w14:textId="0BF3F893" w:rsidR="002910E0" w:rsidRDefault="00BB0CEC" w:rsidP="00BB0CEC">
      <w:pPr>
        <w:pStyle w:val="NormalText"/>
      </w:pPr>
      <w:r>
        <w:t>Section 7.4 explains the conditions that apply to the use of the SDMT and section 7.5 outlines how information is managed and updates to the SDMT occur.</w:t>
      </w:r>
      <w:r w:rsidR="002910E0">
        <w:br w:type="page"/>
      </w:r>
    </w:p>
    <w:p w14:paraId="2FE70DB3" w14:textId="018C167A" w:rsidR="002910E0" w:rsidRDefault="002910E0" w:rsidP="002910E0">
      <w:pPr>
        <w:pStyle w:val="Caption"/>
      </w:pPr>
      <w:r>
        <w:rPr>
          <w:noProof/>
          <w:lang w:eastAsia="en-AU"/>
        </w:rPr>
        <w:lastRenderedPageBreak/>
        <w:drawing>
          <wp:anchor distT="0" distB="0" distL="114300" distR="114300" simplePos="0" relativeHeight="251676672" behindDoc="0" locked="0" layoutInCell="1" allowOverlap="1" wp14:anchorId="7D90841C" wp14:editId="0A980FB2">
            <wp:simplePos x="0" y="0"/>
            <wp:positionH relativeFrom="margin">
              <wp:posOffset>0</wp:posOffset>
            </wp:positionH>
            <wp:positionV relativeFrom="paragraph">
              <wp:posOffset>281940</wp:posOffset>
            </wp:positionV>
            <wp:extent cx="5408295" cy="3533775"/>
            <wp:effectExtent l="0" t="0" r="1905" b="0"/>
            <wp:wrapTopAndBottom/>
            <wp:docPr id="12" name="Picture 12" descr="Buffer zones can be reduced when fraction of applied rate factors increases the RAL  since distance at which a deposition curves falls to the RAL is reduced." title="Buffer zone recalculation by applying fraction of applied rate fa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408295" cy="3533775"/>
                    </a:xfrm>
                    <a:prstGeom prst="rect">
                      <a:avLst/>
                    </a:prstGeom>
                    <a:noFill/>
                  </pic:spPr>
                </pic:pic>
              </a:graphicData>
            </a:graphic>
            <wp14:sizeRelH relativeFrom="margin">
              <wp14:pctWidth>0</wp14:pctWidth>
            </wp14:sizeRelH>
            <wp14:sizeRelV relativeFrom="margin">
              <wp14:pctHeight>0</wp14:pctHeight>
            </wp14:sizeRelV>
          </wp:anchor>
        </w:drawing>
      </w:r>
      <w:r>
        <w:t>Fi</w:t>
      </w:r>
      <w:r w:rsidRPr="002910E0">
        <w:t>gure 10: Buffer zone recalculation by applying fraction of applied rate factors</w:t>
      </w:r>
    </w:p>
    <w:p w14:paraId="05E890D3" w14:textId="291F0F2D" w:rsidR="002910E0" w:rsidRPr="002910E0" w:rsidRDefault="002910E0" w:rsidP="002910E0">
      <w:pPr>
        <w:pStyle w:val="Caption"/>
      </w:pPr>
      <w:r>
        <w:rPr>
          <w:noProof/>
          <w:lang w:eastAsia="en-AU"/>
        </w:rPr>
        <w:drawing>
          <wp:anchor distT="0" distB="0" distL="114300" distR="114300" simplePos="0" relativeHeight="251678720" behindDoc="0" locked="0" layoutInCell="1" allowOverlap="1" wp14:anchorId="6B10535D" wp14:editId="41E83F0A">
            <wp:simplePos x="0" y="0"/>
            <wp:positionH relativeFrom="margin">
              <wp:posOffset>0</wp:posOffset>
            </wp:positionH>
            <wp:positionV relativeFrom="paragraph">
              <wp:posOffset>3929380</wp:posOffset>
            </wp:positionV>
            <wp:extent cx="5408295" cy="3533775"/>
            <wp:effectExtent l="0" t="0" r="1905" b="9525"/>
            <wp:wrapTopAndBottom/>
            <wp:docPr id="25" name="Picture 25" descr="Buffer zones can be reduced if the RAL remains the same but a change in application techniques causes the deposition to fall away quicker" title="Buffer zone recalculation by selecting alternative deposition cur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5408295" cy="3533775"/>
                    </a:xfrm>
                    <a:prstGeom prst="rect">
                      <a:avLst/>
                    </a:prstGeom>
                    <a:noFill/>
                  </pic:spPr>
                </pic:pic>
              </a:graphicData>
            </a:graphic>
            <wp14:sizeRelH relativeFrom="margin">
              <wp14:pctWidth>0</wp14:pctWidth>
            </wp14:sizeRelH>
            <wp14:sizeRelV relativeFrom="margin">
              <wp14:pctHeight>0</wp14:pctHeight>
            </wp14:sizeRelV>
          </wp:anchor>
        </w:drawing>
      </w:r>
      <w:r w:rsidRPr="002910E0">
        <w:t>Figure 11: Buffer zone recalculation by selecting alternative deposition curves</w:t>
      </w:r>
    </w:p>
    <w:p w14:paraId="5EADFFA0" w14:textId="481CD77B" w:rsidR="002910E0" w:rsidRDefault="002910E0" w:rsidP="002910E0">
      <w:pPr>
        <w:pStyle w:val="NormalText"/>
      </w:pPr>
      <w:r>
        <w:br w:type="page"/>
      </w:r>
    </w:p>
    <w:p w14:paraId="119AB473" w14:textId="1BD5FCA9" w:rsidR="002910E0" w:rsidRPr="002910E0" w:rsidRDefault="002910E0" w:rsidP="002910E0">
      <w:pPr>
        <w:pStyle w:val="Caption"/>
      </w:pPr>
      <w:r>
        <w:rPr>
          <w:noProof/>
          <w:lang w:eastAsia="en-AU"/>
        </w:rPr>
        <w:lastRenderedPageBreak/>
        <w:drawing>
          <wp:anchor distT="0" distB="0" distL="114300" distR="114300" simplePos="0" relativeHeight="251680768" behindDoc="0" locked="0" layoutInCell="1" allowOverlap="1" wp14:anchorId="3A87A6C5" wp14:editId="02FC08D9">
            <wp:simplePos x="0" y="0"/>
            <wp:positionH relativeFrom="margin">
              <wp:posOffset>0</wp:posOffset>
            </wp:positionH>
            <wp:positionV relativeFrom="paragraph">
              <wp:posOffset>272415</wp:posOffset>
            </wp:positionV>
            <wp:extent cx="5378450" cy="3514725"/>
            <wp:effectExtent l="0" t="0" r="0" b="0"/>
            <wp:wrapTopAndBottom/>
            <wp:docPr id="15" name="Picture 15" descr="Bufffer zones can be further reduced by using a combination of fraction of applied rate factors and alternative deposition curces" title="Buffer zone recalculation by applying both methods in c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5378450" cy="3514725"/>
                    </a:xfrm>
                    <a:prstGeom prst="rect">
                      <a:avLst/>
                    </a:prstGeom>
                    <a:noFill/>
                  </pic:spPr>
                </pic:pic>
              </a:graphicData>
            </a:graphic>
            <wp14:sizeRelH relativeFrom="margin">
              <wp14:pctWidth>0</wp14:pctWidth>
            </wp14:sizeRelH>
            <wp14:sizeRelV relativeFrom="margin">
              <wp14:pctHeight>0</wp14:pctHeight>
            </wp14:sizeRelV>
          </wp:anchor>
        </w:drawing>
      </w:r>
      <w:r>
        <w:t>F</w:t>
      </w:r>
      <w:r w:rsidRPr="002910E0">
        <w:t>igure 12: Buffer zone recalculation by applying both methods in combination</w:t>
      </w:r>
    </w:p>
    <w:p w14:paraId="15836BFE" w14:textId="14BCB010" w:rsidR="002910E0" w:rsidRDefault="002910E0" w:rsidP="002910E0">
      <w:pPr>
        <w:pStyle w:val="Heading3"/>
      </w:pPr>
      <w:bookmarkStart w:id="56" w:name="_Toc14340863"/>
      <w:r>
        <w:t>Tank-mixing</w:t>
      </w:r>
      <w:bookmarkEnd w:id="56"/>
    </w:p>
    <w:p w14:paraId="18EC7A2C" w14:textId="77777777" w:rsidR="002910E0" w:rsidRPr="002910E0" w:rsidRDefault="002910E0" w:rsidP="002910E0">
      <w:pPr>
        <w:pStyle w:val="NormalText"/>
      </w:pPr>
      <w:r w:rsidRPr="002910E0">
        <w:t>When users mix products in the tank, they must always follow the most restrictive use instruction (for the particular purpose of application) on the labels of the products used in that tank-mix. For example, if one label includes a statement that a half-face respirator must be worn by the applicator but the tank mix partner label does not, the applicator must wear the half-face respirator to apply the tank mix.</w:t>
      </w:r>
    </w:p>
    <w:p w14:paraId="4317BBBB" w14:textId="77777777" w:rsidR="002910E0" w:rsidRPr="002910E0" w:rsidRDefault="002910E0" w:rsidP="002910E0">
      <w:pPr>
        <w:pStyle w:val="NormalText"/>
      </w:pPr>
      <w:r w:rsidRPr="002910E0">
        <w:t>Buffer zones are no different. If a buffer zone was 10 metres for one product in a tank-mix and 50 metres for another, the buffer zone for that tank-mix would be 50 metres. The SDMT allows the risk assessor to select all the products used in a tank-mix and determine the most restrictive for each sensitive area.</w:t>
      </w:r>
    </w:p>
    <w:p w14:paraId="0089D54C" w14:textId="1D5810D3" w:rsidR="002910E0" w:rsidRPr="002910E0" w:rsidRDefault="002910E0" w:rsidP="002910E0">
      <w:pPr>
        <w:pStyle w:val="NormalText"/>
      </w:pPr>
      <w:r w:rsidRPr="002910E0">
        <w:t>An exception arises when a tank mix is on the registered label as mandatory. The SDMT can accommodate this by including different sets of RALs for products used alone and in combination with mandatory tank-mix partners (see s</w:t>
      </w:r>
      <w:r>
        <w:t>ection 6.2).</w:t>
      </w:r>
    </w:p>
    <w:p w14:paraId="19EC2E66" w14:textId="1128C5AA" w:rsidR="002910E0" w:rsidRDefault="002910E0" w:rsidP="002910E0">
      <w:pPr>
        <w:pStyle w:val="Heading2"/>
      </w:pPr>
      <w:bookmarkStart w:id="57" w:name="_Toc14340864"/>
      <w:r>
        <w:t>Fraction of applied rate factors</w:t>
      </w:r>
      <w:bookmarkEnd w:id="57"/>
    </w:p>
    <w:p w14:paraId="32D0560B" w14:textId="77777777" w:rsidR="002910E0" w:rsidRPr="002910E0" w:rsidRDefault="002910E0" w:rsidP="002910E0">
      <w:pPr>
        <w:pStyle w:val="NormalText"/>
      </w:pPr>
      <w:r w:rsidRPr="002910E0">
        <w:t>Several different adjustment factors are available in the SDMT which allow the fraction of applied rate, with respect to RALs, to be adjusted. These factors do not change the hazard determination of spray drift risk assessments, only how RALs are converted to relevant units (ie grams per hectare) or how they are expressed as a fraction of the applied rate (see section 3). Once RALs are adjusted, buffer zone distances are recalculated by the SDMT.</w:t>
      </w:r>
    </w:p>
    <w:p w14:paraId="568A4292" w14:textId="74B2F40B" w:rsidR="002910E0" w:rsidRDefault="002910E0" w:rsidP="002910E0">
      <w:pPr>
        <w:pStyle w:val="Heading3"/>
      </w:pPr>
      <w:bookmarkStart w:id="58" w:name="_Toc14340865"/>
      <w:r>
        <w:lastRenderedPageBreak/>
        <w:t>Application rate</w:t>
      </w:r>
      <w:bookmarkEnd w:id="58"/>
    </w:p>
    <w:p w14:paraId="62D384C3" w14:textId="77777777" w:rsidR="002910E0" w:rsidRPr="002910E0" w:rsidRDefault="002910E0" w:rsidP="002910E0">
      <w:pPr>
        <w:pStyle w:val="NormalText"/>
      </w:pPr>
      <w:r w:rsidRPr="002910E0">
        <w:t>Instead of the maximum label use for the relevant equipment type (realistic worst-case), the SDMT adjusts each RAL (fraction of applied rate) with the application rate specified by the user (equations 8 and 9 in section 3.2).</w:t>
      </w:r>
    </w:p>
    <w:p w14:paraId="7D81B969" w14:textId="75572ABB" w:rsidR="002910E0" w:rsidRDefault="002910E0" w:rsidP="002910E0">
      <w:pPr>
        <w:pStyle w:val="Heading3"/>
      </w:pPr>
      <w:bookmarkStart w:id="59" w:name="_Toc14340866"/>
      <w:r>
        <w:t>Water depth</w:t>
      </w:r>
      <w:bookmarkEnd w:id="59"/>
    </w:p>
    <w:p w14:paraId="1AB11998" w14:textId="77777777" w:rsidR="002910E0" w:rsidRPr="002910E0" w:rsidRDefault="002910E0" w:rsidP="002910E0">
      <w:pPr>
        <w:pStyle w:val="NormalText"/>
      </w:pPr>
      <w:r w:rsidRPr="002910E0">
        <w:t>The natural aquatic area RAL (Aquatic RAL) is calculated for a water body that is 0.15 metres (15 centimetres) deep to allow deposition on the surface of water to be converted to a concentration in water. As this (concentration in water) is the driver for protecting natural aquatic areas, not deposition on the surface of the water, a deeper water body has a greater tolerance to spray drift because of the increased dilution of the chemical.</w:t>
      </w:r>
    </w:p>
    <w:p w14:paraId="172F977D" w14:textId="78ADF12B" w:rsidR="002910E0" w:rsidRDefault="00FA6429" w:rsidP="002910E0">
      <w:pPr>
        <w:pStyle w:val="NormalText"/>
      </w:pPr>
      <w:r>
        <w:t>Equation 14 shows how the a</w:t>
      </w:r>
      <w:r w:rsidR="002910E0" w:rsidRPr="002910E0">
        <w:t>quatic RAL is calculated based on a 15 cm water depth</w:t>
      </w:r>
      <w:r w:rsidR="002910E0">
        <w:t>.</w:t>
      </w:r>
    </w:p>
    <w:p w14:paraId="2FEF6666" w14:textId="77777777" w:rsidR="002910E0" w:rsidRPr="002910E0" w:rsidRDefault="002910E0" w:rsidP="002910E0">
      <w:pPr>
        <w:pStyle w:val="Caption"/>
      </w:pPr>
      <w:r w:rsidRPr="002910E0">
        <w:t>Equation 14: Accounting for increased water depth</w:t>
      </w:r>
    </w:p>
    <w:p w14:paraId="1A0C71A5" w14:textId="77777777" w:rsidR="002910E0" w:rsidRDefault="002910E0" w:rsidP="002910E0">
      <w:pPr>
        <w:pStyle w:val="RGNormalText"/>
        <w:spacing w:before="240" w:after="240"/>
      </w:pPr>
      <m:oMathPara>
        <m:oMath>
          <m:r>
            <w:rPr>
              <w:rFonts w:ascii="Cambria Math" w:hAnsi="Cambria Math"/>
            </w:rPr>
            <m:t xml:space="preserve">SDMT Adjusted Aquatic RAL=Aquatic RAL </m:t>
          </m:r>
          <m:d>
            <m:dPr>
              <m:ctrlPr>
                <w:rPr>
                  <w:rFonts w:ascii="Cambria Math" w:hAnsi="Cambria Math"/>
                  <w:i/>
                </w:rPr>
              </m:ctrlPr>
            </m:dPr>
            <m:e>
              <m:r>
                <w:rPr>
                  <w:rFonts w:ascii="Cambria Math" w:hAnsi="Cambria Math"/>
                </w:rPr>
                <m:t>fraction of applied rate</m:t>
              </m:r>
            </m:e>
          </m:d>
          <m:r>
            <w:rPr>
              <w:rFonts w:ascii="Cambria Math" w:hAnsi="Cambria Math"/>
            </w:rPr>
            <m:t>×</m:t>
          </m:r>
          <m:f>
            <m:fPr>
              <m:ctrlPr>
                <w:rPr>
                  <w:rFonts w:ascii="Cambria Math" w:hAnsi="Cambria Math"/>
                  <w:i/>
                </w:rPr>
              </m:ctrlPr>
            </m:fPr>
            <m:num>
              <m:r>
                <w:rPr>
                  <w:rFonts w:ascii="Cambria Math" w:hAnsi="Cambria Math"/>
                </w:rPr>
                <m:t>User input water depth (cm)</m:t>
              </m:r>
            </m:num>
            <m:den>
              <m:r>
                <w:rPr>
                  <w:rFonts w:ascii="Cambria Math" w:hAnsi="Cambria Math"/>
                </w:rPr>
                <m:t>15 cm</m:t>
              </m:r>
            </m:den>
          </m:f>
        </m:oMath>
      </m:oMathPara>
    </w:p>
    <w:p w14:paraId="22A63838" w14:textId="77777777" w:rsidR="002910E0" w:rsidRPr="002910E0" w:rsidRDefault="002910E0" w:rsidP="002910E0">
      <w:pPr>
        <w:pStyle w:val="NormalText"/>
      </w:pPr>
      <w:r w:rsidRPr="002910E0">
        <w:t>Water depth is inputted in 15 cm (0.15 m) intervals; a maximum water depth of 0.60 m is accepted to allow for poor mixing from the surface to the bottom in deeper water bodies (which prevents dilution).</w:t>
      </w:r>
    </w:p>
    <w:p w14:paraId="23ABCE43" w14:textId="4AB17394" w:rsidR="002910E0" w:rsidRDefault="002910E0" w:rsidP="002910E0">
      <w:pPr>
        <w:pStyle w:val="Heading3"/>
      </w:pPr>
      <w:bookmarkStart w:id="60" w:name="_Toc14340867"/>
      <w:r>
        <w:t>Optical spot spraying technologies</w:t>
      </w:r>
      <w:bookmarkEnd w:id="60"/>
    </w:p>
    <w:p w14:paraId="2931C52E" w14:textId="77777777" w:rsidR="002910E0" w:rsidRPr="002910E0" w:rsidRDefault="002910E0" w:rsidP="002910E0">
      <w:pPr>
        <w:pStyle w:val="NormalText"/>
      </w:pPr>
      <w:r w:rsidRPr="002910E0">
        <w:t>When optical spot spraying technologies are used on a boom sprayer, application rates can be significantly reduced. Specific directions for the use of this technology on product labels commonly specify a dilution rate (ie amount of product per 100 litres of water) and a calibration rate (ie number of litres of spray mixture per hectare the equipment is set up to apply, if the optical spot spraying technology was not in use). As this is not consistent with typical boom sprayer directions for use (ie amount of product per hectare), the reduction in application rate from the use of this technology is best accounted for as a factor.</w:t>
      </w:r>
    </w:p>
    <w:p w14:paraId="75664F19" w14:textId="77777777" w:rsidR="002910E0" w:rsidRPr="002910E0" w:rsidRDefault="002910E0" w:rsidP="002910E0">
      <w:pPr>
        <w:pStyle w:val="NormalText"/>
      </w:pPr>
      <w:r w:rsidRPr="002910E0">
        <w:t>The SDMT allows the risk assessor, once they input their application rate by providing dilution rate and calibration rate, to input the percentage cover of their target (eg weed cover). Each RAL is then adjusted as shown in equation 15.</w:t>
      </w:r>
    </w:p>
    <w:p w14:paraId="28C01037" w14:textId="77777777" w:rsidR="002910E0" w:rsidRPr="006012E4" w:rsidRDefault="002910E0" w:rsidP="002910E0">
      <w:pPr>
        <w:pStyle w:val="Caption"/>
      </w:pPr>
      <w:r>
        <w:t>Equation 15: Accounting for optical spot spraying technologies</w:t>
      </w:r>
    </w:p>
    <w:p w14:paraId="4A35FEFE" w14:textId="77777777" w:rsidR="002910E0" w:rsidRPr="003279EA" w:rsidRDefault="002910E0" w:rsidP="002910E0">
      <w:pPr>
        <w:pStyle w:val="RGNormalText"/>
        <w:spacing w:before="240" w:after="240"/>
      </w:pPr>
      <m:oMathPara>
        <m:oMath>
          <m:r>
            <w:rPr>
              <w:rFonts w:ascii="Cambria Math" w:hAnsi="Cambria Math"/>
            </w:rPr>
            <m:t xml:space="preserve">SDMT Adjusted RAL=RAL </m:t>
          </m:r>
          <m:d>
            <m:dPr>
              <m:ctrlPr>
                <w:rPr>
                  <w:rFonts w:ascii="Cambria Math" w:hAnsi="Cambria Math"/>
                  <w:i/>
                </w:rPr>
              </m:ctrlPr>
            </m:dPr>
            <m:e>
              <m:r>
                <w:rPr>
                  <w:rFonts w:ascii="Cambria Math" w:hAnsi="Cambria Math"/>
                </w:rPr>
                <m:t>fraction of applied rate</m:t>
              </m:r>
            </m:e>
          </m:d>
          <m:r>
            <w:rPr>
              <w:rFonts w:ascii="Cambria Math" w:hAnsi="Cambria Math"/>
            </w:rPr>
            <m:t>×</m:t>
          </m:r>
          <m:f>
            <m:fPr>
              <m:ctrlPr>
                <w:rPr>
                  <w:rFonts w:ascii="Cambria Math" w:hAnsi="Cambria Math"/>
                  <w:i/>
                </w:rPr>
              </m:ctrlPr>
            </m:fPr>
            <m:num>
              <m:r>
                <w:rPr>
                  <w:rFonts w:ascii="Cambria Math" w:hAnsi="Cambria Math"/>
                </w:rPr>
                <m:t>100%</m:t>
              </m:r>
            </m:num>
            <m:den>
              <m:r>
                <w:rPr>
                  <w:rFonts w:ascii="Cambria Math" w:hAnsi="Cambria Math"/>
                </w:rPr>
                <m:t>User input percentage cover of target</m:t>
              </m:r>
            </m:den>
          </m:f>
        </m:oMath>
      </m:oMathPara>
    </w:p>
    <w:p w14:paraId="5DC787CC" w14:textId="516BBD83" w:rsidR="002910E0" w:rsidRDefault="002910E0" w:rsidP="002910E0">
      <w:pPr>
        <w:pStyle w:val="Heading3"/>
      </w:pPr>
      <w:bookmarkStart w:id="61" w:name="_Toc14340868"/>
      <w:r>
        <w:t>Vegetative and artificial spray drift barriers</w:t>
      </w:r>
      <w:bookmarkEnd w:id="61"/>
    </w:p>
    <w:p w14:paraId="4F25C6CD" w14:textId="31F6BFAD" w:rsidR="00316105" w:rsidRPr="00316105" w:rsidRDefault="00316105" w:rsidP="00316105">
      <w:pPr>
        <w:pStyle w:val="NormalText"/>
      </w:pPr>
      <w:r w:rsidRPr="00316105">
        <w:t xml:space="preserve">The </w:t>
      </w:r>
      <w:hyperlink r:id="rId90" w:history="1">
        <w:r w:rsidRPr="00316105">
          <w:rPr>
            <w:rStyle w:val="Hyperlink"/>
          </w:rPr>
          <w:t>National Working Party on Pesticide Applications</w:t>
        </w:r>
      </w:hyperlink>
      <w:r w:rsidRPr="00316105">
        <w:t xml:space="preserve"> conducted a project in relation to vegetative and artificial spray drift barriers. A draft implementation of barriers has been incorporated into the SDMT to demonstrate how this may be incorporated. Further work is required to finalise and </w:t>
      </w:r>
      <w:r>
        <w:t>validate the proposed analysis.</w:t>
      </w:r>
    </w:p>
    <w:p w14:paraId="367F6C55" w14:textId="20BC1279" w:rsidR="002910E0" w:rsidRDefault="00316105" w:rsidP="00316105">
      <w:pPr>
        <w:pStyle w:val="Heading2"/>
      </w:pPr>
      <w:bookmarkStart w:id="62" w:name="_Toc14340869"/>
      <w:r>
        <w:lastRenderedPageBreak/>
        <w:t>Alternative deposition curves</w:t>
      </w:r>
      <w:bookmarkEnd w:id="62"/>
    </w:p>
    <w:p w14:paraId="59DC29F2" w14:textId="60AFEE5D" w:rsidR="00316105" w:rsidRPr="00316105" w:rsidRDefault="00316105" w:rsidP="00316105">
      <w:pPr>
        <w:pStyle w:val="NormalText"/>
      </w:pPr>
      <w:r w:rsidRPr="00316105">
        <w:t>Different deposition curves can be selected, within their equipment type, in order to recalculate buffer zones. The SDMT is pre-loaded with the standard deposition curves (see section 4.1) and additional SDMT deposition curves (see section 7.3</w:t>
      </w:r>
      <w:r>
        <w:t>)</w:t>
      </w:r>
      <w:r w:rsidRPr="00316105">
        <w:t xml:space="preserve">. After applications are made to the APVMA to assess information (see </w:t>
      </w:r>
      <w:hyperlink r:id="rId91" w:history="1">
        <w:r w:rsidR="00F807AA">
          <w:rPr>
            <w:rStyle w:val="Hyperlink"/>
          </w:rPr>
          <w:t>spray drift data g</w:t>
        </w:r>
        <w:r w:rsidR="002E4D78" w:rsidRPr="00316105">
          <w:rPr>
            <w:rStyle w:val="Hyperlink"/>
          </w:rPr>
          <w:t>uideline</w:t>
        </w:r>
      </w:hyperlink>
      <w:r w:rsidRPr="00316105">
        <w:t>), custom deposition curves will be added to the SDMT (see s</w:t>
      </w:r>
      <w:r>
        <w:t>ection 7.3</w:t>
      </w:r>
      <w:r w:rsidRPr="00316105">
        <w:t>).</w:t>
      </w:r>
    </w:p>
    <w:p w14:paraId="62242C15" w14:textId="418A7DD5" w:rsidR="00316105" w:rsidRDefault="00316105" w:rsidP="00316105">
      <w:pPr>
        <w:pStyle w:val="Heading3"/>
      </w:pPr>
      <w:bookmarkStart w:id="63" w:name="_Toc14340870"/>
      <w:r>
        <w:t>Addition of custom deposition curves</w:t>
      </w:r>
      <w:bookmarkEnd w:id="63"/>
    </w:p>
    <w:p w14:paraId="15B8D63C" w14:textId="78F981D6" w:rsidR="00316105" w:rsidRDefault="00316105" w:rsidP="00316105">
      <w:pPr>
        <w:pStyle w:val="NormalText"/>
      </w:pPr>
      <w:r w:rsidRPr="00316105">
        <w:t xml:space="preserve">Applications to the APVMA that include submission of information (see </w:t>
      </w:r>
      <w:hyperlink r:id="rId92" w:history="1">
        <w:r w:rsidR="00F807AA">
          <w:rPr>
            <w:rStyle w:val="Hyperlink"/>
          </w:rPr>
          <w:t>spray drift data g</w:t>
        </w:r>
        <w:r w:rsidR="002E4D78" w:rsidRPr="00316105">
          <w:rPr>
            <w:rStyle w:val="Hyperlink"/>
          </w:rPr>
          <w:t>uideline</w:t>
        </w:r>
      </w:hyperlink>
      <w:r w:rsidRPr="00316105">
        <w:t>) to establish custom deposition curve/s can be made as follows:</w:t>
      </w:r>
    </w:p>
    <w:p w14:paraId="01949A83" w14:textId="0D0F5598" w:rsidR="00316105" w:rsidRDefault="00316105" w:rsidP="00316105">
      <w:pPr>
        <w:pStyle w:val="Bullet1"/>
      </w:pPr>
      <w:r>
        <w:t xml:space="preserve">holders of a product registration (or applicants registering a product for the first time), who own (or have consent to access) information that is product specific can submit information as part of an </w:t>
      </w:r>
      <w:hyperlink r:id="rId93" w:history="1">
        <w:r w:rsidRPr="004451B9">
          <w:rPr>
            <w:rStyle w:val="Hyperlink"/>
          </w:rPr>
          <w:t>application for registration or variation</w:t>
        </w:r>
      </w:hyperlink>
    </w:p>
    <w:p w14:paraId="3CF83F33" w14:textId="01A81E63" w:rsidR="00316105" w:rsidRDefault="00316105" w:rsidP="00316105">
      <w:pPr>
        <w:pStyle w:val="Bullet2"/>
      </w:pPr>
      <w:r>
        <w:t xml:space="preserve">information provided through this pathway has </w:t>
      </w:r>
      <w:hyperlink r:id="rId94" w:history="1">
        <w:r w:rsidRPr="004451B9">
          <w:rPr>
            <w:rStyle w:val="Hyperlink"/>
          </w:rPr>
          <w:t>limits on use of information</w:t>
        </w:r>
      </w:hyperlink>
      <w:r>
        <w:t xml:space="preserve"> (see also the </w:t>
      </w:r>
      <w:hyperlink r:id="rId95" w:history="1">
        <w:r w:rsidRPr="004451B9">
          <w:rPr>
            <w:rStyle w:val="Hyperlink"/>
          </w:rPr>
          <w:t>guideline</w:t>
        </w:r>
      </w:hyperlink>
      <w:r>
        <w:t xml:space="preserve">) applied, so custom deposition curve/s are only ever available to users of that product. Underlying information used to establish custom deposition curves is not included in the SDMT to </w:t>
      </w:r>
      <w:hyperlink r:id="rId96" w:history="1">
        <w:r w:rsidR="00F807AA">
          <w:rPr>
            <w:rStyle w:val="Hyperlink"/>
          </w:rPr>
          <w:t>ensure confidential commercial information</w:t>
        </w:r>
      </w:hyperlink>
      <w:r w:rsidR="00F807AA">
        <w:t xml:space="preserve"> re</w:t>
      </w:r>
      <w:r>
        <w:t>quirements are observed</w:t>
      </w:r>
    </w:p>
    <w:p w14:paraId="1A9D566E" w14:textId="7EDEB4B3" w:rsidR="00316105" w:rsidRDefault="00316105" w:rsidP="00316105">
      <w:pPr>
        <w:pStyle w:val="Bullet1"/>
      </w:pPr>
      <w:r>
        <w:t xml:space="preserve">third parties (eg equipment/nozzle manufacturers and industry representative groups) can apply to the APVMA for </w:t>
      </w:r>
      <w:hyperlink r:id="rId97" w:history="1">
        <w:r w:rsidRPr="004451B9">
          <w:rPr>
            <w:rStyle w:val="Hyperlink"/>
          </w:rPr>
          <w:t>technical assessment</w:t>
        </w:r>
      </w:hyperlink>
      <w:r>
        <w:t xml:space="preserve"> of information. This information may either be product specific or applicable to any product</w:t>
      </w:r>
    </w:p>
    <w:p w14:paraId="2109832B" w14:textId="4C1F66BB" w:rsidR="00316105" w:rsidRDefault="00316105" w:rsidP="00316105">
      <w:pPr>
        <w:pStyle w:val="Bullet1"/>
      </w:pPr>
      <w:r>
        <w:t xml:space="preserve">the third party can then seek consent of a relevant holder of a registration to make an application to vary the relevant particulars of the registration of a product (section 27(2) of the </w:t>
      </w:r>
      <w:hyperlink r:id="rId98" w:history="1">
        <w:r w:rsidRPr="004451B9">
          <w:rPr>
            <w:rStyle w:val="Hyperlink"/>
          </w:rPr>
          <w:t>Agvet Code</w:t>
        </w:r>
      </w:hyperlink>
      <w:r>
        <w:t>), in order to recognise custom deposition curve/s established from this information</w:t>
      </w:r>
    </w:p>
    <w:p w14:paraId="04F9CDDC" w14:textId="17A25023" w:rsidR="00316105" w:rsidRDefault="00316105" w:rsidP="00316105">
      <w:pPr>
        <w:pStyle w:val="Bullet1"/>
      </w:pPr>
      <w:r>
        <w:t>alternatively, when making an application for technical assessment, written consent can be given by the third party to allow custom deposition curve/s established from this information to be available to any holder of a product registration (or applicant registering a product for the first time).</w:t>
      </w:r>
    </w:p>
    <w:p w14:paraId="51DF27CC" w14:textId="77777777" w:rsidR="00316105" w:rsidRDefault="00316105" w:rsidP="00316105">
      <w:pPr>
        <w:pStyle w:val="NormalText"/>
      </w:pPr>
      <w:r>
        <w:t xml:space="preserve">Third parties and holders of a product registration (or applicants registering a product for the first time) also have the ability to form a partnership and have information submitted as part of an </w:t>
      </w:r>
      <w:hyperlink r:id="rId99" w:history="1">
        <w:r w:rsidRPr="00287A1C">
          <w:rPr>
            <w:rStyle w:val="Hyperlink"/>
          </w:rPr>
          <w:t>application for registration or variation</w:t>
        </w:r>
      </w:hyperlink>
      <w:r>
        <w:t xml:space="preserve"> by the holder/applicant. If this information is intended to be applicable to any product (ie not specific to product the application relates to), the third party can provide written consent to allow custom deposition curve/s established from this information to be available to any holder of a product registration (or applicant registering a product for the first time).</w:t>
      </w:r>
    </w:p>
    <w:p w14:paraId="6EFF818D" w14:textId="7CA6641D" w:rsidR="00316105" w:rsidRDefault="00316105" w:rsidP="00316105">
      <w:pPr>
        <w:pStyle w:val="Heading3"/>
      </w:pPr>
      <w:bookmarkStart w:id="64" w:name="_Toc14340871"/>
      <w:r>
        <w:t>Additional SDMT deposition curves</w:t>
      </w:r>
      <w:bookmarkEnd w:id="64"/>
    </w:p>
    <w:p w14:paraId="555AC7DA" w14:textId="57B28F0B" w:rsidR="00316105" w:rsidRPr="00316105" w:rsidRDefault="00316105" w:rsidP="00316105">
      <w:pPr>
        <w:pStyle w:val="NormalText"/>
      </w:pPr>
      <w:r w:rsidRPr="00316105">
        <w:t xml:space="preserve">Additional SDMT deposition curves have been established to provide flexibility during the assessment of applications for registration or variation. These additional deposition curves are included in the ‘Deposition Curves’ tab of the </w:t>
      </w:r>
      <w:hyperlink r:id="rId100" w:history="1">
        <w:r w:rsidR="00FA6429">
          <w:rPr>
            <w:rStyle w:val="Hyperlink"/>
          </w:rPr>
          <w:t>spray drift m</w:t>
        </w:r>
        <w:r w:rsidRPr="00316105">
          <w:rPr>
            <w:rStyle w:val="Hyperlink"/>
          </w:rPr>
          <w:t xml:space="preserve">anagement </w:t>
        </w:r>
        <w:r w:rsidR="00FA6429">
          <w:rPr>
            <w:rStyle w:val="Hyperlink"/>
          </w:rPr>
          <w:t>t</w:t>
        </w:r>
        <w:r w:rsidRPr="00316105">
          <w:rPr>
            <w:rStyle w:val="Hyperlink"/>
          </w:rPr>
          <w:t>ool</w:t>
        </w:r>
      </w:hyperlink>
      <w:r w:rsidRPr="00316105">
        <w:t>.</w:t>
      </w:r>
    </w:p>
    <w:p w14:paraId="263C917E" w14:textId="41413B84" w:rsidR="00316105" w:rsidRDefault="00316105" w:rsidP="00316105">
      <w:pPr>
        <w:pStyle w:val="Heading4"/>
      </w:pPr>
      <w:r>
        <w:lastRenderedPageBreak/>
        <w:t>Boom sprayers</w:t>
      </w:r>
    </w:p>
    <w:p w14:paraId="5FDD788C" w14:textId="7882F138" w:rsidR="00316105" w:rsidRPr="00316105" w:rsidRDefault="00316105" w:rsidP="00316105">
      <w:pPr>
        <w:pStyle w:val="NormalText"/>
      </w:pPr>
      <w:r w:rsidRPr="00316105">
        <w:t>For boom sprayers, the AGDISP</w:t>
      </w:r>
      <w:r w:rsidRPr="00316105">
        <w:rPr>
          <w:vertAlign w:val="superscript"/>
        </w:rPr>
        <w:t>TM</w:t>
      </w:r>
      <w:r w:rsidRPr="00316105">
        <w:t xml:space="preserve"> template in section 4.1 was used to model two lower wind speeds (14 km/hr and </w:t>
      </w:r>
      <w:r w:rsidR="00FA6429">
        <w:t>7</w:t>
      </w:r>
      <w:r w:rsidRPr="00316105">
        <w:t xml:space="preserve"> km/hr) for each droplet size distribution to establish additional SDMT deposition curves.</w:t>
      </w:r>
    </w:p>
    <w:p w14:paraId="4E6679A9" w14:textId="21FA30F0" w:rsidR="00316105" w:rsidRPr="00316105" w:rsidRDefault="00316105" w:rsidP="00316105">
      <w:pPr>
        <w:pStyle w:val="NormalText"/>
      </w:pPr>
      <w:r w:rsidRPr="00316105">
        <w:t>For simplicity, the standard use instructions (see s</w:t>
      </w:r>
      <w:r>
        <w:t>ection 5.1</w:t>
      </w:r>
      <w:r w:rsidRPr="00316105">
        <w:t>) align to the standard deposition curves and limit application to a maximum boom height of 0.50 metres above the target. To account for this and provide flexibility to users, additional SDMT deposition curves (for each droplet size distribution at each wind speed) have been established for boom heights between 0.50 metres and 1.20 metres (using the AGDISP</w:t>
      </w:r>
      <w:r w:rsidRPr="00316105">
        <w:rPr>
          <w:vertAlign w:val="superscript"/>
        </w:rPr>
        <w:t>TM</w:t>
      </w:r>
      <w:r w:rsidRPr="00316105">
        <w:t xml:space="preserve"> templates in s</w:t>
      </w:r>
      <w:r>
        <w:t>ection 4.1</w:t>
      </w:r>
      <w:r w:rsidRPr="00316105">
        <w:t xml:space="preserve"> without varying other input values).</w:t>
      </w:r>
    </w:p>
    <w:p w14:paraId="4C562A53" w14:textId="77777777" w:rsidR="00316105" w:rsidRPr="00316105" w:rsidRDefault="00316105" w:rsidP="00316105">
      <w:pPr>
        <w:pStyle w:val="NormalText"/>
      </w:pPr>
      <w:r w:rsidRPr="00316105">
        <w:t>At higher release heights, the canopy being treated, and the release height in relation to the canopy, should be considered with specific AGDISP</w:t>
      </w:r>
      <w:r w:rsidRPr="0028353B">
        <w:rPr>
          <w:vertAlign w:val="superscript"/>
        </w:rPr>
        <w:t>TM</w:t>
      </w:r>
      <w:r w:rsidRPr="00316105">
        <w:t xml:space="preserve"> model inputs rather than the approach above. Because of the considerable number of combinations, this can only practically be performed through the submission of information to develop custom deposition curves (see section 4.2) rather than including additional SDMT deposition curves.</w:t>
      </w:r>
    </w:p>
    <w:p w14:paraId="20A29B81" w14:textId="2B342413" w:rsidR="00316105" w:rsidRPr="00316105" w:rsidRDefault="00316105" w:rsidP="00316105">
      <w:pPr>
        <w:pStyle w:val="NormalText"/>
      </w:pPr>
      <w:r w:rsidRPr="00316105">
        <w:t xml:space="preserve">To account for </w:t>
      </w:r>
      <w:r w:rsidR="008353B6">
        <w:t xml:space="preserve">narrow treatment areas, </w:t>
      </w:r>
      <w:r w:rsidRPr="00316105">
        <w:t xml:space="preserve">‘rights-of-way’ and other small scale applications in turf and horticulture, modelling was also conducted (for each droplet size distribution at each boom height at </w:t>
      </w:r>
      <w:r w:rsidR="008353B6">
        <w:t>each</w:t>
      </w:r>
      <w:r w:rsidR="008353B6" w:rsidRPr="00316105">
        <w:t xml:space="preserve"> </w:t>
      </w:r>
      <w:r w:rsidRPr="00316105">
        <w:t xml:space="preserve">wind speeds) for application </w:t>
      </w:r>
      <w:r w:rsidR="008353B6" w:rsidRPr="008353B6">
        <w:t xml:space="preserve">site widths of </w:t>
      </w:r>
      <w:r w:rsidR="00812A30">
        <w:t>three</w:t>
      </w:r>
      <w:r w:rsidR="008353B6" w:rsidRPr="008353B6">
        <w:t xml:space="preserve"> metres (narrow), 20 metres (right</w:t>
      </w:r>
      <w:r w:rsidR="008353B6">
        <w:t>s</w:t>
      </w:r>
      <w:r w:rsidR="008353B6" w:rsidRPr="008353B6">
        <w:t xml:space="preserve"> of way) and 60 metres (small fields)</w:t>
      </w:r>
      <w:r w:rsidR="00812A30">
        <w:t>.</w:t>
      </w:r>
    </w:p>
    <w:p w14:paraId="16B1E23F" w14:textId="689D2532" w:rsidR="00316105" w:rsidRDefault="0028353B" w:rsidP="0028353B">
      <w:pPr>
        <w:pStyle w:val="Heading4"/>
      </w:pPr>
      <w:r>
        <w:t>Vertical sprayers</w:t>
      </w:r>
    </w:p>
    <w:p w14:paraId="3BB50032" w14:textId="1A38933F" w:rsidR="0028353B" w:rsidRPr="0028353B" w:rsidRDefault="0028353B" w:rsidP="0028353B">
      <w:pPr>
        <w:pStyle w:val="NormalText"/>
      </w:pPr>
      <w:r w:rsidRPr="0028353B">
        <w:t>For vertical sprayers, the additional ‘</w:t>
      </w:r>
      <w:hyperlink r:id="rId101" w:history="1">
        <w:r w:rsidR="00FA6429">
          <w:rPr>
            <w:rStyle w:val="Hyperlink"/>
          </w:rPr>
          <w:t>b</w:t>
        </w:r>
        <w:r w:rsidRPr="0028353B">
          <w:rPr>
            <w:rStyle w:val="Hyperlink"/>
          </w:rPr>
          <w:t>as</w:t>
        </w:r>
        <w:r w:rsidR="00FA6429">
          <w:rPr>
            <w:rStyle w:val="Hyperlink"/>
          </w:rPr>
          <w:t>ic d</w:t>
        </w:r>
        <w:r w:rsidRPr="0028353B">
          <w:rPr>
            <w:rStyle w:val="Hyperlink"/>
          </w:rPr>
          <w:t xml:space="preserve">rift </w:t>
        </w:r>
        <w:r w:rsidR="00FA6429">
          <w:rPr>
            <w:rStyle w:val="Hyperlink"/>
          </w:rPr>
          <w:t>v</w:t>
        </w:r>
        <w:r w:rsidRPr="0028353B">
          <w:rPr>
            <w:rStyle w:val="Hyperlink"/>
          </w:rPr>
          <w:t>alues</w:t>
        </w:r>
      </w:hyperlink>
      <w:r w:rsidR="00FA6429">
        <w:t>’ for ‘g</w:t>
      </w:r>
      <w:r w:rsidRPr="0028353B">
        <w:t>rapevine—early’ (c</w:t>
      </w:r>
      <w:r>
        <w:t>anopies two</w:t>
      </w:r>
      <w:r w:rsidRPr="0028353B">
        <w:t xml:space="preserve"> metres and shorter with a</w:t>
      </w:r>
      <w:r w:rsidR="00FA6429">
        <w:t>ir assistance turned off) and ‘h</w:t>
      </w:r>
      <w:r w:rsidRPr="0028353B">
        <w:t>ops’ have been used to establish additional SDMT deposition curves.</w:t>
      </w:r>
    </w:p>
    <w:p w14:paraId="22852304" w14:textId="24495F59" w:rsidR="0028353B" w:rsidRDefault="0028353B" w:rsidP="0028353B">
      <w:pPr>
        <w:pStyle w:val="Heading4"/>
      </w:pPr>
      <w:r>
        <w:t>Aircraft</w:t>
      </w:r>
    </w:p>
    <w:p w14:paraId="0BF1455C" w14:textId="48AC4A88" w:rsidR="0028353B" w:rsidRPr="0028353B" w:rsidRDefault="0028353B" w:rsidP="0028353B">
      <w:pPr>
        <w:pStyle w:val="NormalText"/>
      </w:pPr>
      <w:r w:rsidRPr="0028353B">
        <w:t>For aircraft, the AGDISP</w:t>
      </w:r>
      <w:r w:rsidRPr="0028353B">
        <w:rPr>
          <w:vertAlign w:val="superscript"/>
        </w:rPr>
        <w:t>TM</w:t>
      </w:r>
      <w:r w:rsidRPr="0028353B">
        <w:t xml:space="preserve"> templates in section 4.1 were used to model two lower wind speeds (14 km/hr and </w:t>
      </w:r>
      <w:r w:rsidRPr="0028353B">
        <w:br/>
        <w:t>7 km/hr) for each droplet size distribution and for each aircraft type to establish additional SDMT deposition curves.</w:t>
      </w:r>
    </w:p>
    <w:p w14:paraId="41FE8BE0" w14:textId="2839A6B8" w:rsidR="0028353B" w:rsidRPr="0028353B" w:rsidRDefault="0028353B" w:rsidP="0028353B">
      <w:pPr>
        <w:pStyle w:val="NormalText"/>
      </w:pPr>
      <w:r w:rsidRPr="0028353B">
        <w:t>For simplicity, the standard use instructions (see s</w:t>
      </w:r>
      <w:r>
        <w:t>ection 5.1</w:t>
      </w:r>
      <w:r w:rsidRPr="0028353B">
        <w:t xml:space="preserve">) align to the standard deposition curves and limit application </w:t>
      </w:r>
      <w:r>
        <w:t xml:space="preserve">to a maximum release height </w:t>
      </w:r>
      <w:r w:rsidR="008353B6" w:rsidRPr="0028353B">
        <w:t>above the target</w:t>
      </w:r>
      <w:r w:rsidR="008353B6">
        <w:t xml:space="preserve"> canopy </w:t>
      </w:r>
      <w:r>
        <w:t>of three</w:t>
      </w:r>
      <w:r w:rsidRPr="0028353B">
        <w:t xml:space="preserve"> metres </w:t>
      </w:r>
      <w:r w:rsidR="00812A30">
        <w:t>or 25 per cent of wingspan or 25 per cent</w:t>
      </w:r>
      <w:r w:rsidR="008353B6" w:rsidRPr="008353B6">
        <w:t xml:space="preserve"> of rotor diameter</w:t>
      </w:r>
      <w:r w:rsidR="008353B6">
        <w:t>,</w:t>
      </w:r>
      <w:r w:rsidR="0080521C">
        <w:t xml:space="preserve"> whichever is </w:t>
      </w:r>
      <w:r w:rsidR="008353B6" w:rsidRPr="008353B6">
        <w:t>greater</w:t>
      </w:r>
      <w:r w:rsidRPr="0028353B">
        <w:t>. To account for this and to provide flexibility to users, additional SDMT deposition curves (for each droplet size distribution for each aircraft typ</w:t>
      </w:r>
      <w:r>
        <w:t xml:space="preserve">e at wind speeds of 20, 14 and </w:t>
      </w:r>
      <w:r w:rsidR="00FA6429">
        <w:t>7</w:t>
      </w:r>
      <w:r w:rsidRPr="0028353B">
        <w:t xml:space="preserve"> km/hr) have been established for heights between </w:t>
      </w:r>
      <w:r>
        <w:t>three</w:t>
      </w:r>
      <w:r w:rsidRPr="0028353B">
        <w:t xml:space="preserve"> metres and </w:t>
      </w:r>
      <w:r>
        <w:t>six</w:t>
      </w:r>
      <w:r w:rsidRPr="0028353B">
        <w:t xml:space="preserve"> metres at 1.0 metre increments (using the AGDISP</w:t>
      </w:r>
      <w:r w:rsidRPr="00460E9D">
        <w:rPr>
          <w:vertAlign w:val="superscript"/>
        </w:rPr>
        <w:t>TM</w:t>
      </w:r>
      <w:r w:rsidRPr="0028353B">
        <w:t xml:space="preserve"> templates in s</w:t>
      </w:r>
      <w:r>
        <w:t>ection 4.1</w:t>
      </w:r>
      <w:r w:rsidRPr="0028353B">
        <w:t xml:space="preserve"> without varying other input values).</w:t>
      </w:r>
    </w:p>
    <w:p w14:paraId="5D48E5B8" w14:textId="77777777" w:rsidR="0028353B" w:rsidRPr="0028353B" w:rsidRDefault="0028353B" w:rsidP="0028353B">
      <w:pPr>
        <w:pStyle w:val="NormalText"/>
        <w:sectPr w:rsidR="0028353B" w:rsidRPr="0028353B" w:rsidSect="00CB58D6">
          <w:headerReference w:type="default" r:id="rId102"/>
          <w:pgSz w:w="11906" w:h="16838" w:code="9"/>
          <w:pgMar w:top="2835" w:right="1134" w:bottom="1134" w:left="1134" w:header="1701" w:footer="680" w:gutter="0"/>
          <w:cols w:space="708"/>
          <w:docGrid w:linePitch="360"/>
        </w:sectPr>
      </w:pPr>
      <w:r w:rsidRPr="0028353B">
        <w:t>At higher release heights, the canopy being treated, and the release height in relation to the canopy should be considered with specific AGDISP</w:t>
      </w:r>
      <w:r w:rsidRPr="00460E9D">
        <w:rPr>
          <w:vertAlign w:val="superscript"/>
        </w:rPr>
        <w:t>TM</w:t>
      </w:r>
      <w:r w:rsidRPr="0028353B">
        <w:t xml:space="preserve"> model inputs rather than the approach above. Because of the considerable number of combinations, this can only practically be performed through the submission of information to develop custom deposition curves (see section 4.2) rather than additional SDMT deposition curves.</w:t>
      </w:r>
    </w:p>
    <w:p w14:paraId="1F01D4B1" w14:textId="7F6C79C5" w:rsidR="0028353B" w:rsidRPr="0028353B" w:rsidRDefault="0028353B" w:rsidP="0028353B">
      <w:pPr>
        <w:pStyle w:val="Heading1"/>
      </w:pPr>
      <w:bookmarkStart w:id="65" w:name="_Toc14340872"/>
      <w:r>
        <w:lastRenderedPageBreak/>
        <w:t>Case studies</w:t>
      </w:r>
      <w:bookmarkEnd w:id="65"/>
    </w:p>
    <w:p w14:paraId="2F59BD28" w14:textId="77777777" w:rsidR="0028353B" w:rsidRPr="0028353B" w:rsidRDefault="0028353B" w:rsidP="0028353B">
      <w:pPr>
        <w:pStyle w:val="NormalText"/>
      </w:pPr>
      <w:r w:rsidRPr="0028353B">
        <w:t>To demonstrate the principles outlined in this manual and the effect it has on the pesticide label, two case study examples for hypothetical pesticide products are set out below. The first is for a herbicide that can be applied by fixed wing aircraft, helicopter or ground boom sprayer (section 8.1). The second is for an insecticide that can be applied using a vertical sprayer or ground boom sprayer (section 8.2).</w:t>
      </w:r>
    </w:p>
    <w:p w14:paraId="67F87417" w14:textId="3728A275" w:rsidR="00316105" w:rsidRDefault="004E7D7E" w:rsidP="0028353B">
      <w:pPr>
        <w:pStyle w:val="Heading2"/>
      </w:pPr>
      <w:bookmarkStart w:id="66" w:name="_Toc14340873"/>
      <w:r>
        <w:t>Case study one</w:t>
      </w:r>
      <w:r w:rsidR="0028353B">
        <w:t>: Herbicide applied by air and ground boom</w:t>
      </w:r>
      <w:bookmarkEnd w:id="66"/>
    </w:p>
    <w:p w14:paraId="0B7F6F1B" w14:textId="4ACAAC29" w:rsidR="0028353B" w:rsidRDefault="0028353B" w:rsidP="0028353B">
      <w:pPr>
        <w:pStyle w:val="NormalText"/>
        <w:rPr>
          <w:rFonts w:eastAsia="Calibri"/>
        </w:rPr>
      </w:pPr>
      <w:r w:rsidRPr="0028353B">
        <w:rPr>
          <w:rFonts w:eastAsia="Calibri"/>
        </w:rPr>
        <w:t>Herbicide One contains an active constituent of 500 g/L active-one. It can be applied by either ground boom or aircraft. It can be applied to cereals with a maximum rate of 2.1 L/ha or pastures, right of way or fallow with a maximum rate of 4 L/ha as shown on the product label (</w:t>
      </w:r>
      <w:r w:rsidR="00460E9D">
        <w:rPr>
          <w:rFonts w:eastAsia="Calibri"/>
        </w:rPr>
        <w:t>f</w:t>
      </w:r>
      <w:r w:rsidR="005B3AFA">
        <w:rPr>
          <w:rFonts w:eastAsia="Calibri"/>
        </w:rPr>
        <w:t>igure 13</w:t>
      </w:r>
      <w:r>
        <w:rPr>
          <w:rFonts w:eastAsia="Calibri"/>
        </w:rPr>
        <w:t>).</w:t>
      </w:r>
    </w:p>
    <w:p w14:paraId="5C68CBD9" w14:textId="77777777" w:rsidR="005B3AFA" w:rsidRDefault="005B3AFA" w:rsidP="005B3AFA">
      <w:pPr>
        <w:pStyle w:val="Caption"/>
        <w:rPr>
          <w:rFonts w:eastAsia="Calibri"/>
        </w:rPr>
      </w:pPr>
      <w:r w:rsidRPr="005B3AFA">
        <w:rPr>
          <w:rFonts w:eastAsia="Calibri"/>
        </w:rPr>
        <w:t>Figure 13: Extract from Herbicide One label</w:t>
      </w:r>
    </w:p>
    <w:tbl>
      <w:tblPr>
        <w:tblStyle w:val="TableGrid"/>
        <w:tblW w:w="0" w:type="auto"/>
        <w:shd w:val="clear" w:color="auto" w:fill="D5D7D5" w:themeFill="text1" w:themeFillTint="33"/>
        <w:tblLook w:val="04A0" w:firstRow="1" w:lastRow="0" w:firstColumn="1" w:lastColumn="0" w:noHBand="0" w:noVBand="1"/>
        <w:tblCaption w:val="Label extract"/>
        <w:tblDescription w:val="Herbicide One has 500 g/L of active-one and can be applied to control various weed in wheat, barley and oats at 0.7 - 2.1 L/ha and in pastures, rights of way and fallows at 0.7 - 4.1 L/ha"/>
      </w:tblPr>
      <w:tblGrid>
        <w:gridCol w:w="9628"/>
      </w:tblGrid>
      <w:tr w:rsidR="00CB58D6" w14:paraId="296B7CBE" w14:textId="77777777" w:rsidTr="002E4D78">
        <w:trPr>
          <w:trHeight w:val="3779"/>
          <w:tblHeader/>
        </w:trPr>
        <w:tc>
          <w:tcPr>
            <w:tcW w:w="9628" w:type="dxa"/>
            <w:shd w:val="clear" w:color="auto" w:fill="B9C9D0"/>
          </w:tcPr>
          <w:p w14:paraId="2DDF9A78" w14:textId="77777777" w:rsidR="00CB58D6" w:rsidRPr="00DE170C" w:rsidRDefault="00CB58D6" w:rsidP="00DE170C">
            <w:pPr>
              <w:pStyle w:val="APVMATableText"/>
              <w:rPr>
                <w:rFonts w:eastAsia="Calibri"/>
              </w:rPr>
            </w:pPr>
            <w:r w:rsidRPr="00DE170C">
              <w:rPr>
                <w:rFonts w:eastAsia="Calibri"/>
              </w:rPr>
              <w:t>Product Name: Herbicide One</w:t>
            </w:r>
          </w:p>
          <w:p w14:paraId="7635AAE2" w14:textId="77777777" w:rsidR="00CB58D6" w:rsidRPr="00DE170C" w:rsidRDefault="00CB58D6" w:rsidP="00DE170C">
            <w:pPr>
              <w:pStyle w:val="APVMATableText"/>
              <w:rPr>
                <w:rFonts w:eastAsia="Calibri"/>
              </w:rPr>
            </w:pPr>
            <w:r w:rsidRPr="00DE170C">
              <w:rPr>
                <w:rFonts w:eastAsia="Calibri"/>
              </w:rPr>
              <w:t>Active constituent: 500 g/L active-one</w:t>
            </w:r>
          </w:p>
          <w:p w14:paraId="03E99046" w14:textId="77777777" w:rsidR="00CB58D6" w:rsidRPr="00DE170C" w:rsidRDefault="00CB58D6" w:rsidP="00DE170C">
            <w:pPr>
              <w:pStyle w:val="APVMATableText"/>
              <w:rPr>
                <w:rFonts w:eastAsia="Calibri"/>
              </w:rPr>
            </w:pPr>
            <w:r w:rsidRPr="00DE170C">
              <w:rPr>
                <w:rFonts w:eastAsia="Calibri"/>
              </w:rPr>
              <w:t>Product Number: 1001</w:t>
            </w:r>
          </w:p>
          <w:p w14:paraId="32507DC2" w14:textId="77777777" w:rsidR="00CB58D6" w:rsidRPr="00DE170C" w:rsidRDefault="00CB58D6" w:rsidP="00DE170C">
            <w:pPr>
              <w:pStyle w:val="APVMATableText"/>
              <w:rPr>
                <w:rFonts w:eastAsia="Calibri"/>
              </w:rPr>
            </w:pPr>
            <w:r w:rsidRPr="00DE170C">
              <w:rPr>
                <w:rFonts w:eastAsia="Calibri"/>
              </w:rPr>
              <w:t>DIRECTIONS FOR USE</w:t>
            </w:r>
          </w:p>
          <w:tbl>
            <w:tblPr>
              <w:tblW w:w="5000" w:type="pct"/>
              <w:tblCellMar>
                <w:left w:w="0" w:type="dxa"/>
                <w:right w:w="0" w:type="dxa"/>
              </w:tblCellMar>
              <w:tblLook w:val="01E0" w:firstRow="1" w:lastRow="1" w:firstColumn="1" w:lastColumn="1" w:noHBand="0" w:noVBand="0"/>
            </w:tblPr>
            <w:tblGrid>
              <w:gridCol w:w="2984"/>
              <w:gridCol w:w="3400"/>
              <w:gridCol w:w="3018"/>
            </w:tblGrid>
            <w:tr w:rsidR="00CB58D6" w:rsidRPr="005C317E" w14:paraId="52878E9B" w14:textId="77777777" w:rsidTr="002E4D78">
              <w:trPr>
                <w:trHeight w:hRule="exact" w:val="489"/>
              </w:trPr>
              <w:tc>
                <w:tcPr>
                  <w:tcW w:w="1587" w:type="pct"/>
                  <w:tcBorders>
                    <w:top w:val="single" w:sz="4" w:space="0" w:color="000000"/>
                    <w:left w:val="single" w:sz="4" w:space="0" w:color="000000"/>
                    <w:bottom w:val="single" w:sz="4" w:space="0" w:color="000000"/>
                    <w:right w:val="single" w:sz="4" w:space="0" w:color="000000"/>
                  </w:tcBorders>
                  <w:vAlign w:val="center"/>
                </w:tcPr>
                <w:p w14:paraId="54F55B62" w14:textId="01A2FC8C" w:rsidR="00CB58D6" w:rsidRPr="002E4D78" w:rsidRDefault="00CB58D6" w:rsidP="002E4D78">
                  <w:pPr>
                    <w:pStyle w:val="APVMATableText"/>
                    <w:rPr>
                      <w:rFonts w:eastAsia="Calibri"/>
                    </w:rPr>
                  </w:pPr>
                  <w:r w:rsidRPr="002E4D78">
                    <w:rPr>
                      <w:rFonts w:eastAsia="Calibri"/>
                    </w:rPr>
                    <w:t xml:space="preserve">Situation and </w:t>
                  </w:r>
                  <w:r w:rsidR="00DE170C" w:rsidRPr="002E4D78">
                    <w:rPr>
                      <w:rFonts w:eastAsia="Calibri"/>
                    </w:rPr>
                    <w:t>c</w:t>
                  </w:r>
                  <w:r w:rsidRPr="002E4D78">
                    <w:rPr>
                      <w:rFonts w:eastAsia="Calibri"/>
                    </w:rPr>
                    <w:t>rop</w:t>
                  </w:r>
                </w:p>
              </w:tc>
              <w:tc>
                <w:tcPr>
                  <w:tcW w:w="1808" w:type="pct"/>
                  <w:tcBorders>
                    <w:top w:val="single" w:sz="4" w:space="0" w:color="000000"/>
                    <w:left w:val="single" w:sz="4" w:space="0" w:color="000000"/>
                    <w:bottom w:val="single" w:sz="4" w:space="0" w:color="000000"/>
                    <w:right w:val="single" w:sz="4" w:space="0" w:color="000000"/>
                  </w:tcBorders>
                  <w:vAlign w:val="center"/>
                </w:tcPr>
                <w:p w14:paraId="63BFAB9F" w14:textId="77777777" w:rsidR="00CB58D6" w:rsidRPr="002E4D78" w:rsidRDefault="00CB58D6" w:rsidP="002E4D78">
                  <w:pPr>
                    <w:pStyle w:val="APVMATableText"/>
                    <w:rPr>
                      <w:rFonts w:eastAsia="Calibri"/>
                    </w:rPr>
                  </w:pPr>
                  <w:r w:rsidRPr="002E4D78">
                    <w:rPr>
                      <w:rFonts w:eastAsia="Calibri"/>
                    </w:rPr>
                    <w:t>Weeds</w:t>
                  </w:r>
                </w:p>
              </w:tc>
              <w:tc>
                <w:tcPr>
                  <w:tcW w:w="1605" w:type="pct"/>
                  <w:tcBorders>
                    <w:top w:val="single" w:sz="4" w:space="0" w:color="000000"/>
                    <w:left w:val="single" w:sz="4" w:space="0" w:color="000000"/>
                    <w:bottom w:val="single" w:sz="4" w:space="0" w:color="000000"/>
                    <w:right w:val="single" w:sz="4" w:space="0" w:color="000000"/>
                  </w:tcBorders>
                  <w:vAlign w:val="center"/>
                </w:tcPr>
                <w:p w14:paraId="4B27D79D" w14:textId="77777777" w:rsidR="00CB58D6" w:rsidRPr="002E4D78" w:rsidRDefault="00CB58D6" w:rsidP="002E4D78">
                  <w:pPr>
                    <w:pStyle w:val="APVMATableText"/>
                    <w:rPr>
                      <w:rFonts w:eastAsia="Calibri"/>
                    </w:rPr>
                  </w:pPr>
                  <w:r w:rsidRPr="002E4D78">
                    <w:rPr>
                      <w:rFonts w:eastAsia="Calibri"/>
                    </w:rPr>
                    <w:t>Rate</w:t>
                  </w:r>
                </w:p>
              </w:tc>
            </w:tr>
            <w:tr w:rsidR="00CB58D6" w:rsidRPr="005C317E" w14:paraId="5D57C7BC" w14:textId="77777777" w:rsidTr="002E4D78">
              <w:trPr>
                <w:trHeight w:hRule="exact" w:val="759"/>
              </w:trPr>
              <w:tc>
                <w:tcPr>
                  <w:tcW w:w="1587" w:type="pct"/>
                  <w:tcBorders>
                    <w:top w:val="single" w:sz="4" w:space="0" w:color="000000"/>
                    <w:left w:val="single" w:sz="4" w:space="0" w:color="000000"/>
                    <w:bottom w:val="single" w:sz="8" w:space="0" w:color="auto"/>
                    <w:right w:val="single" w:sz="4" w:space="0" w:color="000000"/>
                  </w:tcBorders>
                  <w:vAlign w:val="center"/>
                </w:tcPr>
                <w:p w14:paraId="3576B1B7" w14:textId="77777777" w:rsidR="00CB58D6" w:rsidRPr="002E4D78" w:rsidRDefault="00CB58D6" w:rsidP="002E4D78">
                  <w:pPr>
                    <w:pStyle w:val="APVMATableText"/>
                    <w:rPr>
                      <w:rFonts w:eastAsia="Calibri"/>
                    </w:rPr>
                  </w:pPr>
                  <w:r w:rsidRPr="002E4D78">
                    <w:rPr>
                      <w:rFonts w:eastAsia="Calibri"/>
                    </w:rPr>
                    <w:t>Wheat Barley Oats</w:t>
                  </w:r>
                </w:p>
              </w:tc>
              <w:tc>
                <w:tcPr>
                  <w:tcW w:w="1808" w:type="pct"/>
                  <w:tcBorders>
                    <w:top w:val="single" w:sz="4" w:space="0" w:color="000000"/>
                    <w:left w:val="single" w:sz="4" w:space="0" w:color="000000"/>
                    <w:bottom w:val="single" w:sz="8" w:space="0" w:color="auto"/>
                    <w:right w:val="single" w:sz="4" w:space="0" w:color="000000"/>
                  </w:tcBorders>
                  <w:vAlign w:val="center"/>
                </w:tcPr>
                <w:p w14:paraId="258C986B" w14:textId="77777777" w:rsidR="00CB58D6" w:rsidRPr="002E4D78" w:rsidRDefault="00CB58D6" w:rsidP="002E4D78">
                  <w:pPr>
                    <w:pStyle w:val="APVMATableText"/>
                    <w:rPr>
                      <w:rFonts w:eastAsia="Calibri"/>
                    </w:rPr>
                  </w:pPr>
                  <w:r w:rsidRPr="002E4D78">
                    <w:rPr>
                      <w:rFonts w:eastAsia="Calibri"/>
                    </w:rPr>
                    <w:t>Wild radish (</w:t>
                  </w:r>
                  <w:r w:rsidRPr="002E4D78">
                    <w:rPr>
                      <w:rFonts w:eastAsia="Calibri"/>
                      <w:i/>
                    </w:rPr>
                    <w:t>Raphanus raphanistrum</w:t>
                  </w:r>
                  <w:r w:rsidRPr="002E4D78">
                    <w:rPr>
                      <w:rFonts w:eastAsia="Calibri"/>
                    </w:rPr>
                    <w:t>)</w:t>
                  </w:r>
                </w:p>
                <w:p w14:paraId="1DBFF9AB" w14:textId="77777777" w:rsidR="00CB58D6" w:rsidRPr="002E4D78" w:rsidRDefault="00CB58D6" w:rsidP="002E4D78">
                  <w:pPr>
                    <w:pStyle w:val="APVMATableText"/>
                    <w:rPr>
                      <w:rFonts w:eastAsia="Calibri"/>
                    </w:rPr>
                  </w:pPr>
                  <w:r w:rsidRPr="002E4D78">
                    <w:rPr>
                      <w:rFonts w:eastAsia="Calibri"/>
                    </w:rPr>
                    <w:t>Fat hen (</w:t>
                  </w:r>
                  <w:r w:rsidRPr="002E4D78">
                    <w:rPr>
                      <w:rFonts w:eastAsia="Calibri"/>
                      <w:i/>
                    </w:rPr>
                    <w:t>Chenopodium album</w:t>
                  </w:r>
                  <w:r w:rsidRPr="002E4D78">
                    <w:rPr>
                      <w:rFonts w:eastAsia="Calibri"/>
                    </w:rPr>
                    <w:t>)</w:t>
                  </w:r>
                </w:p>
                <w:p w14:paraId="68D9E2D2" w14:textId="77777777" w:rsidR="00CB58D6" w:rsidRPr="002E4D78" w:rsidRDefault="00CB58D6" w:rsidP="002E4D78">
                  <w:pPr>
                    <w:pStyle w:val="APVMATableText"/>
                    <w:rPr>
                      <w:rFonts w:eastAsia="Calibri"/>
                    </w:rPr>
                  </w:pPr>
                  <w:r w:rsidRPr="002E4D78">
                    <w:rPr>
                      <w:rFonts w:eastAsia="Calibri"/>
                    </w:rPr>
                    <w:t>Turnip weed (Rapistrum rugosum)</w:t>
                  </w:r>
                </w:p>
              </w:tc>
              <w:tc>
                <w:tcPr>
                  <w:tcW w:w="1605" w:type="pct"/>
                  <w:tcBorders>
                    <w:top w:val="single" w:sz="4" w:space="0" w:color="000000"/>
                    <w:left w:val="single" w:sz="4" w:space="0" w:color="000000"/>
                    <w:bottom w:val="single" w:sz="8" w:space="0" w:color="auto"/>
                    <w:right w:val="single" w:sz="4" w:space="0" w:color="000000"/>
                  </w:tcBorders>
                  <w:vAlign w:val="center"/>
                </w:tcPr>
                <w:p w14:paraId="09DF79FE" w14:textId="767919B5" w:rsidR="00CB58D6" w:rsidRPr="002E4D78" w:rsidRDefault="00CB58D6" w:rsidP="002E4D78">
                  <w:pPr>
                    <w:pStyle w:val="APVMATableText"/>
                    <w:rPr>
                      <w:rFonts w:eastAsia="Calibri"/>
                    </w:rPr>
                  </w:pPr>
                  <w:r w:rsidRPr="002E4D78">
                    <w:rPr>
                      <w:rFonts w:eastAsia="Calibri"/>
                    </w:rPr>
                    <w:t>0.7</w:t>
                  </w:r>
                  <w:r w:rsidR="002E4D78">
                    <w:rPr>
                      <w:rFonts w:eastAsia="Calibri"/>
                    </w:rPr>
                    <w:t>–</w:t>
                  </w:r>
                  <w:r w:rsidRPr="002E4D78">
                    <w:rPr>
                      <w:rFonts w:eastAsia="Calibri"/>
                    </w:rPr>
                    <w:t>2.1 L/ha</w:t>
                  </w:r>
                </w:p>
              </w:tc>
            </w:tr>
            <w:tr w:rsidR="00CB58D6" w:rsidRPr="005C317E" w14:paraId="337631E3" w14:textId="77777777" w:rsidTr="002E4D78">
              <w:trPr>
                <w:trHeight w:hRule="exact" w:val="815"/>
              </w:trPr>
              <w:tc>
                <w:tcPr>
                  <w:tcW w:w="1587" w:type="pct"/>
                  <w:tcBorders>
                    <w:top w:val="single" w:sz="8" w:space="0" w:color="auto"/>
                    <w:left w:val="single" w:sz="8" w:space="0" w:color="auto"/>
                    <w:bottom w:val="single" w:sz="8" w:space="0" w:color="auto"/>
                    <w:right w:val="single" w:sz="8" w:space="0" w:color="auto"/>
                  </w:tcBorders>
                  <w:vAlign w:val="center"/>
                </w:tcPr>
                <w:p w14:paraId="0B96558F" w14:textId="2289C6C0" w:rsidR="00CB58D6" w:rsidRPr="002E4D78" w:rsidRDefault="009E3A0A" w:rsidP="002E4D78">
                  <w:pPr>
                    <w:pStyle w:val="APVMATableText"/>
                    <w:rPr>
                      <w:rFonts w:eastAsia="Calibri"/>
                    </w:rPr>
                  </w:pPr>
                  <w:r>
                    <w:rPr>
                      <w:rFonts w:eastAsia="Calibri"/>
                    </w:rPr>
                    <w:t>Pastures</w:t>
                  </w:r>
                </w:p>
                <w:p w14:paraId="215D15C2" w14:textId="77777777" w:rsidR="00CB58D6" w:rsidRPr="002E4D78" w:rsidRDefault="00CB58D6" w:rsidP="002E4D78">
                  <w:pPr>
                    <w:pStyle w:val="APVMATableText"/>
                    <w:rPr>
                      <w:rFonts w:eastAsia="Calibri"/>
                    </w:rPr>
                  </w:pPr>
                  <w:r w:rsidRPr="002E4D78">
                    <w:rPr>
                      <w:rFonts w:eastAsia="Calibri"/>
                    </w:rPr>
                    <w:t>Rights of Way Fallow</w:t>
                  </w:r>
                </w:p>
              </w:tc>
              <w:tc>
                <w:tcPr>
                  <w:tcW w:w="1808" w:type="pct"/>
                  <w:tcBorders>
                    <w:top w:val="single" w:sz="8" w:space="0" w:color="auto"/>
                    <w:left w:val="single" w:sz="8" w:space="0" w:color="auto"/>
                    <w:bottom w:val="single" w:sz="8" w:space="0" w:color="auto"/>
                    <w:right w:val="single" w:sz="8" w:space="0" w:color="auto"/>
                  </w:tcBorders>
                  <w:vAlign w:val="center"/>
                </w:tcPr>
                <w:p w14:paraId="0B187FE8" w14:textId="77777777" w:rsidR="00CB58D6" w:rsidRPr="002E4D78" w:rsidRDefault="00CB58D6" w:rsidP="002E4D78">
                  <w:pPr>
                    <w:pStyle w:val="APVMATableText"/>
                    <w:rPr>
                      <w:rFonts w:eastAsia="Calibri"/>
                    </w:rPr>
                  </w:pPr>
                  <w:r w:rsidRPr="002E4D78">
                    <w:rPr>
                      <w:rFonts w:eastAsia="Calibri"/>
                    </w:rPr>
                    <w:t>Noogora burr (</w:t>
                  </w:r>
                  <w:r w:rsidRPr="002E4D78">
                    <w:rPr>
                      <w:rFonts w:eastAsia="Calibri"/>
                      <w:i/>
                    </w:rPr>
                    <w:t>Xanthium occidentale</w:t>
                  </w:r>
                  <w:r w:rsidRPr="002E4D78">
                    <w:rPr>
                      <w:rFonts w:eastAsia="Calibri"/>
                    </w:rPr>
                    <w:t>)</w:t>
                  </w:r>
                </w:p>
                <w:p w14:paraId="45EFA53F" w14:textId="77777777" w:rsidR="00CB58D6" w:rsidRPr="002E4D78" w:rsidRDefault="00CB58D6" w:rsidP="002E4D78">
                  <w:pPr>
                    <w:pStyle w:val="APVMATableText"/>
                    <w:rPr>
                      <w:rFonts w:eastAsia="Calibri"/>
                    </w:rPr>
                  </w:pPr>
                  <w:r w:rsidRPr="002E4D78">
                    <w:rPr>
                      <w:rFonts w:eastAsia="Calibri"/>
                    </w:rPr>
                    <w:t>Variegated thistle (</w:t>
                  </w:r>
                  <w:r w:rsidRPr="002E4D78">
                    <w:rPr>
                      <w:rFonts w:eastAsia="Calibri"/>
                      <w:i/>
                    </w:rPr>
                    <w:t>Silybum marianum</w:t>
                  </w:r>
                  <w:r w:rsidRPr="002E4D78">
                    <w:rPr>
                      <w:rFonts w:eastAsia="Calibri"/>
                    </w:rPr>
                    <w:t>)</w:t>
                  </w:r>
                </w:p>
              </w:tc>
              <w:tc>
                <w:tcPr>
                  <w:tcW w:w="1605" w:type="pct"/>
                  <w:tcBorders>
                    <w:top w:val="single" w:sz="8" w:space="0" w:color="auto"/>
                    <w:left w:val="single" w:sz="8" w:space="0" w:color="auto"/>
                    <w:bottom w:val="single" w:sz="8" w:space="0" w:color="auto"/>
                    <w:right w:val="single" w:sz="8" w:space="0" w:color="auto"/>
                  </w:tcBorders>
                  <w:vAlign w:val="center"/>
                </w:tcPr>
                <w:p w14:paraId="15A3440C" w14:textId="77777777" w:rsidR="00CB58D6" w:rsidRPr="002E4D78" w:rsidRDefault="00CB58D6" w:rsidP="002E4D78">
                  <w:pPr>
                    <w:pStyle w:val="APVMATableText"/>
                    <w:rPr>
                      <w:rFonts w:eastAsia="Calibri"/>
                    </w:rPr>
                  </w:pPr>
                  <w:r w:rsidRPr="002E4D78">
                    <w:rPr>
                      <w:rFonts w:eastAsia="Calibri"/>
                    </w:rPr>
                    <w:t>0.7–4 L/ha</w:t>
                  </w:r>
                </w:p>
              </w:tc>
            </w:tr>
          </w:tbl>
          <w:p w14:paraId="5864ADC6" w14:textId="77777777" w:rsidR="00CB58D6" w:rsidRDefault="00CB58D6" w:rsidP="009B60F8">
            <w:pPr>
              <w:pStyle w:val="NormalText"/>
              <w:rPr>
                <w:rFonts w:eastAsia="Calibri"/>
              </w:rPr>
            </w:pPr>
          </w:p>
        </w:tc>
      </w:tr>
    </w:tbl>
    <w:p w14:paraId="6DCC4FBE" w14:textId="2F235EE1" w:rsidR="00354C92" w:rsidRPr="00BB0CEC" w:rsidRDefault="00354C92" w:rsidP="00354C92">
      <w:pPr>
        <w:pStyle w:val="Caption"/>
      </w:pPr>
      <w:bookmarkStart w:id="67" w:name="_Toc14340891"/>
      <w:r>
        <w:t xml:space="preserve">Table </w:t>
      </w:r>
      <w:r w:rsidR="00371051">
        <w:rPr>
          <w:noProof/>
        </w:rPr>
        <w:fldChar w:fldCharType="begin"/>
      </w:r>
      <w:r w:rsidR="00371051">
        <w:rPr>
          <w:noProof/>
        </w:rPr>
        <w:instrText xml:space="preserve"> SEQ Table \* ARABIC </w:instrText>
      </w:r>
      <w:r w:rsidR="00371051">
        <w:rPr>
          <w:noProof/>
        </w:rPr>
        <w:fldChar w:fldCharType="separate"/>
      </w:r>
      <w:r w:rsidR="00037DBD">
        <w:rPr>
          <w:noProof/>
        </w:rPr>
        <w:t>12</w:t>
      </w:r>
      <w:r w:rsidR="00371051">
        <w:rPr>
          <w:noProof/>
        </w:rPr>
        <w:fldChar w:fldCharType="end"/>
      </w:r>
      <w:r w:rsidRPr="00BB0CEC">
        <w:t>:</w:t>
      </w:r>
      <w:r w:rsidRPr="00BB0CEC">
        <w:tab/>
      </w:r>
      <w:r w:rsidRPr="005C317E">
        <w:rPr>
          <w:rFonts w:eastAsia="Calibri"/>
          <w:lang w:val="en-US"/>
        </w:rPr>
        <w:t>Regulatory acceptable levels for Herbicide One</w:t>
      </w:r>
      <w:bookmarkEnd w:id="67"/>
    </w:p>
    <w:tbl>
      <w:tblPr>
        <w:tblW w:w="5000" w:type="pct"/>
        <w:tblBorders>
          <w:bottom w:val="dotted" w:sz="2" w:space="0" w:color="auto"/>
          <w:insideH w:val="dotted" w:sz="2" w:space="0" w:color="auto"/>
        </w:tblBorders>
        <w:tblLook w:val="01E0" w:firstRow="1" w:lastRow="1" w:firstColumn="1" w:lastColumn="1" w:noHBand="0" w:noVBand="0"/>
      </w:tblPr>
      <w:tblGrid>
        <w:gridCol w:w="2835"/>
        <w:gridCol w:w="3543"/>
        <w:gridCol w:w="3260"/>
      </w:tblGrid>
      <w:tr w:rsidR="00354C92" w14:paraId="49EF9D99" w14:textId="77777777" w:rsidTr="00354C92">
        <w:trPr>
          <w:cantSplit/>
          <w:tblHeader/>
        </w:trPr>
        <w:tc>
          <w:tcPr>
            <w:tcW w:w="1471" w:type="pct"/>
            <w:tcBorders>
              <w:bottom w:val="single" w:sz="4" w:space="0" w:color="auto"/>
            </w:tcBorders>
            <w:shd w:val="clear" w:color="auto" w:fill="53284F"/>
            <w:vAlign w:val="bottom"/>
          </w:tcPr>
          <w:p w14:paraId="521C1B71" w14:textId="4A7CD3F2" w:rsidR="00354C92" w:rsidRPr="00BB0CEC" w:rsidRDefault="00354C92" w:rsidP="00354C92">
            <w:pPr>
              <w:pStyle w:val="APVMATableHead"/>
            </w:pPr>
            <w:r w:rsidRPr="005C317E">
              <w:t>Sensitive area</w:t>
            </w:r>
          </w:p>
        </w:tc>
        <w:tc>
          <w:tcPr>
            <w:tcW w:w="1838" w:type="pct"/>
            <w:tcBorders>
              <w:bottom w:val="single" w:sz="4" w:space="0" w:color="auto"/>
            </w:tcBorders>
            <w:shd w:val="clear" w:color="auto" w:fill="53284F"/>
            <w:vAlign w:val="bottom"/>
          </w:tcPr>
          <w:p w14:paraId="1B559BCA" w14:textId="28E60BBE" w:rsidR="00354C92" w:rsidRPr="00BB0CEC" w:rsidRDefault="00FA6429" w:rsidP="00FA6429">
            <w:pPr>
              <w:pStyle w:val="APVMATableHead"/>
            </w:pPr>
            <w:r>
              <w:t>Regulator a</w:t>
            </w:r>
            <w:r w:rsidR="00354C92" w:rsidRPr="005C317E">
              <w:t xml:space="preserve">cceptable </w:t>
            </w:r>
            <w:r>
              <w:t>l</w:t>
            </w:r>
            <w:r w:rsidR="00354C92" w:rsidRPr="005C317E">
              <w:t>evel (RAL)</w:t>
            </w:r>
          </w:p>
        </w:tc>
        <w:tc>
          <w:tcPr>
            <w:tcW w:w="1691" w:type="pct"/>
            <w:tcBorders>
              <w:bottom w:val="single" w:sz="4" w:space="0" w:color="auto"/>
            </w:tcBorders>
            <w:shd w:val="clear" w:color="auto" w:fill="53284F"/>
            <w:vAlign w:val="bottom"/>
          </w:tcPr>
          <w:p w14:paraId="3E4650C7" w14:textId="589360B7" w:rsidR="00354C92" w:rsidRPr="00BB0CEC" w:rsidRDefault="00354C92" w:rsidP="00354C92">
            <w:pPr>
              <w:pStyle w:val="APVMATableHead"/>
            </w:pPr>
            <w:r w:rsidRPr="005C317E">
              <w:t>Fraction of applied rate</w:t>
            </w:r>
            <w:r w:rsidRPr="005C317E">
              <w:rPr>
                <w:vertAlign w:val="superscript"/>
              </w:rPr>
              <w:t>1</w:t>
            </w:r>
          </w:p>
        </w:tc>
      </w:tr>
      <w:tr w:rsidR="00354C92" w14:paraId="342A584E" w14:textId="77777777" w:rsidTr="00354C92">
        <w:trPr>
          <w:cantSplit/>
        </w:trPr>
        <w:tc>
          <w:tcPr>
            <w:tcW w:w="1471" w:type="pct"/>
            <w:tcBorders>
              <w:top w:val="single" w:sz="4" w:space="0" w:color="auto"/>
              <w:bottom w:val="single" w:sz="4" w:space="0" w:color="auto"/>
            </w:tcBorders>
          </w:tcPr>
          <w:p w14:paraId="087DCB08" w14:textId="24E583F1" w:rsidR="00354C92" w:rsidRPr="00354C92" w:rsidRDefault="00354C92" w:rsidP="00354C92">
            <w:pPr>
              <w:pStyle w:val="APVMATableText"/>
            </w:pPr>
            <w:r w:rsidRPr="00354C92">
              <w:t>Bystander</w:t>
            </w:r>
          </w:p>
        </w:tc>
        <w:tc>
          <w:tcPr>
            <w:tcW w:w="1838" w:type="pct"/>
            <w:tcBorders>
              <w:top w:val="single" w:sz="4" w:space="0" w:color="auto"/>
              <w:bottom w:val="single" w:sz="4" w:space="0" w:color="auto"/>
            </w:tcBorders>
          </w:tcPr>
          <w:p w14:paraId="5CE29A37" w14:textId="14037764" w:rsidR="00354C92" w:rsidRPr="00354C92" w:rsidRDefault="00354C92" w:rsidP="00354C92">
            <w:pPr>
              <w:pStyle w:val="APVMATableText"/>
            </w:pPr>
            <w:r w:rsidRPr="00354C92">
              <w:t>31 g/ha</w:t>
            </w:r>
          </w:p>
        </w:tc>
        <w:tc>
          <w:tcPr>
            <w:tcW w:w="1691" w:type="pct"/>
            <w:tcBorders>
              <w:top w:val="single" w:sz="4" w:space="0" w:color="auto"/>
              <w:bottom w:val="single" w:sz="4" w:space="0" w:color="auto"/>
            </w:tcBorders>
          </w:tcPr>
          <w:p w14:paraId="7C43258A" w14:textId="6407EBB3" w:rsidR="00354C92" w:rsidRPr="00354C92" w:rsidRDefault="00354C92" w:rsidP="00354C92">
            <w:pPr>
              <w:pStyle w:val="APVMATableText"/>
            </w:pPr>
            <w:r w:rsidRPr="00354C92">
              <w:t>0.01550</w:t>
            </w:r>
          </w:p>
        </w:tc>
      </w:tr>
      <w:tr w:rsidR="00354C92" w14:paraId="431FB72E" w14:textId="77777777" w:rsidTr="00354C92">
        <w:trPr>
          <w:cantSplit/>
        </w:trPr>
        <w:tc>
          <w:tcPr>
            <w:tcW w:w="1471" w:type="pct"/>
            <w:tcBorders>
              <w:top w:val="single" w:sz="4" w:space="0" w:color="auto"/>
              <w:bottom w:val="single" w:sz="4" w:space="0" w:color="auto"/>
            </w:tcBorders>
          </w:tcPr>
          <w:p w14:paraId="578A67B9" w14:textId="1EEA30F5" w:rsidR="00354C92" w:rsidRPr="00354C92" w:rsidRDefault="00354C92" w:rsidP="00354C92">
            <w:pPr>
              <w:pStyle w:val="APVMATableText"/>
            </w:pPr>
            <w:r w:rsidRPr="00354C92">
              <w:t>Aquatic</w:t>
            </w:r>
          </w:p>
        </w:tc>
        <w:tc>
          <w:tcPr>
            <w:tcW w:w="1838" w:type="pct"/>
            <w:tcBorders>
              <w:top w:val="single" w:sz="4" w:space="0" w:color="auto"/>
              <w:bottom w:val="single" w:sz="4" w:space="0" w:color="auto"/>
            </w:tcBorders>
          </w:tcPr>
          <w:p w14:paraId="73BA17AB" w14:textId="1964F54F" w:rsidR="00354C92" w:rsidRPr="00354C92" w:rsidRDefault="00354C92" w:rsidP="00354C92">
            <w:pPr>
              <w:pStyle w:val="APVMATableText"/>
            </w:pPr>
            <w:r w:rsidRPr="00354C92">
              <w:t>10 µg/L</w:t>
            </w:r>
          </w:p>
        </w:tc>
        <w:tc>
          <w:tcPr>
            <w:tcW w:w="1691" w:type="pct"/>
            <w:tcBorders>
              <w:top w:val="single" w:sz="4" w:space="0" w:color="auto"/>
              <w:bottom w:val="single" w:sz="4" w:space="0" w:color="auto"/>
            </w:tcBorders>
          </w:tcPr>
          <w:p w14:paraId="452AF7CD" w14:textId="5123840E" w:rsidR="00354C92" w:rsidRPr="00354C92" w:rsidRDefault="00354C92" w:rsidP="00354C92">
            <w:pPr>
              <w:pStyle w:val="APVMATableText"/>
            </w:pPr>
            <w:r w:rsidRPr="00354C92">
              <w:t>0.01500</w:t>
            </w:r>
          </w:p>
        </w:tc>
      </w:tr>
      <w:tr w:rsidR="00354C92" w14:paraId="76A4A8D3" w14:textId="77777777" w:rsidTr="00354C92">
        <w:trPr>
          <w:cantSplit/>
        </w:trPr>
        <w:tc>
          <w:tcPr>
            <w:tcW w:w="1471" w:type="pct"/>
            <w:tcBorders>
              <w:top w:val="single" w:sz="4" w:space="0" w:color="auto"/>
              <w:bottom w:val="single" w:sz="4" w:space="0" w:color="auto"/>
            </w:tcBorders>
          </w:tcPr>
          <w:p w14:paraId="32C342B1" w14:textId="5A8DFB4E" w:rsidR="00354C92" w:rsidRPr="00354C92" w:rsidRDefault="00354C92" w:rsidP="00354C92">
            <w:pPr>
              <w:pStyle w:val="APVMATableText"/>
            </w:pPr>
            <w:r w:rsidRPr="00354C92">
              <w:t>Pollinators</w:t>
            </w:r>
          </w:p>
        </w:tc>
        <w:tc>
          <w:tcPr>
            <w:tcW w:w="1838" w:type="pct"/>
            <w:tcBorders>
              <w:top w:val="single" w:sz="4" w:space="0" w:color="auto"/>
              <w:bottom w:val="single" w:sz="4" w:space="0" w:color="auto"/>
            </w:tcBorders>
          </w:tcPr>
          <w:p w14:paraId="07E2581F" w14:textId="13EEC099" w:rsidR="00354C92" w:rsidRPr="00354C92" w:rsidRDefault="00354C92" w:rsidP="00354C92">
            <w:pPr>
              <w:pStyle w:val="APVMATableText"/>
            </w:pPr>
            <w:r w:rsidRPr="00354C92">
              <w:t>900 g/ha</w:t>
            </w:r>
          </w:p>
        </w:tc>
        <w:tc>
          <w:tcPr>
            <w:tcW w:w="1691" w:type="pct"/>
            <w:tcBorders>
              <w:top w:val="single" w:sz="4" w:space="0" w:color="auto"/>
              <w:bottom w:val="single" w:sz="4" w:space="0" w:color="auto"/>
            </w:tcBorders>
          </w:tcPr>
          <w:p w14:paraId="115B4C3F" w14:textId="495F5837" w:rsidR="00354C92" w:rsidRPr="00354C92" w:rsidRDefault="00354C92" w:rsidP="00354C92">
            <w:pPr>
              <w:pStyle w:val="APVMATableText"/>
            </w:pPr>
            <w:r w:rsidRPr="00354C92">
              <w:t>0.45000</w:t>
            </w:r>
          </w:p>
        </w:tc>
      </w:tr>
      <w:tr w:rsidR="00354C92" w14:paraId="0A18C019" w14:textId="77777777" w:rsidTr="00354C92">
        <w:trPr>
          <w:cantSplit/>
        </w:trPr>
        <w:tc>
          <w:tcPr>
            <w:tcW w:w="1471" w:type="pct"/>
            <w:tcBorders>
              <w:top w:val="single" w:sz="4" w:space="0" w:color="auto"/>
              <w:bottom w:val="single" w:sz="4" w:space="0" w:color="auto"/>
            </w:tcBorders>
          </w:tcPr>
          <w:p w14:paraId="25EDAB34" w14:textId="69C81D61" w:rsidR="00354C92" w:rsidRPr="00354C92" w:rsidRDefault="00354C92" w:rsidP="00354C92">
            <w:pPr>
              <w:pStyle w:val="APVMATableText"/>
            </w:pPr>
            <w:r w:rsidRPr="00354C92">
              <w:t>Vegetation</w:t>
            </w:r>
          </w:p>
        </w:tc>
        <w:tc>
          <w:tcPr>
            <w:tcW w:w="1838" w:type="pct"/>
            <w:tcBorders>
              <w:top w:val="single" w:sz="4" w:space="0" w:color="auto"/>
              <w:bottom w:val="single" w:sz="4" w:space="0" w:color="auto"/>
            </w:tcBorders>
          </w:tcPr>
          <w:p w14:paraId="29CDA9CE" w14:textId="3D1C058E" w:rsidR="00354C92" w:rsidRPr="00354C92" w:rsidRDefault="00354C92" w:rsidP="00354C92">
            <w:pPr>
              <w:pStyle w:val="APVMATableText"/>
            </w:pPr>
            <w:r w:rsidRPr="00354C92">
              <w:t>7.5 g/ha</w:t>
            </w:r>
          </w:p>
        </w:tc>
        <w:tc>
          <w:tcPr>
            <w:tcW w:w="1691" w:type="pct"/>
            <w:tcBorders>
              <w:top w:val="single" w:sz="4" w:space="0" w:color="auto"/>
              <w:bottom w:val="single" w:sz="4" w:space="0" w:color="auto"/>
            </w:tcBorders>
          </w:tcPr>
          <w:p w14:paraId="51F81B5A" w14:textId="770DE0F7" w:rsidR="00354C92" w:rsidRPr="00354C92" w:rsidRDefault="00354C92" w:rsidP="00354C92">
            <w:pPr>
              <w:pStyle w:val="APVMATableText"/>
            </w:pPr>
            <w:r w:rsidRPr="00354C92">
              <w:t>0.00375</w:t>
            </w:r>
          </w:p>
        </w:tc>
      </w:tr>
      <w:tr w:rsidR="00354C92" w14:paraId="190D0EFC" w14:textId="77777777" w:rsidTr="00354C92">
        <w:trPr>
          <w:cantSplit/>
        </w:trPr>
        <w:tc>
          <w:tcPr>
            <w:tcW w:w="1471" w:type="pct"/>
            <w:tcBorders>
              <w:top w:val="single" w:sz="4" w:space="0" w:color="auto"/>
              <w:bottom w:val="single" w:sz="4" w:space="0" w:color="auto"/>
            </w:tcBorders>
          </w:tcPr>
          <w:p w14:paraId="728E41B1" w14:textId="6A7C4F66" w:rsidR="00354C92" w:rsidRPr="00354C92" w:rsidRDefault="00354C92" w:rsidP="00354C92">
            <w:pPr>
              <w:pStyle w:val="APVMATableText"/>
            </w:pPr>
            <w:r w:rsidRPr="00354C92">
              <w:t>Livestock</w:t>
            </w:r>
          </w:p>
        </w:tc>
        <w:tc>
          <w:tcPr>
            <w:tcW w:w="1838" w:type="pct"/>
            <w:tcBorders>
              <w:top w:val="single" w:sz="4" w:space="0" w:color="auto"/>
              <w:bottom w:val="single" w:sz="4" w:space="0" w:color="auto"/>
            </w:tcBorders>
          </w:tcPr>
          <w:p w14:paraId="567B0F7F" w14:textId="3DFEFD02" w:rsidR="00354C92" w:rsidRPr="00354C92" w:rsidRDefault="00354C92" w:rsidP="00354C92">
            <w:pPr>
              <w:pStyle w:val="APVMATableText"/>
            </w:pPr>
            <w:r w:rsidRPr="00354C92">
              <w:t>500 mg/kg</w:t>
            </w:r>
          </w:p>
        </w:tc>
        <w:tc>
          <w:tcPr>
            <w:tcW w:w="1691" w:type="pct"/>
            <w:tcBorders>
              <w:top w:val="single" w:sz="4" w:space="0" w:color="auto"/>
              <w:bottom w:val="single" w:sz="4" w:space="0" w:color="auto"/>
            </w:tcBorders>
          </w:tcPr>
          <w:p w14:paraId="4A0E6011" w14:textId="7A3D005A" w:rsidR="00354C92" w:rsidRPr="00354C92" w:rsidRDefault="00354C92" w:rsidP="00354C92">
            <w:pPr>
              <w:pStyle w:val="APVMATableText"/>
            </w:pPr>
            <w:r w:rsidRPr="00354C92">
              <w:t>0.75000</w:t>
            </w:r>
          </w:p>
        </w:tc>
      </w:tr>
    </w:tbl>
    <w:p w14:paraId="5C1A2CE7" w14:textId="1C5D3ED5" w:rsidR="00354C92" w:rsidRPr="005C317E" w:rsidRDefault="00354C92" w:rsidP="00354C92">
      <w:pPr>
        <w:pStyle w:val="APVMASourceTableNote"/>
        <w:rPr>
          <w:rFonts w:eastAsia="Calibri"/>
          <w:lang w:val="en-US"/>
        </w:rPr>
      </w:pPr>
      <w:r w:rsidRPr="005C317E">
        <w:rPr>
          <w:rFonts w:eastAsia="Calibri"/>
          <w:vertAlign w:val="superscript"/>
          <w:lang w:val="en-US"/>
        </w:rPr>
        <w:t>1</w:t>
      </w:r>
      <w:r w:rsidRPr="005C317E">
        <w:rPr>
          <w:rFonts w:eastAsia="Calibri"/>
          <w:lang w:val="en-US"/>
        </w:rPr>
        <w:t>Maximum label active constituent application rate is 2000 g ac/ha (= 4 L/ha * 500 g ac/L)</w:t>
      </w:r>
    </w:p>
    <w:p w14:paraId="7425AAEF" w14:textId="42E6B18B" w:rsidR="00DE170C" w:rsidRDefault="00354C92" w:rsidP="00354C92">
      <w:pPr>
        <w:pStyle w:val="NormalText"/>
        <w:rPr>
          <w:rFonts w:eastAsia="Calibri"/>
        </w:rPr>
      </w:pPr>
      <w:r w:rsidRPr="00354C92">
        <w:rPr>
          <w:rFonts w:eastAsia="Calibri"/>
        </w:rPr>
        <w:t xml:space="preserve">An extract from the label using the framework given in this manual is shown in </w:t>
      </w:r>
      <w:r w:rsidR="00460E9D">
        <w:rPr>
          <w:rFonts w:eastAsia="Calibri"/>
        </w:rPr>
        <w:t>f</w:t>
      </w:r>
      <w:r w:rsidR="005B3AFA">
        <w:rPr>
          <w:rFonts w:eastAsia="Calibri"/>
        </w:rPr>
        <w:t>igure 14</w:t>
      </w:r>
      <w:r w:rsidRPr="00354C92">
        <w:rPr>
          <w:rFonts w:eastAsia="Calibri"/>
        </w:rPr>
        <w:t>.</w:t>
      </w:r>
      <w:r w:rsidR="00DE170C">
        <w:rPr>
          <w:rFonts w:eastAsia="Calibri"/>
        </w:rPr>
        <w:br w:type="page"/>
      </w:r>
    </w:p>
    <w:p w14:paraId="31315113" w14:textId="77777777" w:rsidR="002E09D0" w:rsidRDefault="002E09D0" w:rsidP="002E09D0">
      <w:pPr>
        <w:pStyle w:val="Caption"/>
        <w:rPr>
          <w:rFonts w:eastAsia="Calibri"/>
        </w:rPr>
      </w:pPr>
      <w:r w:rsidRPr="002E09D0">
        <w:rPr>
          <w:rFonts w:eastAsia="Calibri"/>
        </w:rPr>
        <w:lastRenderedPageBreak/>
        <w:t>Figure 14: Extract from product label with framework described in this manual</w:t>
      </w:r>
    </w:p>
    <w:tbl>
      <w:tblPr>
        <w:tblStyle w:val="TableGrid"/>
        <w:tblW w:w="0" w:type="auto"/>
        <w:tblInd w:w="120" w:type="dxa"/>
        <w:shd w:val="clear" w:color="auto" w:fill="D5D7D5" w:themeFill="text1" w:themeFillTint="33"/>
        <w:tblLook w:val="04A0" w:firstRow="1" w:lastRow="0" w:firstColumn="1" w:lastColumn="0" w:noHBand="0" w:noVBand="1"/>
        <w:tblCaption w:val="Extract from product label with proposed framework"/>
        <w:tblDescription w:val="Spray drift restraints and buffer zones for boom sprayers and aircraft that would appear on the label according to the proposed APVMA spray drift approach."/>
      </w:tblPr>
      <w:tblGrid>
        <w:gridCol w:w="9508"/>
      </w:tblGrid>
      <w:tr w:rsidR="00DE170C" w14:paraId="69778494" w14:textId="77777777" w:rsidTr="00DE170C">
        <w:trPr>
          <w:trHeight w:val="11920"/>
          <w:tblHeader/>
        </w:trPr>
        <w:tc>
          <w:tcPr>
            <w:tcW w:w="9508" w:type="dxa"/>
            <w:shd w:val="clear" w:color="auto" w:fill="B9C9D0"/>
          </w:tcPr>
          <w:p w14:paraId="271B981A" w14:textId="77777777" w:rsidR="00DE170C" w:rsidRPr="002E4D78" w:rsidRDefault="00DE170C" w:rsidP="002E4D78">
            <w:pPr>
              <w:pStyle w:val="APVMATableText"/>
              <w:rPr>
                <w:rFonts w:eastAsia="Calibri"/>
                <w:b/>
              </w:rPr>
            </w:pPr>
            <w:r w:rsidRPr="002E4D78">
              <w:rPr>
                <w:rFonts w:eastAsia="Calibri"/>
                <w:b/>
              </w:rPr>
              <w:t>SPRAY DRIFT RESTRAINTS</w:t>
            </w:r>
          </w:p>
          <w:p w14:paraId="68A6DB8F" w14:textId="0391AD85" w:rsidR="00DE170C" w:rsidRPr="002E4D78" w:rsidRDefault="00DE170C" w:rsidP="002E4D78">
            <w:pPr>
              <w:pStyle w:val="APVMATableText"/>
              <w:rPr>
                <w:rFonts w:eastAsia="Calibri"/>
              </w:rPr>
            </w:pPr>
            <w:r w:rsidRPr="002E4D78">
              <w:rPr>
                <w:rFonts w:eastAsia="Calibri"/>
              </w:rPr>
              <w:t xml:space="preserve">Specific definitions for terms used in this section of the label can be found at </w:t>
            </w:r>
            <w:hyperlink r:id="rId103">
              <w:r w:rsidRPr="002E4D78">
                <w:rPr>
                  <w:rFonts w:eastAsia="Calibri"/>
                </w:rPr>
                <w:t>apvma.gov.au/spraydrift</w:t>
              </w:r>
            </w:hyperlink>
            <w:r w:rsidRPr="002E4D78">
              <w:rPr>
                <w:rFonts w:eastAsia="Calibri"/>
              </w:rPr>
              <w:t>.</w:t>
            </w:r>
          </w:p>
          <w:p w14:paraId="6441ED0A" w14:textId="77777777" w:rsidR="00DE170C" w:rsidRPr="002E4D78" w:rsidRDefault="00DE170C" w:rsidP="002E4D78">
            <w:pPr>
              <w:pStyle w:val="APVMATableText"/>
              <w:rPr>
                <w:rFonts w:eastAsia="Calibri"/>
              </w:rPr>
            </w:pPr>
            <w:r w:rsidRPr="002E4D78">
              <w:rPr>
                <w:rFonts w:eastAsia="Calibri"/>
                <w:b/>
              </w:rPr>
              <w:t xml:space="preserve">DO NOT </w:t>
            </w:r>
            <w:r w:rsidRPr="002E4D78">
              <w:rPr>
                <w:rFonts w:eastAsia="Calibri"/>
              </w:rPr>
              <w:t>allow bystanders to come into contact with the spray cloud.</w:t>
            </w:r>
          </w:p>
          <w:p w14:paraId="502F8EA5" w14:textId="77777777" w:rsidR="00DE170C" w:rsidRPr="002E4D78" w:rsidRDefault="00DE170C" w:rsidP="002E4D78">
            <w:pPr>
              <w:pStyle w:val="APVMATableText"/>
              <w:rPr>
                <w:rFonts w:eastAsia="Calibri"/>
              </w:rPr>
            </w:pPr>
            <w:r w:rsidRPr="002E4D78">
              <w:rPr>
                <w:rFonts w:eastAsia="Calibri"/>
                <w:b/>
              </w:rPr>
              <w:t xml:space="preserve">DO NOT </w:t>
            </w:r>
            <w:r w:rsidRPr="002E4D78">
              <w:rPr>
                <w:rFonts w:eastAsia="Calibri"/>
              </w:rPr>
              <w:t>apply in a manner that may cause an unacceptable impact to native vegetation, agricultural crops, landscaped gardens and aquaculture production, or cause contamination of plant or livestock commodities, outside the application site from spray drift. The buffer zones in the relevant buffer zone table/s below provide guidance, but may not be sufficient in all situations. Wherever possible, correctly use application equipment designed to reduce spray drift and apply when the wind direction is away from these sensitive areas.</w:t>
            </w:r>
          </w:p>
          <w:p w14:paraId="4B802D01" w14:textId="77777777" w:rsidR="00DE170C" w:rsidRPr="002E4D78" w:rsidRDefault="00DE170C" w:rsidP="002E4D78">
            <w:pPr>
              <w:pStyle w:val="APVMATableText"/>
              <w:rPr>
                <w:rFonts w:eastAsia="Calibri"/>
              </w:rPr>
            </w:pPr>
            <w:r w:rsidRPr="002E4D78">
              <w:rPr>
                <w:rFonts w:eastAsia="Calibri"/>
                <w:b/>
              </w:rPr>
              <w:t xml:space="preserve">DO NOT </w:t>
            </w:r>
            <w:r w:rsidRPr="002E4D78">
              <w:rPr>
                <w:rFonts w:eastAsia="Calibri"/>
              </w:rPr>
              <w:t>apply unless the wind speed is between 3 and 20 kilometres per hour at the application site during the time of application.</w:t>
            </w:r>
          </w:p>
          <w:p w14:paraId="0F4B49C5" w14:textId="77777777" w:rsidR="00DE170C" w:rsidRPr="002E4D78" w:rsidRDefault="00DE170C" w:rsidP="002E4D78">
            <w:pPr>
              <w:pStyle w:val="APVMATableText"/>
              <w:rPr>
                <w:rFonts w:eastAsia="Calibri"/>
              </w:rPr>
            </w:pPr>
            <w:r w:rsidRPr="002E4D78">
              <w:rPr>
                <w:rFonts w:eastAsia="Calibri"/>
                <w:b/>
              </w:rPr>
              <w:t>DO NOT</w:t>
            </w:r>
            <w:r w:rsidRPr="002E4D78">
              <w:rPr>
                <w:rFonts w:eastAsia="Calibri"/>
              </w:rPr>
              <w:t xml:space="preserve"> apply if there are hazardous surface temperature inversion conditions present at the application site during the time of application.</w:t>
            </w:r>
            <w:r w:rsidRPr="002E4D78">
              <w:t xml:space="preserve"> </w:t>
            </w:r>
            <w:r w:rsidRPr="002E4D78">
              <w:rPr>
                <w:rFonts w:eastAsia="Calibri"/>
              </w:rPr>
              <w:t>Surface temperature inversion conditions exist most evenings one to two hours before sunset and persist until one to two hours after sunrise.</w:t>
            </w:r>
          </w:p>
          <w:p w14:paraId="5659CC34" w14:textId="77777777" w:rsidR="00DE170C" w:rsidRPr="002E4D78" w:rsidRDefault="00DE170C" w:rsidP="002E4D78">
            <w:pPr>
              <w:pStyle w:val="APVMATableText"/>
              <w:rPr>
                <w:rFonts w:eastAsia="Calibri"/>
              </w:rPr>
            </w:pPr>
            <w:r w:rsidRPr="002E4D78">
              <w:rPr>
                <w:rFonts w:eastAsia="Calibri"/>
                <w:b/>
              </w:rPr>
              <w:t>DO NOT</w:t>
            </w:r>
            <w:r w:rsidRPr="002E4D78">
              <w:rPr>
                <w:rFonts w:eastAsia="Calibri"/>
              </w:rPr>
              <w:t xml:space="preserve"> apply by a boom sprayer unless the following requirements are met:</w:t>
            </w:r>
          </w:p>
          <w:p w14:paraId="4DFBC53A" w14:textId="77777777" w:rsidR="00DE170C" w:rsidRPr="00DE170C" w:rsidRDefault="00DE170C" w:rsidP="00DE170C">
            <w:pPr>
              <w:pStyle w:val="APVMATableBullet"/>
              <w:numPr>
                <w:ilvl w:val="0"/>
                <w:numId w:val="1"/>
              </w:numPr>
              <w:spacing w:before="60"/>
              <w:rPr>
                <w:rFonts w:eastAsia="Calibri" w:hAnsi="Calibri" w:cs="Calibri"/>
                <w:color w:val="auto"/>
                <w:lang w:val="en-US"/>
              </w:rPr>
            </w:pPr>
            <w:r w:rsidRPr="00DE170C">
              <w:rPr>
                <w:rFonts w:eastAsia="Calibri"/>
                <w:color w:val="auto"/>
                <w:lang w:val="en-US"/>
              </w:rPr>
              <w:t xml:space="preserve">spray droplets not smaller than a </w:t>
            </w:r>
            <w:r w:rsidRPr="00DE170C">
              <w:rPr>
                <w:rFonts w:eastAsia="Calibri"/>
                <w:b/>
                <w:color w:val="auto"/>
                <w:lang w:val="en-US"/>
              </w:rPr>
              <w:t>COARSE</w:t>
            </w:r>
            <w:r w:rsidRPr="00DE170C">
              <w:rPr>
                <w:rFonts w:eastAsia="Calibri"/>
                <w:color w:val="auto"/>
                <w:lang w:val="en-US"/>
              </w:rPr>
              <w:t xml:space="preserve"> spray droplet size</w:t>
            </w:r>
            <w:r w:rsidRPr="00DE170C">
              <w:rPr>
                <w:rFonts w:eastAsia="Calibri"/>
                <w:color w:val="auto"/>
                <w:spacing w:val="-3"/>
                <w:lang w:val="en-US"/>
              </w:rPr>
              <w:t xml:space="preserve"> </w:t>
            </w:r>
            <w:r w:rsidRPr="00DE170C">
              <w:rPr>
                <w:rFonts w:eastAsia="Calibri"/>
                <w:color w:val="auto"/>
                <w:lang w:val="en-US"/>
              </w:rPr>
              <w:t>category</w:t>
            </w:r>
          </w:p>
          <w:p w14:paraId="4ECA0FD8" w14:textId="15D63CD0" w:rsidR="00DE170C" w:rsidRPr="00DE170C" w:rsidRDefault="00DE170C" w:rsidP="00DE170C">
            <w:pPr>
              <w:pStyle w:val="APVMATableBullet"/>
              <w:numPr>
                <w:ilvl w:val="0"/>
                <w:numId w:val="1"/>
              </w:numPr>
              <w:rPr>
                <w:rFonts w:eastAsia="Calibri" w:hAnsi="Calibri" w:cs="Calibri"/>
                <w:color w:val="auto"/>
                <w:lang w:val="en-US"/>
              </w:rPr>
            </w:pPr>
            <w:r>
              <w:rPr>
                <w:rFonts w:eastAsia="Calibri" w:hAnsi="Calibri" w:cs="Calibri"/>
                <w:color w:val="auto"/>
                <w:lang w:val="en-US"/>
              </w:rPr>
              <w:t>m</w:t>
            </w:r>
            <w:r w:rsidRPr="00DE170C">
              <w:rPr>
                <w:rFonts w:eastAsia="Calibri" w:hAnsi="Calibri" w:cs="Calibri"/>
                <w:color w:val="auto"/>
                <w:lang w:val="en-US"/>
              </w:rPr>
              <w:t xml:space="preserve">inimum distances between the application site and downwind sensitive areas (see </w:t>
            </w:r>
            <w:r w:rsidRPr="00DE170C">
              <w:rPr>
                <w:rFonts w:eastAsia="Calibri" w:hAnsi="Calibri" w:cs="Calibri"/>
                <w:color w:val="auto"/>
                <w:lang w:val="en-US"/>
              </w:rPr>
              <w:t>‘</w:t>
            </w:r>
            <w:r w:rsidRPr="00DE170C">
              <w:rPr>
                <w:rFonts w:eastAsia="Calibri" w:hAnsi="Calibri" w:cs="Calibri"/>
                <w:color w:val="auto"/>
                <w:lang w:val="en-US"/>
              </w:rPr>
              <w:t>Mandatory buffer zones</w:t>
            </w:r>
            <w:r w:rsidRPr="00DE170C">
              <w:rPr>
                <w:rFonts w:eastAsia="Calibri" w:hAnsi="Calibri" w:cs="Calibri"/>
                <w:color w:val="auto"/>
                <w:lang w:val="en-US"/>
              </w:rPr>
              <w:t>’</w:t>
            </w:r>
            <w:r w:rsidRPr="00DE170C">
              <w:rPr>
                <w:rFonts w:eastAsia="Calibri" w:hAnsi="Calibri" w:cs="Calibri"/>
                <w:color w:val="auto"/>
                <w:lang w:val="en-US"/>
              </w:rPr>
              <w:t xml:space="preserve"> section of the following table titled </w:t>
            </w:r>
            <w:r w:rsidRPr="00DE170C">
              <w:rPr>
                <w:rFonts w:eastAsia="Calibri" w:hAnsi="Calibri" w:cs="Calibri"/>
                <w:color w:val="auto"/>
                <w:lang w:val="en-US"/>
              </w:rPr>
              <w:t>‘</w:t>
            </w:r>
            <w:r w:rsidRPr="00DE170C">
              <w:rPr>
                <w:rFonts w:eastAsia="Calibri" w:hAnsi="Calibri" w:cs="Calibri"/>
                <w:color w:val="auto"/>
                <w:lang w:val="en-US"/>
              </w:rPr>
              <w:t>Buffer zones for boom sprayers</w:t>
            </w:r>
            <w:r w:rsidRPr="00DE170C">
              <w:rPr>
                <w:rFonts w:eastAsia="Calibri" w:hAnsi="Calibri" w:cs="Calibri"/>
                <w:color w:val="auto"/>
                <w:lang w:val="en-US"/>
              </w:rPr>
              <w:t>’</w:t>
            </w:r>
            <w:r w:rsidRPr="00DE170C">
              <w:rPr>
                <w:rFonts w:eastAsia="Calibri" w:hAnsi="Calibri" w:cs="Calibri"/>
                <w:color w:val="auto"/>
                <w:lang w:val="en-US"/>
              </w:rPr>
              <w:t>) are observed.</w:t>
            </w:r>
          </w:p>
          <w:p w14:paraId="38CEC023" w14:textId="77777777" w:rsidR="00DE170C" w:rsidRPr="00DE170C" w:rsidRDefault="00DE170C" w:rsidP="009B60F8">
            <w:pPr>
              <w:pStyle w:val="APVMATableBullet"/>
              <w:numPr>
                <w:ilvl w:val="0"/>
                <w:numId w:val="0"/>
              </w:numPr>
              <w:rPr>
                <w:rFonts w:eastAsia="Calibri" w:hAnsi="Calibri" w:cs="Calibri"/>
                <w:color w:val="auto"/>
                <w:lang w:val="en-US"/>
              </w:rPr>
            </w:pPr>
            <w:r w:rsidRPr="00DE170C">
              <w:rPr>
                <w:rFonts w:eastAsia="Calibri"/>
                <w:b/>
                <w:color w:val="auto"/>
                <w:lang w:val="en-US"/>
              </w:rPr>
              <w:t>Buffer zones for boom</w:t>
            </w:r>
            <w:r w:rsidRPr="00DE170C">
              <w:rPr>
                <w:rFonts w:eastAsia="Calibri"/>
                <w:b/>
                <w:color w:val="auto"/>
                <w:spacing w:val="-11"/>
                <w:lang w:val="en-US"/>
              </w:rPr>
              <w:t xml:space="preserve"> </w:t>
            </w:r>
            <w:r w:rsidRPr="00DE170C">
              <w:rPr>
                <w:rFonts w:eastAsia="Calibri"/>
                <w:b/>
                <w:color w:val="auto"/>
                <w:lang w:val="en-US"/>
              </w:rPr>
              <w:t>sprayers</w:t>
            </w:r>
          </w:p>
          <w:tbl>
            <w:tblPr>
              <w:tblW w:w="5000" w:type="pct"/>
              <w:tblCellMar>
                <w:left w:w="0" w:type="dxa"/>
                <w:right w:w="0" w:type="dxa"/>
              </w:tblCellMar>
              <w:tblLook w:val="04A0" w:firstRow="1" w:lastRow="0" w:firstColumn="1" w:lastColumn="0" w:noHBand="0" w:noVBand="1"/>
            </w:tblPr>
            <w:tblGrid>
              <w:gridCol w:w="1333"/>
              <w:gridCol w:w="1406"/>
              <w:gridCol w:w="1291"/>
              <w:gridCol w:w="1419"/>
              <w:gridCol w:w="1288"/>
              <w:gridCol w:w="1241"/>
              <w:gridCol w:w="1299"/>
            </w:tblGrid>
            <w:tr w:rsidR="00DE170C" w:rsidRPr="00DE170C" w14:paraId="5407B3A5" w14:textId="77777777" w:rsidTr="00DE170C">
              <w:tc>
                <w:tcPr>
                  <w:tcW w:w="718" w:type="pct"/>
                  <w:vMerge w:val="restart"/>
                  <w:tcBorders>
                    <w:top w:val="single" w:sz="4" w:space="0" w:color="auto"/>
                    <w:left w:val="single" w:sz="4" w:space="0" w:color="auto"/>
                    <w:right w:val="single" w:sz="4" w:space="0" w:color="auto"/>
                  </w:tcBorders>
                </w:tcPr>
                <w:p w14:paraId="6EADE36A" w14:textId="77777777" w:rsidR="00DE170C" w:rsidRPr="00DE170C" w:rsidRDefault="00DE170C" w:rsidP="002E4D78">
                  <w:pPr>
                    <w:pStyle w:val="APVMATableText"/>
                  </w:pPr>
                  <w:r w:rsidRPr="00DE170C">
                    <w:t>Application rate</w:t>
                  </w:r>
                </w:p>
              </w:tc>
              <w:tc>
                <w:tcPr>
                  <w:tcW w:w="758" w:type="pct"/>
                  <w:vMerge w:val="restar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1FFA5E82" w14:textId="77777777" w:rsidR="00DE170C" w:rsidRPr="00DE170C" w:rsidRDefault="00DE170C" w:rsidP="002E4D78">
                  <w:pPr>
                    <w:pStyle w:val="APVMATableText"/>
                  </w:pPr>
                  <w:r w:rsidRPr="00DE170C">
                    <w:t>Boom height above the target canopy</w:t>
                  </w:r>
                </w:p>
              </w:tc>
              <w:tc>
                <w:tcPr>
                  <w:tcW w:w="3524" w:type="pct"/>
                  <w:gridSpan w:val="5"/>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3086496" w14:textId="77777777" w:rsidR="00DE170C" w:rsidRPr="00DE170C" w:rsidRDefault="00DE170C" w:rsidP="002E4D78">
                  <w:pPr>
                    <w:pStyle w:val="APVMATableText"/>
                  </w:pPr>
                  <w:r w:rsidRPr="00DE170C">
                    <w:t>Mandatory downwind buffer zones</w:t>
                  </w:r>
                </w:p>
              </w:tc>
            </w:tr>
            <w:tr w:rsidR="00DE170C" w:rsidRPr="00DE170C" w14:paraId="6C3BE55A" w14:textId="77777777" w:rsidTr="00DE170C">
              <w:tc>
                <w:tcPr>
                  <w:tcW w:w="718" w:type="pct"/>
                  <w:vMerge/>
                  <w:tcBorders>
                    <w:left w:val="single" w:sz="4" w:space="0" w:color="auto"/>
                    <w:bottom w:val="single" w:sz="8" w:space="0" w:color="auto"/>
                    <w:right w:val="single" w:sz="4" w:space="0" w:color="auto"/>
                  </w:tcBorders>
                </w:tcPr>
                <w:p w14:paraId="4683A306" w14:textId="77777777" w:rsidR="00DE170C" w:rsidRPr="00DE170C" w:rsidRDefault="00DE170C" w:rsidP="002E4D78">
                  <w:pPr>
                    <w:pStyle w:val="APVMATableText"/>
                    <w:rPr>
                      <w:rFonts w:eastAsiaTheme="minorHAnsi"/>
                      <w:szCs w:val="17"/>
                    </w:rPr>
                  </w:pPr>
                </w:p>
              </w:tc>
              <w:tc>
                <w:tcPr>
                  <w:tcW w:w="758" w:type="pct"/>
                  <w:vMerge/>
                  <w:tcBorders>
                    <w:top w:val="nil"/>
                    <w:left w:val="single" w:sz="4" w:space="0" w:color="auto"/>
                    <w:bottom w:val="single" w:sz="8" w:space="0" w:color="auto"/>
                    <w:right w:val="single" w:sz="8" w:space="0" w:color="auto"/>
                  </w:tcBorders>
                  <w:vAlign w:val="center"/>
                  <w:hideMark/>
                </w:tcPr>
                <w:p w14:paraId="4311EE1A" w14:textId="77777777" w:rsidR="00DE170C" w:rsidRPr="00DE170C" w:rsidRDefault="00DE170C" w:rsidP="002E4D78">
                  <w:pPr>
                    <w:pStyle w:val="APVMATableText"/>
                    <w:rPr>
                      <w:rFonts w:eastAsiaTheme="minorHAnsi"/>
                      <w:szCs w:val="17"/>
                    </w:rPr>
                  </w:pP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14:paraId="21E83BE1" w14:textId="77777777" w:rsidR="00DE170C" w:rsidRPr="00DE170C" w:rsidRDefault="00DE170C" w:rsidP="002E4D78">
                  <w:pPr>
                    <w:pStyle w:val="APVMATableText"/>
                  </w:pPr>
                  <w:r w:rsidRPr="00DE170C">
                    <w:t>Bystander areas</w:t>
                  </w: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4DF7CF" w14:textId="77777777" w:rsidR="00DE170C" w:rsidRPr="00DE170C" w:rsidRDefault="00DE170C" w:rsidP="002E4D78">
                  <w:pPr>
                    <w:pStyle w:val="APVMATableText"/>
                  </w:pPr>
                  <w:r w:rsidRPr="00DE170C">
                    <w:t>Natural aquatic areas</w:t>
                  </w:r>
                </w:p>
              </w:tc>
              <w:tc>
                <w:tcPr>
                  <w:tcW w:w="6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28AE91" w14:textId="77777777" w:rsidR="00DE170C" w:rsidRPr="00DE170C" w:rsidRDefault="00DE170C" w:rsidP="002E4D78">
                  <w:pPr>
                    <w:pStyle w:val="APVMATableText"/>
                  </w:pPr>
                  <w:r w:rsidRPr="00DE170C">
                    <w:t>Pollinator areas</w:t>
                  </w:r>
                </w:p>
              </w:tc>
              <w:tc>
                <w:tcPr>
                  <w:tcW w:w="6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BDDFDE" w14:textId="77777777" w:rsidR="00DE170C" w:rsidRPr="00DE170C" w:rsidRDefault="00DE170C" w:rsidP="002E4D78">
                  <w:pPr>
                    <w:pStyle w:val="APVMATableText"/>
                  </w:pPr>
                  <w:r w:rsidRPr="00DE170C">
                    <w:t>Vegetation areas</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4236C5" w14:textId="77777777" w:rsidR="00DE170C" w:rsidRPr="00DE170C" w:rsidRDefault="00DE170C" w:rsidP="002E4D78">
                  <w:pPr>
                    <w:pStyle w:val="APVMATableText"/>
                  </w:pPr>
                  <w:r w:rsidRPr="00DE170C">
                    <w:t>Livestock areas</w:t>
                  </w:r>
                </w:p>
              </w:tc>
            </w:tr>
            <w:tr w:rsidR="00DE170C" w:rsidRPr="00DE170C" w14:paraId="76F8C3EC" w14:textId="77777777" w:rsidTr="00DE170C">
              <w:tc>
                <w:tcPr>
                  <w:tcW w:w="718" w:type="pct"/>
                  <w:vMerge w:val="restart"/>
                  <w:tcBorders>
                    <w:top w:val="single" w:sz="8" w:space="0" w:color="auto"/>
                    <w:left w:val="single" w:sz="4" w:space="0" w:color="auto"/>
                    <w:right w:val="single" w:sz="4" w:space="0" w:color="auto"/>
                  </w:tcBorders>
                </w:tcPr>
                <w:p w14:paraId="50DA99F7" w14:textId="77777777" w:rsidR="00DE170C" w:rsidRPr="00DE170C" w:rsidRDefault="00DE170C" w:rsidP="002E4D78">
                  <w:pPr>
                    <w:pStyle w:val="APVMATableText"/>
                  </w:pPr>
                  <w:r w:rsidRPr="00DE170C">
                    <w:t>Up to maximum label rate</w:t>
                  </w:r>
                </w:p>
                <w:p w14:paraId="6D5184B3" w14:textId="77777777" w:rsidR="00DE170C" w:rsidRPr="00DE170C" w:rsidRDefault="00DE170C" w:rsidP="002E4D78">
                  <w:pPr>
                    <w:pStyle w:val="APVMATableText"/>
                  </w:pPr>
                </w:p>
              </w:tc>
              <w:tc>
                <w:tcPr>
                  <w:tcW w:w="75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B5CBD69" w14:textId="77777777" w:rsidR="00DE170C" w:rsidRPr="00DE170C" w:rsidRDefault="00DE170C" w:rsidP="002E4D78">
                  <w:pPr>
                    <w:pStyle w:val="APVMATableText"/>
                  </w:pPr>
                  <w:r w:rsidRPr="00DE170C">
                    <w:t>0.5 m or lower</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14:paraId="5FDB650C" w14:textId="77777777" w:rsidR="00DE170C" w:rsidRPr="00DE170C" w:rsidRDefault="00DE170C" w:rsidP="002E4D78">
                  <w:pPr>
                    <w:pStyle w:val="APVMATableText"/>
                  </w:pPr>
                  <w:r w:rsidRPr="00DE170C">
                    <w:t>5 metres</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7EC05998" w14:textId="77777777" w:rsidR="00DE170C" w:rsidRPr="00DE170C" w:rsidRDefault="00DE170C" w:rsidP="002E4D78">
                  <w:pPr>
                    <w:pStyle w:val="APVMATableText"/>
                  </w:pPr>
                  <w:r w:rsidRPr="00DE170C">
                    <w:t>25 metres</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343A0D10" w14:textId="77777777" w:rsidR="00DE170C" w:rsidRPr="00DE170C" w:rsidRDefault="00DE170C" w:rsidP="002E4D78">
                  <w:pPr>
                    <w:pStyle w:val="APVMATableText"/>
                  </w:pPr>
                  <w:r w:rsidRPr="00DE170C">
                    <w:t>Not required</w:t>
                  </w: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14:paraId="3213E792" w14:textId="77777777" w:rsidR="00DE170C" w:rsidRPr="00DE170C" w:rsidRDefault="00DE170C" w:rsidP="002E4D78">
                  <w:pPr>
                    <w:pStyle w:val="APVMATableText"/>
                  </w:pPr>
                  <w:r w:rsidRPr="00DE170C">
                    <w:t>40 metres</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40A78DD4" w14:textId="77777777" w:rsidR="00DE170C" w:rsidRPr="00DE170C" w:rsidRDefault="00DE170C" w:rsidP="002E4D78">
                  <w:pPr>
                    <w:pStyle w:val="APVMATableText"/>
                  </w:pPr>
                  <w:r w:rsidRPr="00DE170C">
                    <w:t>Not required</w:t>
                  </w:r>
                </w:p>
              </w:tc>
            </w:tr>
            <w:tr w:rsidR="00DE170C" w:rsidRPr="00DE170C" w14:paraId="764786EE" w14:textId="77777777" w:rsidTr="00DE170C">
              <w:tc>
                <w:tcPr>
                  <w:tcW w:w="718" w:type="pct"/>
                  <w:vMerge/>
                  <w:tcBorders>
                    <w:left w:val="single" w:sz="4" w:space="0" w:color="auto"/>
                    <w:bottom w:val="single" w:sz="8" w:space="0" w:color="auto"/>
                    <w:right w:val="single" w:sz="4" w:space="0" w:color="auto"/>
                  </w:tcBorders>
                </w:tcPr>
                <w:p w14:paraId="408120A2" w14:textId="77777777" w:rsidR="00DE170C" w:rsidRPr="00DE170C" w:rsidRDefault="00DE170C" w:rsidP="002E4D78">
                  <w:pPr>
                    <w:pStyle w:val="APVMATableText"/>
                  </w:pPr>
                </w:p>
              </w:tc>
              <w:tc>
                <w:tcPr>
                  <w:tcW w:w="75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4CDAFE8" w14:textId="77777777" w:rsidR="00DE170C" w:rsidRPr="00DE170C" w:rsidRDefault="00DE170C" w:rsidP="002E4D78">
                  <w:pPr>
                    <w:pStyle w:val="APVMATableText"/>
                  </w:pPr>
                  <w:r w:rsidRPr="00DE170C">
                    <w:t>1.0 m or lower</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14:paraId="51E234F1" w14:textId="77777777" w:rsidR="00DE170C" w:rsidRPr="00DE170C" w:rsidRDefault="00DE170C" w:rsidP="002E4D78">
                  <w:pPr>
                    <w:pStyle w:val="APVMATableText"/>
                  </w:pPr>
                  <w:r w:rsidRPr="00DE170C">
                    <w:t>30 metres</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6E15DD56" w14:textId="77777777" w:rsidR="00DE170C" w:rsidRPr="00DE170C" w:rsidRDefault="00DE170C" w:rsidP="002E4D78">
                  <w:pPr>
                    <w:pStyle w:val="APVMATableText"/>
                  </w:pPr>
                  <w:r w:rsidRPr="00DE170C">
                    <w:t>65 metres</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57D919A3" w14:textId="77777777" w:rsidR="00DE170C" w:rsidRPr="00DE170C" w:rsidRDefault="00DE170C" w:rsidP="002E4D78">
                  <w:pPr>
                    <w:pStyle w:val="APVMATableText"/>
                  </w:pPr>
                  <w:r w:rsidRPr="00DE170C">
                    <w:t>Not required</w:t>
                  </w: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14:paraId="3EB9638C" w14:textId="77777777" w:rsidR="00DE170C" w:rsidRPr="00DE170C" w:rsidRDefault="00DE170C" w:rsidP="002E4D78">
                  <w:pPr>
                    <w:pStyle w:val="APVMATableText"/>
                  </w:pPr>
                  <w:r w:rsidRPr="00DE170C">
                    <w:t>110 metres</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692CC9D3" w14:textId="77777777" w:rsidR="00DE170C" w:rsidRPr="00DE170C" w:rsidRDefault="00DE170C" w:rsidP="002E4D78">
                  <w:pPr>
                    <w:pStyle w:val="APVMATableText"/>
                  </w:pPr>
                  <w:r w:rsidRPr="00DE170C">
                    <w:t>Not required</w:t>
                  </w:r>
                </w:p>
              </w:tc>
            </w:tr>
            <w:tr w:rsidR="00DE170C" w:rsidRPr="00DE170C" w14:paraId="74FCD549" w14:textId="77777777" w:rsidTr="00DE170C">
              <w:trPr>
                <w:trHeight w:val="505"/>
              </w:trPr>
              <w:tc>
                <w:tcPr>
                  <w:tcW w:w="718" w:type="pct"/>
                  <w:vMerge w:val="restart"/>
                  <w:tcBorders>
                    <w:top w:val="single" w:sz="8" w:space="0" w:color="auto"/>
                    <w:left w:val="single" w:sz="4" w:space="0" w:color="auto"/>
                    <w:right w:val="single" w:sz="4" w:space="0" w:color="auto"/>
                  </w:tcBorders>
                </w:tcPr>
                <w:p w14:paraId="31104C27" w14:textId="77777777" w:rsidR="00DE170C" w:rsidRPr="00DE170C" w:rsidRDefault="00DE170C" w:rsidP="002E4D78">
                  <w:pPr>
                    <w:pStyle w:val="APVMATableText"/>
                  </w:pPr>
                  <w:r w:rsidRPr="00DE170C">
                    <w:t>2100 mL/ha or lower</w:t>
                  </w:r>
                </w:p>
              </w:tc>
              <w:tc>
                <w:tcPr>
                  <w:tcW w:w="75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9463907" w14:textId="77777777" w:rsidR="00DE170C" w:rsidRPr="00DE170C" w:rsidRDefault="00DE170C" w:rsidP="002E4D78">
                  <w:pPr>
                    <w:pStyle w:val="APVMATableText"/>
                  </w:pPr>
                  <w:r w:rsidRPr="00DE170C">
                    <w:t>0.5 m or lower</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14:paraId="7606989B" w14:textId="77777777" w:rsidR="00DE170C" w:rsidRPr="00DE170C" w:rsidRDefault="00DE170C" w:rsidP="002E4D78">
                  <w:pPr>
                    <w:pStyle w:val="APVMATableText"/>
                  </w:pPr>
                  <w:r w:rsidRPr="00DE170C">
                    <w:t>Not required</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7619750E" w14:textId="77777777" w:rsidR="00DE170C" w:rsidRPr="00DE170C" w:rsidRDefault="00DE170C" w:rsidP="002E4D78">
                  <w:pPr>
                    <w:pStyle w:val="APVMATableText"/>
                  </w:pPr>
                  <w:r w:rsidRPr="00DE170C">
                    <w:t>10 metres</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49AC98F0" w14:textId="77777777" w:rsidR="00DE170C" w:rsidRPr="00DE170C" w:rsidRDefault="00DE170C" w:rsidP="002E4D78">
                  <w:pPr>
                    <w:pStyle w:val="APVMATableText"/>
                  </w:pPr>
                  <w:r w:rsidRPr="00DE170C">
                    <w:t>Not required</w:t>
                  </w: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14:paraId="7D741CF4" w14:textId="77777777" w:rsidR="00DE170C" w:rsidRPr="00DE170C" w:rsidRDefault="00DE170C" w:rsidP="002E4D78">
                  <w:pPr>
                    <w:pStyle w:val="APVMATableText"/>
                  </w:pPr>
                  <w:r w:rsidRPr="00DE170C">
                    <w:t>30 metres</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6A87C0D0" w14:textId="77777777" w:rsidR="00DE170C" w:rsidRPr="00DE170C" w:rsidRDefault="00DE170C" w:rsidP="002E4D78">
                  <w:pPr>
                    <w:pStyle w:val="APVMATableText"/>
                  </w:pPr>
                  <w:r w:rsidRPr="00DE170C">
                    <w:t>Not required</w:t>
                  </w:r>
                </w:p>
              </w:tc>
            </w:tr>
            <w:tr w:rsidR="00DE170C" w:rsidRPr="00DE170C" w14:paraId="11BA4E64" w14:textId="77777777" w:rsidTr="00DE170C">
              <w:tc>
                <w:tcPr>
                  <w:tcW w:w="718" w:type="pct"/>
                  <w:vMerge/>
                  <w:tcBorders>
                    <w:left w:val="single" w:sz="4" w:space="0" w:color="auto"/>
                    <w:bottom w:val="single" w:sz="8" w:space="0" w:color="auto"/>
                    <w:right w:val="single" w:sz="4" w:space="0" w:color="auto"/>
                  </w:tcBorders>
                </w:tcPr>
                <w:p w14:paraId="228F36AD" w14:textId="77777777" w:rsidR="00DE170C" w:rsidRPr="00DE170C" w:rsidRDefault="00DE170C" w:rsidP="002E4D78">
                  <w:pPr>
                    <w:pStyle w:val="APVMATableText"/>
                  </w:pPr>
                </w:p>
              </w:tc>
              <w:tc>
                <w:tcPr>
                  <w:tcW w:w="75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B3146B7" w14:textId="77777777" w:rsidR="00DE170C" w:rsidRPr="00DE170C" w:rsidRDefault="00DE170C" w:rsidP="002E4D78">
                  <w:pPr>
                    <w:pStyle w:val="APVMATableText"/>
                  </w:pPr>
                  <w:r w:rsidRPr="00DE170C">
                    <w:t>1.0 m or lower</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14:paraId="5C72B957" w14:textId="77777777" w:rsidR="00DE170C" w:rsidRPr="00DE170C" w:rsidRDefault="00DE170C" w:rsidP="002E4D78">
                  <w:pPr>
                    <w:pStyle w:val="APVMATableText"/>
                  </w:pPr>
                  <w:r w:rsidRPr="00DE170C">
                    <w:t>20 metres</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383D16F2" w14:textId="77777777" w:rsidR="00DE170C" w:rsidRPr="00DE170C" w:rsidRDefault="00DE170C" w:rsidP="002E4D78">
                  <w:pPr>
                    <w:pStyle w:val="APVMATableText"/>
                  </w:pPr>
                  <w:r w:rsidRPr="00DE170C">
                    <w:t>40 metres</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1AA621AD" w14:textId="77777777" w:rsidR="00DE170C" w:rsidRPr="00DE170C" w:rsidRDefault="00DE170C" w:rsidP="002E4D78">
                  <w:pPr>
                    <w:pStyle w:val="APVMATableText"/>
                  </w:pPr>
                  <w:r w:rsidRPr="00DE170C">
                    <w:t>Not required</w:t>
                  </w: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14:paraId="7266A291" w14:textId="77777777" w:rsidR="00DE170C" w:rsidRPr="00DE170C" w:rsidRDefault="00DE170C" w:rsidP="002E4D78">
                  <w:pPr>
                    <w:pStyle w:val="APVMATableText"/>
                  </w:pPr>
                  <w:r w:rsidRPr="00DE170C">
                    <w:t>65 metres</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667781C5" w14:textId="77777777" w:rsidR="00DE170C" w:rsidRPr="00DE170C" w:rsidRDefault="00DE170C" w:rsidP="002E4D78">
                  <w:pPr>
                    <w:pStyle w:val="APVMATableText"/>
                  </w:pPr>
                  <w:r w:rsidRPr="00DE170C">
                    <w:t>Not required</w:t>
                  </w:r>
                </w:p>
              </w:tc>
            </w:tr>
          </w:tbl>
          <w:p w14:paraId="335E146A" w14:textId="77777777" w:rsidR="00DE170C" w:rsidRPr="002E4D78" w:rsidRDefault="00DE170C" w:rsidP="002E4D78">
            <w:pPr>
              <w:pStyle w:val="APVMATableText"/>
              <w:rPr>
                <w:rFonts w:eastAsia="Calibri"/>
              </w:rPr>
            </w:pPr>
            <w:r w:rsidRPr="002E4D78">
              <w:rPr>
                <w:rFonts w:eastAsia="Calibri"/>
                <w:b/>
              </w:rPr>
              <w:t xml:space="preserve">DO NOT </w:t>
            </w:r>
            <w:r w:rsidRPr="002E4D78">
              <w:rPr>
                <w:rFonts w:eastAsia="Calibri"/>
              </w:rPr>
              <w:t>apply by a vertical sprayer.</w:t>
            </w:r>
          </w:p>
          <w:p w14:paraId="3B42084A" w14:textId="77777777" w:rsidR="00DE170C" w:rsidRPr="002E4D78" w:rsidRDefault="00DE170C" w:rsidP="002E4D78">
            <w:pPr>
              <w:pStyle w:val="APVMATableText"/>
              <w:rPr>
                <w:rFonts w:eastAsia="Calibri"/>
              </w:rPr>
            </w:pPr>
            <w:r w:rsidRPr="002E4D78">
              <w:rPr>
                <w:rFonts w:eastAsia="Calibri"/>
                <w:b/>
              </w:rPr>
              <w:t>DO NOT</w:t>
            </w:r>
            <w:r w:rsidRPr="002E4D78">
              <w:rPr>
                <w:rFonts w:eastAsia="Calibri"/>
              </w:rPr>
              <w:t xml:space="preserve"> apply by aircraft unless the following requirements are met:</w:t>
            </w:r>
          </w:p>
          <w:p w14:paraId="6F44DA4B" w14:textId="77777777" w:rsidR="00DE170C" w:rsidRPr="00DE170C" w:rsidRDefault="00DE170C" w:rsidP="00DE170C">
            <w:pPr>
              <w:pStyle w:val="APVMATableBullet"/>
              <w:numPr>
                <w:ilvl w:val="0"/>
                <w:numId w:val="1"/>
              </w:numPr>
              <w:spacing w:before="60"/>
              <w:rPr>
                <w:rFonts w:eastAsia="Calibri" w:hAnsi="Calibri" w:cs="Calibri"/>
                <w:color w:val="auto"/>
                <w:lang w:val="en-US"/>
              </w:rPr>
            </w:pPr>
            <w:r w:rsidRPr="00DE170C">
              <w:rPr>
                <w:rFonts w:eastAsia="Calibri"/>
                <w:color w:val="auto"/>
                <w:lang w:val="en-US"/>
              </w:rPr>
              <w:t xml:space="preserve">spray droplets not smaller than a </w:t>
            </w:r>
            <w:r w:rsidRPr="00DE170C">
              <w:rPr>
                <w:rFonts w:eastAsia="Calibri"/>
                <w:b/>
                <w:color w:val="auto"/>
                <w:lang w:val="en-US"/>
              </w:rPr>
              <w:t>COARSE</w:t>
            </w:r>
            <w:r w:rsidRPr="00DE170C">
              <w:rPr>
                <w:rFonts w:eastAsia="Calibri"/>
                <w:color w:val="auto"/>
                <w:lang w:val="en-US"/>
              </w:rPr>
              <w:t xml:space="preserve"> spray droplet size</w:t>
            </w:r>
            <w:r w:rsidRPr="00DE170C">
              <w:rPr>
                <w:rFonts w:eastAsia="Calibri"/>
                <w:color w:val="auto"/>
                <w:spacing w:val="-3"/>
                <w:lang w:val="en-US"/>
              </w:rPr>
              <w:t xml:space="preserve"> </w:t>
            </w:r>
            <w:r w:rsidRPr="00DE170C">
              <w:rPr>
                <w:rFonts w:eastAsia="Calibri"/>
                <w:color w:val="auto"/>
                <w:lang w:val="en-US"/>
              </w:rPr>
              <w:t>category</w:t>
            </w:r>
          </w:p>
          <w:p w14:paraId="3F77602A" w14:textId="6E562EB4" w:rsidR="00DE170C" w:rsidRPr="00DE170C" w:rsidRDefault="00DE170C" w:rsidP="008353B6">
            <w:pPr>
              <w:pStyle w:val="APVMATableBullet"/>
              <w:rPr>
                <w:rFonts w:eastAsia="Calibri"/>
                <w:color w:val="auto"/>
                <w:lang w:val="en-US"/>
              </w:rPr>
            </w:pPr>
            <w:r w:rsidRPr="00DE170C">
              <w:rPr>
                <w:rFonts w:eastAsia="Calibri"/>
                <w:color w:val="auto"/>
                <w:lang w:val="en-US"/>
              </w:rPr>
              <w:t>for</w:t>
            </w:r>
            <w:r w:rsidRPr="00DE170C">
              <w:rPr>
                <w:rFonts w:eastAsia="Calibri"/>
                <w:color w:val="auto"/>
                <w:spacing w:val="-4"/>
                <w:lang w:val="en-US"/>
              </w:rPr>
              <w:t xml:space="preserve"> </w:t>
            </w:r>
            <w:r w:rsidR="008353B6" w:rsidRPr="008353B6">
              <w:rPr>
                <w:rFonts w:eastAsia="Calibri"/>
                <w:color w:val="auto"/>
                <w:lang w:val="en-US"/>
              </w:rPr>
              <w:t>maximum release heights above the target canopy of 3m or 25% of wingspan or 25% of rotor diameter whichever is the greatest</w:t>
            </w:r>
            <w:r w:rsidRPr="00DE170C">
              <w:rPr>
                <w:rFonts w:eastAsia="Calibri"/>
                <w:color w:val="auto"/>
                <w:lang w:val="en-US"/>
              </w:rPr>
              <w:t>, minimum distances between the application site and downwind sensitive areas (see ‘Buffer zones’ section of the following table titled ‘Buffer zones for aircraft’) are observed.</w:t>
            </w:r>
          </w:p>
          <w:tbl>
            <w:tblPr>
              <w:tblW w:w="9008" w:type="dxa"/>
              <w:tblInd w:w="115" w:type="dxa"/>
              <w:tblCellMar>
                <w:left w:w="0" w:type="dxa"/>
                <w:right w:w="0" w:type="dxa"/>
              </w:tblCellMar>
              <w:tblLook w:val="01E0" w:firstRow="1" w:lastRow="1" w:firstColumn="1" w:lastColumn="1" w:noHBand="0" w:noVBand="0"/>
            </w:tblPr>
            <w:tblGrid>
              <w:gridCol w:w="1560"/>
              <w:gridCol w:w="1449"/>
              <w:gridCol w:w="1605"/>
              <w:gridCol w:w="1559"/>
              <w:gridCol w:w="1417"/>
              <w:gridCol w:w="1418"/>
            </w:tblGrid>
            <w:tr w:rsidR="00DE170C" w:rsidRPr="00DE170C" w14:paraId="5D967357" w14:textId="77777777" w:rsidTr="009B60F8">
              <w:trPr>
                <w:trHeight w:hRule="exact" w:val="310"/>
              </w:trPr>
              <w:tc>
                <w:tcPr>
                  <w:tcW w:w="9008" w:type="dxa"/>
                  <w:gridSpan w:val="6"/>
                  <w:tcBorders>
                    <w:bottom w:val="single" w:sz="4" w:space="0" w:color="000000"/>
                  </w:tcBorders>
                  <w:vAlign w:val="center"/>
                </w:tcPr>
                <w:p w14:paraId="61B0FAE8" w14:textId="77777777" w:rsidR="00DE170C" w:rsidRPr="00DE170C" w:rsidRDefault="00DE170C" w:rsidP="009B60F8">
                  <w:pPr>
                    <w:pStyle w:val="APVMATableText"/>
                    <w:spacing w:before="60" w:after="60"/>
                    <w:rPr>
                      <w:rFonts w:eastAsia="Arial"/>
                      <w:b/>
                      <w:szCs w:val="17"/>
                      <w:lang w:val="en-US"/>
                    </w:rPr>
                  </w:pPr>
                  <w:r w:rsidRPr="00DE170C">
                    <w:rPr>
                      <w:rFonts w:eastAsia="Calibri"/>
                      <w:b/>
                      <w:lang w:val="en-US"/>
                    </w:rPr>
                    <w:t>Buffer zones for</w:t>
                  </w:r>
                  <w:r w:rsidRPr="00DE170C">
                    <w:rPr>
                      <w:rFonts w:eastAsia="Calibri"/>
                      <w:b/>
                      <w:spacing w:val="-11"/>
                      <w:lang w:val="en-US"/>
                    </w:rPr>
                    <w:t xml:space="preserve"> </w:t>
                  </w:r>
                  <w:r w:rsidRPr="00DE170C">
                    <w:rPr>
                      <w:rFonts w:eastAsia="Calibri"/>
                      <w:b/>
                      <w:lang w:val="en-US"/>
                    </w:rPr>
                    <w:t>aircraft</w:t>
                  </w:r>
                </w:p>
              </w:tc>
            </w:tr>
            <w:tr w:rsidR="00DE170C" w:rsidRPr="002E4D78" w14:paraId="1D141CED" w14:textId="77777777" w:rsidTr="009B60F8">
              <w:trPr>
                <w:trHeight w:hRule="exact" w:val="459"/>
              </w:trPr>
              <w:tc>
                <w:tcPr>
                  <w:tcW w:w="1560" w:type="dxa"/>
                  <w:vMerge w:val="restart"/>
                  <w:tcBorders>
                    <w:top w:val="single" w:sz="4" w:space="0" w:color="000000"/>
                    <w:left w:val="single" w:sz="4" w:space="0" w:color="000000"/>
                    <w:right w:val="single" w:sz="4" w:space="0" w:color="000000"/>
                  </w:tcBorders>
                  <w:vAlign w:val="center"/>
                </w:tcPr>
                <w:p w14:paraId="6FD3C15F" w14:textId="77777777" w:rsidR="00DE170C" w:rsidRPr="002E4D78" w:rsidRDefault="00DE170C" w:rsidP="002E4D78">
                  <w:pPr>
                    <w:pStyle w:val="APVMATableText"/>
                    <w:rPr>
                      <w:rFonts w:eastAsia="Arial"/>
                    </w:rPr>
                  </w:pPr>
                  <w:r w:rsidRPr="002E4D78">
                    <w:rPr>
                      <w:rFonts w:eastAsia="Calibri"/>
                    </w:rPr>
                    <w:t>Type of aircraft</w:t>
                  </w:r>
                </w:p>
              </w:tc>
              <w:tc>
                <w:tcPr>
                  <w:tcW w:w="7448" w:type="dxa"/>
                  <w:gridSpan w:val="5"/>
                  <w:tcBorders>
                    <w:top w:val="single" w:sz="4" w:space="0" w:color="000000"/>
                    <w:left w:val="single" w:sz="4" w:space="0" w:color="000000"/>
                    <w:bottom w:val="single" w:sz="4" w:space="0" w:color="000000"/>
                    <w:right w:val="single" w:sz="4" w:space="0" w:color="000000"/>
                  </w:tcBorders>
                  <w:vAlign w:val="center"/>
                </w:tcPr>
                <w:p w14:paraId="29AE4184" w14:textId="77777777" w:rsidR="00DE170C" w:rsidRPr="002E4D78" w:rsidRDefault="00DE170C" w:rsidP="002E4D78">
                  <w:pPr>
                    <w:pStyle w:val="APVMATableText"/>
                    <w:rPr>
                      <w:rFonts w:eastAsia="Arial"/>
                    </w:rPr>
                  </w:pPr>
                  <w:r w:rsidRPr="002E4D78">
                    <w:rPr>
                      <w:rFonts w:eastAsia="Calibri"/>
                    </w:rPr>
                    <w:t>Mandatory downwind buffer zones</w:t>
                  </w:r>
                </w:p>
              </w:tc>
            </w:tr>
            <w:tr w:rsidR="00DE170C" w:rsidRPr="002E4D78" w14:paraId="5CCCA7D0" w14:textId="77777777" w:rsidTr="009B60F8">
              <w:trPr>
                <w:trHeight w:hRule="exact" w:val="598"/>
              </w:trPr>
              <w:tc>
                <w:tcPr>
                  <w:tcW w:w="1560" w:type="dxa"/>
                  <w:vMerge/>
                  <w:tcBorders>
                    <w:left w:val="single" w:sz="4" w:space="0" w:color="000000"/>
                    <w:bottom w:val="single" w:sz="4" w:space="0" w:color="000000"/>
                    <w:right w:val="single" w:sz="4" w:space="0" w:color="000000"/>
                  </w:tcBorders>
                  <w:vAlign w:val="center"/>
                </w:tcPr>
                <w:p w14:paraId="27A67DE0" w14:textId="77777777" w:rsidR="00DE170C" w:rsidRPr="002E4D78" w:rsidRDefault="00DE170C" w:rsidP="002E4D78">
                  <w:pPr>
                    <w:pStyle w:val="APVMATableText"/>
                    <w:rPr>
                      <w:rFonts w:eastAsia="Calibri"/>
                    </w:rPr>
                  </w:pPr>
                </w:p>
              </w:tc>
              <w:tc>
                <w:tcPr>
                  <w:tcW w:w="1449" w:type="dxa"/>
                  <w:tcBorders>
                    <w:top w:val="single" w:sz="4" w:space="0" w:color="000000"/>
                    <w:left w:val="single" w:sz="4" w:space="0" w:color="000000"/>
                    <w:bottom w:val="single" w:sz="4" w:space="0" w:color="000000"/>
                    <w:right w:val="single" w:sz="4" w:space="0" w:color="000000"/>
                  </w:tcBorders>
                  <w:vAlign w:val="center"/>
                </w:tcPr>
                <w:p w14:paraId="3937C2AE" w14:textId="77777777" w:rsidR="00DE170C" w:rsidRPr="002E4D78" w:rsidRDefault="00DE170C" w:rsidP="002E4D78">
                  <w:pPr>
                    <w:pStyle w:val="APVMATableText"/>
                    <w:rPr>
                      <w:rFonts w:eastAsia="Arial"/>
                    </w:rPr>
                  </w:pPr>
                  <w:r w:rsidRPr="002E4D78">
                    <w:rPr>
                      <w:rFonts w:eastAsia="Calibri"/>
                    </w:rPr>
                    <w:t>Bystander areas</w:t>
                  </w:r>
                </w:p>
              </w:tc>
              <w:tc>
                <w:tcPr>
                  <w:tcW w:w="1605" w:type="dxa"/>
                  <w:tcBorders>
                    <w:top w:val="single" w:sz="4" w:space="0" w:color="000000"/>
                    <w:left w:val="single" w:sz="4" w:space="0" w:color="000000"/>
                    <w:bottom w:val="single" w:sz="4" w:space="0" w:color="000000"/>
                    <w:right w:val="single" w:sz="4" w:space="0" w:color="000000"/>
                  </w:tcBorders>
                  <w:vAlign w:val="center"/>
                </w:tcPr>
                <w:p w14:paraId="2B3471EB" w14:textId="77777777" w:rsidR="00DE170C" w:rsidRPr="002E4D78" w:rsidRDefault="00DE170C" w:rsidP="002E4D78">
                  <w:pPr>
                    <w:pStyle w:val="APVMATableText"/>
                    <w:rPr>
                      <w:rFonts w:eastAsia="Arial"/>
                    </w:rPr>
                  </w:pPr>
                  <w:r w:rsidRPr="002E4D78">
                    <w:rPr>
                      <w:rFonts w:eastAsia="Calibri"/>
                    </w:rPr>
                    <w:t>Natural aquatic areas</w:t>
                  </w:r>
                </w:p>
              </w:tc>
              <w:tc>
                <w:tcPr>
                  <w:tcW w:w="1559" w:type="dxa"/>
                  <w:tcBorders>
                    <w:top w:val="single" w:sz="4" w:space="0" w:color="000000"/>
                    <w:left w:val="single" w:sz="4" w:space="0" w:color="000000"/>
                    <w:bottom w:val="single" w:sz="4" w:space="0" w:color="000000"/>
                    <w:right w:val="single" w:sz="4" w:space="0" w:color="000000"/>
                  </w:tcBorders>
                  <w:vAlign w:val="center"/>
                </w:tcPr>
                <w:p w14:paraId="1602FCA5" w14:textId="77777777" w:rsidR="00DE170C" w:rsidRPr="002E4D78" w:rsidRDefault="00DE170C" w:rsidP="002E4D78">
                  <w:pPr>
                    <w:pStyle w:val="APVMATableText"/>
                    <w:rPr>
                      <w:rFonts w:eastAsia="Arial"/>
                    </w:rPr>
                  </w:pPr>
                  <w:r w:rsidRPr="002E4D78">
                    <w:rPr>
                      <w:rFonts w:eastAsia="Calibri"/>
                    </w:rPr>
                    <w:t>Pollinator areas</w:t>
                  </w:r>
                </w:p>
              </w:tc>
              <w:tc>
                <w:tcPr>
                  <w:tcW w:w="1417" w:type="dxa"/>
                  <w:tcBorders>
                    <w:top w:val="single" w:sz="4" w:space="0" w:color="000000"/>
                    <w:left w:val="single" w:sz="4" w:space="0" w:color="000000"/>
                    <w:bottom w:val="single" w:sz="4" w:space="0" w:color="000000"/>
                    <w:right w:val="single" w:sz="4" w:space="0" w:color="000000"/>
                  </w:tcBorders>
                  <w:vAlign w:val="center"/>
                </w:tcPr>
                <w:p w14:paraId="0BA3093B" w14:textId="77777777" w:rsidR="00DE170C" w:rsidRPr="002E4D78" w:rsidRDefault="00DE170C" w:rsidP="002E4D78">
                  <w:pPr>
                    <w:pStyle w:val="APVMATableText"/>
                    <w:rPr>
                      <w:rFonts w:eastAsia="Arial"/>
                    </w:rPr>
                  </w:pPr>
                  <w:r w:rsidRPr="002E4D78">
                    <w:rPr>
                      <w:rFonts w:eastAsia="Calibri"/>
                    </w:rPr>
                    <w:t>Vegetation areas</w:t>
                  </w:r>
                </w:p>
              </w:tc>
              <w:tc>
                <w:tcPr>
                  <w:tcW w:w="1418" w:type="dxa"/>
                  <w:tcBorders>
                    <w:top w:val="single" w:sz="4" w:space="0" w:color="000000"/>
                    <w:left w:val="single" w:sz="4" w:space="0" w:color="000000"/>
                    <w:bottom w:val="single" w:sz="4" w:space="0" w:color="000000"/>
                    <w:right w:val="single" w:sz="4" w:space="0" w:color="000000"/>
                  </w:tcBorders>
                  <w:vAlign w:val="center"/>
                </w:tcPr>
                <w:p w14:paraId="08A5D442" w14:textId="77777777" w:rsidR="00DE170C" w:rsidRPr="002E4D78" w:rsidRDefault="00DE170C" w:rsidP="002E4D78">
                  <w:pPr>
                    <w:pStyle w:val="APVMATableText"/>
                    <w:rPr>
                      <w:rFonts w:eastAsia="Arial"/>
                    </w:rPr>
                  </w:pPr>
                  <w:r w:rsidRPr="002E4D78">
                    <w:rPr>
                      <w:rFonts w:eastAsia="Calibri"/>
                    </w:rPr>
                    <w:t>Livestock areas</w:t>
                  </w:r>
                </w:p>
              </w:tc>
            </w:tr>
            <w:tr w:rsidR="00DE170C" w:rsidRPr="002E4D78" w14:paraId="49CC2E3C" w14:textId="77777777" w:rsidTr="009B60F8">
              <w:trPr>
                <w:trHeight w:hRule="exact" w:val="458"/>
              </w:trPr>
              <w:tc>
                <w:tcPr>
                  <w:tcW w:w="1560" w:type="dxa"/>
                  <w:tcBorders>
                    <w:top w:val="single" w:sz="4" w:space="0" w:color="000000"/>
                    <w:left w:val="single" w:sz="4" w:space="0" w:color="000000"/>
                    <w:bottom w:val="single" w:sz="4" w:space="0" w:color="000000"/>
                    <w:right w:val="single" w:sz="4" w:space="0" w:color="000000"/>
                  </w:tcBorders>
                  <w:vAlign w:val="center"/>
                </w:tcPr>
                <w:p w14:paraId="324ECD7A" w14:textId="77777777" w:rsidR="00DE170C" w:rsidRPr="002E4D78" w:rsidRDefault="00DE170C" w:rsidP="002E4D78">
                  <w:pPr>
                    <w:pStyle w:val="APVMATableText"/>
                    <w:rPr>
                      <w:rFonts w:eastAsia="Arial"/>
                    </w:rPr>
                  </w:pPr>
                  <w:r w:rsidRPr="002E4D78">
                    <w:rPr>
                      <w:rFonts w:eastAsia="Calibri"/>
                    </w:rPr>
                    <w:t>Fixed-wing</w:t>
                  </w:r>
                </w:p>
              </w:tc>
              <w:tc>
                <w:tcPr>
                  <w:tcW w:w="1449" w:type="dxa"/>
                  <w:tcBorders>
                    <w:top w:val="single" w:sz="4" w:space="0" w:color="000000"/>
                    <w:left w:val="single" w:sz="4" w:space="0" w:color="000000"/>
                    <w:bottom w:val="single" w:sz="4" w:space="0" w:color="000000"/>
                    <w:right w:val="single" w:sz="4" w:space="0" w:color="000000"/>
                  </w:tcBorders>
                  <w:vAlign w:val="center"/>
                </w:tcPr>
                <w:p w14:paraId="142D7EEA" w14:textId="77777777" w:rsidR="00DE170C" w:rsidRPr="002E4D78" w:rsidRDefault="00DE170C" w:rsidP="002E4D78">
                  <w:pPr>
                    <w:pStyle w:val="APVMATableText"/>
                    <w:rPr>
                      <w:rFonts w:eastAsia="Arial"/>
                    </w:rPr>
                  </w:pPr>
                  <w:r w:rsidRPr="002E4D78">
                    <w:rPr>
                      <w:rFonts w:eastAsia="Calibri"/>
                    </w:rPr>
                    <w:t>130 metres</w:t>
                  </w:r>
                </w:p>
              </w:tc>
              <w:tc>
                <w:tcPr>
                  <w:tcW w:w="1605" w:type="dxa"/>
                  <w:tcBorders>
                    <w:top w:val="single" w:sz="4" w:space="0" w:color="000000"/>
                    <w:left w:val="single" w:sz="4" w:space="0" w:color="000000"/>
                    <w:bottom w:val="single" w:sz="4" w:space="0" w:color="000000"/>
                    <w:right w:val="single" w:sz="4" w:space="0" w:color="000000"/>
                  </w:tcBorders>
                  <w:vAlign w:val="center"/>
                </w:tcPr>
                <w:p w14:paraId="306A9653" w14:textId="77777777" w:rsidR="00DE170C" w:rsidRPr="002E4D78" w:rsidRDefault="00DE170C" w:rsidP="002E4D78">
                  <w:pPr>
                    <w:pStyle w:val="APVMATableText"/>
                    <w:rPr>
                      <w:rFonts w:eastAsia="Arial"/>
                    </w:rPr>
                  </w:pPr>
                  <w:r w:rsidRPr="002E4D78">
                    <w:rPr>
                      <w:rFonts w:eastAsia="Calibri"/>
                    </w:rPr>
                    <w:t>220 metres</w:t>
                  </w:r>
                </w:p>
              </w:tc>
              <w:tc>
                <w:tcPr>
                  <w:tcW w:w="1559" w:type="dxa"/>
                  <w:tcBorders>
                    <w:top w:val="single" w:sz="4" w:space="0" w:color="000000"/>
                    <w:left w:val="single" w:sz="4" w:space="0" w:color="000000"/>
                    <w:bottom w:val="single" w:sz="4" w:space="0" w:color="000000"/>
                    <w:right w:val="single" w:sz="4" w:space="0" w:color="000000"/>
                  </w:tcBorders>
                  <w:vAlign w:val="center"/>
                </w:tcPr>
                <w:p w14:paraId="0415B44A" w14:textId="77777777" w:rsidR="00DE170C" w:rsidRPr="002E4D78" w:rsidRDefault="00DE170C" w:rsidP="002E4D78">
                  <w:pPr>
                    <w:pStyle w:val="APVMATableText"/>
                    <w:rPr>
                      <w:rFonts w:eastAsia="Arial"/>
                    </w:rPr>
                  </w:pPr>
                  <w:r w:rsidRPr="002E4D78">
                    <w:rPr>
                      <w:rFonts w:eastAsia="Calibri"/>
                    </w:rPr>
                    <w:t>Not required</w:t>
                  </w:r>
                </w:p>
              </w:tc>
              <w:tc>
                <w:tcPr>
                  <w:tcW w:w="1417" w:type="dxa"/>
                  <w:tcBorders>
                    <w:top w:val="single" w:sz="4" w:space="0" w:color="000000"/>
                    <w:left w:val="single" w:sz="4" w:space="0" w:color="000000"/>
                    <w:bottom w:val="single" w:sz="4" w:space="0" w:color="000000"/>
                    <w:right w:val="single" w:sz="4" w:space="0" w:color="000000"/>
                  </w:tcBorders>
                  <w:vAlign w:val="center"/>
                </w:tcPr>
                <w:p w14:paraId="4FB22EF5" w14:textId="77777777" w:rsidR="00DE170C" w:rsidRPr="002E4D78" w:rsidRDefault="00DE170C" w:rsidP="002E4D78">
                  <w:pPr>
                    <w:pStyle w:val="APVMATableText"/>
                    <w:rPr>
                      <w:rFonts w:eastAsia="Arial"/>
                    </w:rPr>
                  </w:pPr>
                  <w:r w:rsidRPr="002E4D78">
                    <w:rPr>
                      <w:rFonts w:eastAsia="Calibri"/>
                    </w:rPr>
                    <w:t>400 metres</w:t>
                  </w:r>
                </w:p>
              </w:tc>
              <w:tc>
                <w:tcPr>
                  <w:tcW w:w="1418" w:type="dxa"/>
                  <w:tcBorders>
                    <w:top w:val="single" w:sz="4" w:space="0" w:color="000000"/>
                    <w:left w:val="single" w:sz="4" w:space="0" w:color="000000"/>
                    <w:bottom w:val="single" w:sz="4" w:space="0" w:color="000000"/>
                    <w:right w:val="single" w:sz="4" w:space="0" w:color="000000"/>
                  </w:tcBorders>
                  <w:vAlign w:val="center"/>
                </w:tcPr>
                <w:p w14:paraId="01C05010" w14:textId="77777777" w:rsidR="00DE170C" w:rsidRPr="002E4D78" w:rsidRDefault="00DE170C" w:rsidP="002E4D78">
                  <w:pPr>
                    <w:pStyle w:val="APVMATableText"/>
                    <w:rPr>
                      <w:rFonts w:eastAsia="Arial"/>
                    </w:rPr>
                  </w:pPr>
                  <w:r w:rsidRPr="002E4D78">
                    <w:rPr>
                      <w:rFonts w:eastAsia="Calibri"/>
                    </w:rPr>
                    <w:t>Not required</w:t>
                  </w:r>
                </w:p>
              </w:tc>
            </w:tr>
            <w:tr w:rsidR="00DE170C" w:rsidRPr="002E4D78" w14:paraId="141A37AE" w14:textId="77777777" w:rsidTr="009B60F8">
              <w:trPr>
                <w:trHeight w:hRule="exact" w:val="461"/>
              </w:trPr>
              <w:tc>
                <w:tcPr>
                  <w:tcW w:w="1560" w:type="dxa"/>
                  <w:tcBorders>
                    <w:top w:val="single" w:sz="4" w:space="0" w:color="000000"/>
                    <w:left w:val="single" w:sz="4" w:space="0" w:color="000000"/>
                    <w:bottom w:val="single" w:sz="4" w:space="0" w:color="000000"/>
                    <w:right w:val="single" w:sz="4" w:space="0" w:color="000000"/>
                  </w:tcBorders>
                  <w:vAlign w:val="center"/>
                </w:tcPr>
                <w:p w14:paraId="39168506" w14:textId="77777777" w:rsidR="00DE170C" w:rsidRPr="002E4D78" w:rsidRDefault="00DE170C" w:rsidP="002E4D78">
                  <w:pPr>
                    <w:pStyle w:val="APVMATableText"/>
                    <w:rPr>
                      <w:rFonts w:eastAsia="Arial"/>
                    </w:rPr>
                  </w:pPr>
                  <w:r w:rsidRPr="002E4D78">
                    <w:rPr>
                      <w:rFonts w:eastAsia="Calibri"/>
                    </w:rPr>
                    <w:t>Helicopter</w:t>
                  </w:r>
                </w:p>
              </w:tc>
              <w:tc>
                <w:tcPr>
                  <w:tcW w:w="1449" w:type="dxa"/>
                  <w:tcBorders>
                    <w:top w:val="single" w:sz="4" w:space="0" w:color="000000"/>
                    <w:left w:val="single" w:sz="4" w:space="0" w:color="000000"/>
                    <w:bottom w:val="single" w:sz="4" w:space="0" w:color="000000"/>
                    <w:right w:val="single" w:sz="4" w:space="0" w:color="000000"/>
                  </w:tcBorders>
                  <w:vAlign w:val="center"/>
                </w:tcPr>
                <w:p w14:paraId="2FF9FDC3" w14:textId="77777777" w:rsidR="00DE170C" w:rsidRPr="002E4D78" w:rsidRDefault="00DE170C" w:rsidP="002E4D78">
                  <w:pPr>
                    <w:pStyle w:val="APVMATableText"/>
                    <w:rPr>
                      <w:rFonts w:eastAsia="Arial"/>
                    </w:rPr>
                  </w:pPr>
                  <w:r w:rsidRPr="002E4D78">
                    <w:rPr>
                      <w:rFonts w:eastAsia="Calibri"/>
                    </w:rPr>
                    <w:t>90 metres</w:t>
                  </w:r>
                </w:p>
              </w:tc>
              <w:tc>
                <w:tcPr>
                  <w:tcW w:w="1605" w:type="dxa"/>
                  <w:tcBorders>
                    <w:top w:val="single" w:sz="4" w:space="0" w:color="000000"/>
                    <w:left w:val="single" w:sz="4" w:space="0" w:color="000000"/>
                    <w:bottom w:val="single" w:sz="4" w:space="0" w:color="000000"/>
                    <w:right w:val="single" w:sz="4" w:space="0" w:color="000000"/>
                  </w:tcBorders>
                  <w:vAlign w:val="center"/>
                </w:tcPr>
                <w:p w14:paraId="2488FFBA" w14:textId="77777777" w:rsidR="00DE170C" w:rsidRPr="002E4D78" w:rsidRDefault="00DE170C" w:rsidP="002E4D78">
                  <w:pPr>
                    <w:pStyle w:val="APVMATableText"/>
                    <w:rPr>
                      <w:rFonts w:eastAsia="Arial"/>
                    </w:rPr>
                  </w:pPr>
                  <w:r w:rsidRPr="002E4D78">
                    <w:rPr>
                      <w:rFonts w:eastAsia="Calibri"/>
                    </w:rPr>
                    <w:t>150 metres</w:t>
                  </w:r>
                </w:p>
              </w:tc>
              <w:tc>
                <w:tcPr>
                  <w:tcW w:w="1559" w:type="dxa"/>
                  <w:tcBorders>
                    <w:top w:val="single" w:sz="4" w:space="0" w:color="000000"/>
                    <w:left w:val="single" w:sz="4" w:space="0" w:color="000000"/>
                    <w:bottom w:val="single" w:sz="4" w:space="0" w:color="000000"/>
                    <w:right w:val="single" w:sz="4" w:space="0" w:color="000000"/>
                  </w:tcBorders>
                  <w:vAlign w:val="center"/>
                </w:tcPr>
                <w:p w14:paraId="36C74CE6" w14:textId="77777777" w:rsidR="00DE170C" w:rsidRPr="002E4D78" w:rsidRDefault="00DE170C" w:rsidP="002E4D78">
                  <w:pPr>
                    <w:pStyle w:val="APVMATableText"/>
                    <w:rPr>
                      <w:rFonts w:eastAsia="Arial"/>
                    </w:rPr>
                  </w:pPr>
                  <w:r w:rsidRPr="002E4D78">
                    <w:rPr>
                      <w:rFonts w:eastAsia="Calibri"/>
                    </w:rPr>
                    <w:t>10 metres</w:t>
                  </w:r>
                </w:p>
              </w:tc>
              <w:tc>
                <w:tcPr>
                  <w:tcW w:w="1417" w:type="dxa"/>
                  <w:tcBorders>
                    <w:top w:val="single" w:sz="4" w:space="0" w:color="000000"/>
                    <w:left w:val="single" w:sz="4" w:space="0" w:color="000000"/>
                    <w:bottom w:val="single" w:sz="4" w:space="0" w:color="000000"/>
                    <w:right w:val="single" w:sz="4" w:space="0" w:color="000000"/>
                  </w:tcBorders>
                  <w:vAlign w:val="center"/>
                </w:tcPr>
                <w:p w14:paraId="16DDF497" w14:textId="77777777" w:rsidR="00DE170C" w:rsidRPr="002E4D78" w:rsidRDefault="00DE170C" w:rsidP="002E4D78">
                  <w:pPr>
                    <w:pStyle w:val="APVMATableText"/>
                    <w:rPr>
                      <w:rFonts w:eastAsia="Arial"/>
                    </w:rPr>
                  </w:pPr>
                  <w:r w:rsidRPr="002E4D78">
                    <w:rPr>
                      <w:rFonts w:eastAsia="Calibri"/>
                    </w:rPr>
                    <w:t>230 metres</w:t>
                  </w:r>
                </w:p>
              </w:tc>
              <w:tc>
                <w:tcPr>
                  <w:tcW w:w="1418" w:type="dxa"/>
                  <w:tcBorders>
                    <w:top w:val="single" w:sz="4" w:space="0" w:color="000000"/>
                    <w:left w:val="single" w:sz="4" w:space="0" w:color="000000"/>
                    <w:bottom w:val="single" w:sz="4" w:space="0" w:color="000000"/>
                    <w:right w:val="single" w:sz="4" w:space="0" w:color="000000"/>
                  </w:tcBorders>
                  <w:vAlign w:val="center"/>
                </w:tcPr>
                <w:p w14:paraId="5BFD00F2" w14:textId="77777777" w:rsidR="00DE170C" w:rsidRPr="002E4D78" w:rsidRDefault="00DE170C" w:rsidP="002E4D78">
                  <w:pPr>
                    <w:pStyle w:val="APVMATableText"/>
                    <w:rPr>
                      <w:rFonts w:eastAsia="Arial"/>
                    </w:rPr>
                  </w:pPr>
                  <w:r w:rsidRPr="002E4D78">
                    <w:rPr>
                      <w:rFonts w:eastAsia="Calibri"/>
                    </w:rPr>
                    <w:t>Not required</w:t>
                  </w:r>
                </w:p>
              </w:tc>
            </w:tr>
          </w:tbl>
          <w:p w14:paraId="4CD6DA0A" w14:textId="77777777" w:rsidR="00DE170C" w:rsidRDefault="00DE170C" w:rsidP="009B60F8">
            <w:pPr>
              <w:widowControl w:val="0"/>
              <w:ind w:right="101"/>
              <w:rPr>
                <w:rFonts w:ascii="Calibri" w:eastAsia="Calibri"/>
                <w:b/>
                <w:szCs w:val="22"/>
                <w:lang w:val="en-US"/>
              </w:rPr>
            </w:pPr>
          </w:p>
        </w:tc>
      </w:tr>
    </w:tbl>
    <w:p w14:paraId="553ED2A0" w14:textId="21C109B5" w:rsidR="003665A6" w:rsidRDefault="004E7D7E" w:rsidP="00A70DFB">
      <w:pPr>
        <w:pStyle w:val="Heading2"/>
        <w:rPr>
          <w:rFonts w:eastAsia="Calibri"/>
        </w:rPr>
      </w:pPr>
      <w:bookmarkStart w:id="68" w:name="_Toc14340874"/>
      <w:r>
        <w:rPr>
          <w:rFonts w:eastAsia="Calibri"/>
        </w:rPr>
        <w:lastRenderedPageBreak/>
        <w:t>Case study two</w:t>
      </w:r>
      <w:r w:rsidR="00A70DFB">
        <w:rPr>
          <w:rFonts w:eastAsia="Calibri"/>
        </w:rPr>
        <w:t>: Insecticide applied by vertical sprayer and ground boom</w:t>
      </w:r>
      <w:bookmarkEnd w:id="68"/>
    </w:p>
    <w:p w14:paraId="365AE076" w14:textId="24AB1270" w:rsidR="00A70DFB" w:rsidRPr="00A70DFB" w:rsidRDefault="00A70DFB" w:rsidP="00A70DFB">
      <w:pPr>
        <w:pStyle w:val="NormalText"/>
        <w:rPr>
          <w:rFonts w:eastAsia="Calibri"/>
        </w:rPr>
      </w:pPr>
      <w:r w:rsidRPr="00A70DFB">
        <w:rPr>
          <w:rFonts w:eastAsia="Calibri"/>
        </w:rPr>
        <w:t xml:space="preserve">Insecticide One contains an active constituent of 500 g/L active-two. It can be applied by either ground boom or vertical sprayers. It can be applied to orchards with a maximum rate of 200 mL/100 L or potatoes with a maximum rate of 2.2 L/ha </w:t>
      </w:r>
      <w:r w:rsidR="00460E9D">
        <w:rPr>
          <w:rFonts w:eastAsia="Calibri"/>
        </w:rPr>
        <w:t>as shown on the product label (f</w:t>
      </w:r>
      <w:r w:rsidRPr="00A70DFB">
        <w:rPr>
          <w:rFonts w:eastAsia="Calibri"/>
        </w:rPr>
        <w:t>igure 15</w:t>
      </w:r>
      <w:r>
        <w:rPr>
          <w:rFonts w:eastAsia="Calibri"/>
        </w:rPr>
        <w:t>).</w:t>
      </w:r>
    </w:p>
    <w:p w14:paraId="1CE92899" w14:textId="77777777" w:rsidR="00F407CE" w:rsidRDefault="00F407CE" w:rsidP="00F407CE">
      <w:pPr>
        <w:pStyle w:val="Caption"/>
        <w:rPr>
          <w:rFonts w:eastAsia="Calibri"/>
        </w:rPr>
      </w:pPr>
      <w:r w:rsidRPr="00F407CE">
        <w:rPr>
          <w:rFonts w:eastAsia="Calibri"/>
        </w:rPr>
        <w:t>Figure 15: Extract from Insecticide One label</w:t>
      </w:r>
    </w:p>
    <w:tbl>
      <w:tblPr>
        <w:tblStyle w:val="TableGrid"/>
        <w:tblW w:w="0" w:type="auto"/>
        <w:shd w:val="clear" w:color="auto" w:fill="D5D7D5" w:themeFill="text1" w:themeFillTint="33"/>
        <w:tblLook w:val="04A0" w:firstRow="1" w:lastRow="0" w:firstColumn="1" w:lastColumn="0" w:noHBand="0" w:noVBand="1"/>
        <w:tblCaption w:val="Label extract for case study 2"/>
        <w:tblDescription w:val="Insecticide One has 500 g/L of active-two and can be applied to control various pests in pecans and macadamias at 200 mL/100L, apples and pears at 100 to 200 mL/100L and in potatoes at 2.2 L/ha"/>
      </w:tblPr>
      <w:tblGrid>
        <w:gridCol w:w="9628"/>
      </w:tblGrid>
      <w:tr w:rsidR="00DE170C" w14:paraId="2D5B5F73" w14:textId="77777777" w:rsidTr="00DE170C">
        <w:trPr>
          <w:trHeight w:val="4473"/>
          <w:tblHeader/>
        </w:trPr>
        <w:tc>
          <w:tcPr>
            <w:tcW w:w="9628" w:type="dxa"/>
            <w:shd w:val="clear" w:color="auto" w:fill="B9C9D0"/>
          </w:tcPr>
          <w:p w14:paraId="2C9E4060" w14:textId="77777777" w:rsidR="00DE170C" w:rsidRPr="005C317E" w:rsidRDefault="00DE170C" w:rsidP="00DE170C">
            <w:pPr>
              <w:pStyle w:val="APVMATableText"/>
              <w:rPr>
                <w:rFonts w:eastAsia="Calibri" w:hAnsi="Calibri" w:cs="Calibri"/>
                <w:lang w:val="en-US"/>
              </w:rPr>
            </w:pPr>
            <w:r w:rsidRPr="005C317E">
              <w:rPr>
                <w:rFonts w:eastAsia="Calibri"/>
                <w:b/>
                <w:lang w:val="en-US"/>
              </w:rPr>
              <w:t xml:space="preserve">Product Name: </w:t>
            </w:r>
            <w:r w:rsidRPr="005C317E">
              <w:rPr>
                <w:rFonts w:eastAsia="Calibri"/>
                <w:lang w:val="en-US"/>
              </w:rPr>
              <w:t>Insecticide One</w:t>
            </w:r>
          </w:p>
          <w:p w14:paraId="4E1868EF" w14:textId="77777777" w:rsidR="00DE170C" w:rsidRPr="005C317E" w:rsidRDefault="00DE170C" w:rsidP="00DE170C">
            <w:pPr>
              <w:pStyle w:val="APVMATableText"/>
              <w:rPr>
                <w:rFonts w:eastAsia="Calibri"/>
                <w:lang w:val="en-US"/>
              </w:rPr>
            </w:pPr>
            <w:r w:rsidRPr="005C317E">
              <w:rPr>
                <w:rFonts w:eastAsia="Calibri"/>
                <w:b/>
                <w:lang w:val="en-US"/>
              </w:rPr>
              <w:t xml:space="preserve">Active constituent: </w:t>
            </w:r>
            <w:r w:rsidRPr="005C317E">
              <w:rPr>
                <w:rFonts w:eastAsia="Calibri"/>
                <w:lang w:val="en-US"/>
              </w:rPr>
              <w:t>500 g/L active-two</w:t>
            </w:r>
          </w:p>
          <w:p w14:paraId="197E6C4C" w14:textId="77777777" w:rsidR="00DE170C" w:rsidRPr="005C317E" w:rsidRDefault="00DE170C" w:rsidP="00DE170C">
            <w:pPr>
              <w:pStyle w:val="APVMATableText"/>
              <w:rPr>
                <w:rFonts w:eastAsia="Calibri" w:cs="Calibri"/>
                <w:b/>
                <w:bCs/>
                <w:lang w:val="en-US"/>
              </w:rPr>
            </w:pPr>
            <w:r w:rsidRPr="005C317E">
              <w:rPr>
                <w:rFonts w:eastAsia="Calibri"/>
                <w:b/>
                <w:lang w:val="en-US"/>
              </w:rPr>
              <w:t>Product Number</w:t>
            </w:r>
            <w:r w:rsidRPr="005C317E">
              <w:rPr>
                <w:rFonts w:eastAsia="Calibri"/>
                <w:lang w:val="en-US"/>
              </w:rPr>
              <w:t>:</w:t>
            </w:r>
            <w:r w:rsidRPr="005C317E">
              <w:rPr>
                <w:rFonts w:eastAsia="Calibri"/>
                <w:spacing w:val="-6"/>
                <w:lang w:val="en-US"/>
              </w:rPr>
              <w:t xml:space="preserve"> </w:t>
            </w:r>
            <w:r w:rsidRPr="005C317E">
              <w:rPr>
                <w:rFonts w:eastAsia="Calibri"/>
                <w:b/>
                <w:lang w:val="en-US"/>
              </w:rPr>
              <w:t>1002</w:t>
            </w:r>
          </w:p>
          <w:p w14:paraId="220D606D" w14:textId="77777777" w:rsidR="00DE170C" w:rsidRPr="005C317E" w:rsidRDefault="00DE170C" w:rsidP="00DE170C">
            <w:pPr>
              <w:pStyle w:val="APVMATableText"/>
              <w:rPr>
                <w:rFonts w:eastAsia="Calibri" w:hAnsi="Calibri" w:cs="Calibri"/>
                <w:lang w:val="en-US"/>
              </w:rPr>
            </w:pPr>
            <w:r w:rsidRPr="005C317E">
              <w:rPr>
                <w:rFonts w:eastAsia="Calibri"/>
                <w:b/>
                <w:lang w:val="en-US"/>
              </w:rPr>
              <w:t>DIRECTIONS FOR</w:t>
            </w:r>
            <w:r w:rsidRPr="005C317E">
              <w:rPr>
                <w:rFonts w:eastAsia="Calibri"/>
                <w:b/>
                <w:spacing w:val="-4"/>
                <w:lang w:val="en-US"/>
              </w:rPr>
              <w:t xml:space="preserve"> </w:t>
            </w:r>
            <w:r w:rsidRPr="005C317E">
              <w:rPr>
                <w:rFonts w:eastAsia="Calibri"/>
                <w:b/>
                <w:lang w:val="en-US"/>
              </w:rPr>
              <w:t>USE</w:t>
            </w:r>
          </w:p>
          <w:tbl>
            <w:tblPr>
              <w:tblW w:w="5000" w:type="pct"/>
              <w:tblCellMar>
                <w:left w:w="0" w:type="dxa"/>
                <w:right w:w="0" w:type="dxa"/>
              </w:tblCellMar>
              <w:tblLook w:val="01E0" w:firstRow="1" w:lastRow="1" w:firstColumn="1" w:lastColumn="1" w:noHBand="0" w:noVBand="0"/>
            </w:tblPr>
            <w:tblGrid>
              <w:gridCol w:w="3134"/>
              <w:gridCol w:w="3133"/>
              <w:gridCol w:w="3135"/>
            </w:tblGrid>
            <w:tr w:rsidR="00DE170C" w:rsidRPr="005C317E" w14:paraId="633B9D36" w14:textId="77777777" w:rsidTr="00DE170C">
              <w:trPr>
                <w:trHeight w:val="468"/>
                <w:tblHeader/>
              </w:trPr>
              <w:tc>
                <w:tcPr>
                  <w:tcW w:w="1666" w:type="pct"/>
                  <w:tcBorders>
                    <w:top w:val="single" w:sz="4" w:space="0" w:color="000000"/>
                    <w:left w:val="single" w:sz="4" w:space="0" w:color="000000"/>
                    <w:bottom w:val="single" w:sz="4" w:space="0" w:color="000000"/>
                    <w:right w:val="single" w:sz="4" w:space="0" w:color="000000"/>
                  </w:tcBorders>
                  <w:vAlign w:val="center"/>
                </w:tcPr>
                <w:p w14:paraId="7638EDA4" w14:textId="33C40012" w:rsidR="00DE170C" w:rsidRPr="002E4D78" w:rsidRDefault="00DE170C" w:rsidP="002E4D78">
                  <w:pPr>
                    <w:pStyle w:val="APVMATableText"/>
                    <w:rPr>
                      <w:rFonts w:eastAsia="Calibri"/>
                    </w:rPr>
                  </w:pPr>
                  <w:r w:rsidRPr="002E4D78">
                    <w:rPr>
                      <w:rFonts w:eastAsia="Calibri"/>
                    </w:rPr>
                    <w:t>Situation and crop</w:t>
                  </w:r>
                </w:p>
              </w:tc>
              <w:tc>
                <w:tcPr>
                  <w:tcW w:w="1666" w:type="pct"/>
                  <w:tcBorders>
                    <w:top w:val="single" w:sz="4" w:space="0" w:color="000000"/>
                    <w:left w:val="single" w:sz="4" w:space="0" w:color="000000"/>
                    <w:bottom w:val="single" w:sz="4" w:space="0" w:color="000000"/>
                    <w:right w:val="single" w:sz="4" w:space="0" w:color="000000"/>
                  </w:tcBorders>
                  <w:vAlign w:val="center"/>
                </w:tcPr>
                <w:p w14:paraId="0101A7B1" w14:textId="77777777" w:rsidR="00DE170C" w:rsidRPr="002E4D78" w:rsidRDefault="00DE170C" w:rsidP="002E4D78">
                  <w:pPr>
                    <w:pStyle w:val="APVMATableText"/>
                    <w:rPr>
                      <w:rFonts w:eastAsia="Calibri"/>
                    </w:rPr>
                  </w:pPr>
                  <w:r w:rsidRPr="002E4D78">
                    <w:rPr>
                      <w:rFonts w:eastAsia="Calibri"/>
                    </w:rPr>
                    <w:t>Pest</w:t>
                  </w:r>
                </w:p>
              </w:tc>
              <w:tc>
                <w:tcPr>
                  <w:tcW w:w="1667" w:type="pct"/>
                  <w:tcBorders>
                    <w:top w:val="single" w:sz="4" w:space="0" w:color="000000"/>
                    <w:left w:val="single" w:sz="4" w:space="0" w:color="000000"/>
                    <w:bottom w:val="single" w:sz="4" w:space="0" w:color="000000"/>
                    <w:right w:val="single" w:sz="4" w:space="0" w:color="000000"/>
                  </w:tcBorders>
                  <w:vAlign w:val="center"/>
                </w:tcPr>
                <w:p w14:paraId="378ACF33" w14:textId="77777777" w:rsidR="00DE170C" w:rsidRPr="002E4D78" w:rsidRDefault="00DE170C" w:rsidP="002E4D78">
                  <w:pPr>
                    <w:pStyle w:val="APVMATableText"/>
                    <w:rPr>
                      <w:rFonts w:eastAsia="Calibri"/>
                    </w:rPr>
                  </w:pPr>
                  <w:r w:rsidRPr="002E4D78">
                    <w:rPr>
                      <w:rFonts w:eastAsia="Calibri"/>
                    </w:rPr>
                    <w:t>Rate</w:t>
                  </w:r>
                </w:p>
              </w:tc>
            </w:tr>
            <w:tr w:rsidR="00DE170C" w:rsidRPr="005C317E" w14:paraId="6229D6E9" w14:textId="77777777" w:rsidTr="00DE170C">
              <w:trPr>
                <w:trHeight w:val="780"/>
              </w:trPr>
              <w:tc>
                <w:tcPr>
                  <w:tcW w:w="1666" w:type="pct"/>
                  <w:tcBorders>
                    <w:top w:val="single" w:sz="4" w:space="0" w:color="000000"/>
                    <w:left w:val="single" w:sz="4" w:space="0" w:color="000000"/>
                    <w:bottom w:val="single" w:sz="4" w:space="0" w:color="000000"/>
                    <w:right w:val="single" w:sz="4" w:space="0" w:color="000000"/>
                  </w:tcBorders>
                  <w:vAlign w:val="center"/>
                </w:tcPr>
                <w:p w14:paraId="010B0314" w14:textId="77777777" w:rsidR="00DE170C" w:rsidRPr="002E4D78" w:rsidRDefault="00DE170C" w:rsidP="002E4D78">
                  <w:pPr>
                    <w:pStyle w:val="APVMATableText"/>
                    <w:rPr>
                      <w:rFonts w:eastAsia="Calibri"/>
                    </w:rPr>
                  </w:pPr>
                  <w:r w:rsidRPr="002E4D78">
                    <w:rPr>
                      <w:rFonts w:eastAsia="Calibri"/>
                    </w:rPr>
                    <w:t>Pecans</w:t>
                  </w:r>
                </w:p>
                <w:p w14:paraId="1E81BD4E" w14:textId="77777777" w:rsidR="00DE170C" w:rsidRPr="002E4D78" w:rsidRDefault="00DE170C" w:rsidP="002E4D78">
                  <w:pPr>
                    <w:pStyle w:val="APVMATableText"/>
                    <w:rPr>
                      <w:rFonts w:eastAsia="Calibri"/>
                    </w:rPr>
                  </w:pPr>
                  <w:r w:rsidRPr="002E4D78">
                    <w:rPr>
                      <w:rFonts w:eastAsia="Calibri"/>
                    </w:rPr>
                    <w:t>Macadamias</w:t>
                  </w:r>
                </w:p>
              </w:tc>
              <w:tc>
                <w:tcPr>
                  <w:tcW w:w="1666" w:type="pct"/>
                  <w:tcBorders>
                    <w:top w:val="single" w:sz="4" w:space="0" w:color="000000"/>
                    <w:left w:val="single" w:sz="4" w:space="0" w:color="000000"/>
                    <w:bottom w:val="single" w:sz="4" w:space="0" w:color="000000"/>
                    <w:right w:val="single" w:sz="4" w:space="0" w:color="000000"/>
                  </w:tcBorders>
                  <w:vAlign w:val="center"/>
                </w:tcPr>
                <w:p w14:paraId="72482529" w14:textId="77777777" w:rsidR="00DE170C" w:rsidRPr="002E4D78" w:rsidRDefault="00DE170C" w:rsidP="002E4D78">
                  <w:pPr>
                    <w:pStyle w:val="APVMATableText"/>
                    <w:rPr>
                      <w:rFonts w:eastAsia="Calibri"/>
                    </w:rPr>
                  </w:pPr>
                  <w:r w:rsidRPr="002E4D78">
                    <w:rPr>
                      <w:rFonts w:eastAsia="Calibri"/>
                    </w:rPr>
                    <w:t>Yellow peach moth</w:t>
                  </w:r>
                </w:p>
              </w:tc>
              <w:tc>
                <w:tcPr>
                  <w:tcW w:w="1667" w:type="pct"/>
                  <w:tcBorders>
                    <w:top w:val="single" w:sz="4" w:space="0" w:color="000000"/>
                    <w:left w:val="single" w:sz="4" w:space="0" w:color="000000"/>
                    <w:bottom w:val="single" w:sz="4" w:space="0" w:color="000000"/>
                    <w:right w:val="single" w:sz="4" w:space="0" w:color="000000"/>
                  </w:tcBorders>
                  <w:vAlign w:val="center"/>
                </w:tcPr>
                <w:p w14:paraId="54C69AB4" w14:textId="77777777" w:rsidR="00DE170C" w:rsidRPr="002E4D78" w:rsidRDefault="00DE170C" w:rsidP="002E4D78">
                  <w:pPr>
                    <w:pStyle w:val="APVMATableText"/>
                    <w:rPr>
                      <w:rFonts w:eastAsia="Calibri"/>
                    </w:rPr>
                  </w:pPr>
                  <w:r w:rsidRPr="002E4D78">
                    <w:rPr>
                      <w:rFonts w:eastAsia="Calibri"/>
                    </w:rPr>
                    <w:t>200 mL/100L</w:t>
                  </w:r>
                </w:p>
              </w:tc>
            </w:tr>
            <w:tr w:rsidR="00DE170C" w:rsidRPr="005C317E" w14:paraId="283BAFBD" w14:textId="77777777" w:rsidTr="00DE170C">
              <w:trPr>
                <w:trHeight w:val="780"/>
              </w:trPr>
              <w:tc>
                <w:tcPr>
                  <w:tcW w:w="1666" w:type="pct"/>
                  <w:tcBorders>
                    <w:top w:val="single" w:sz="4" w:space="0" w:color="000000"/>
                    <w:left w:val="single" w:sz="4" w:space="0" w:color="000000"/>
                    <w:bottom w:val="single" w:sz="4" w:space="0" w:color="000000"/>
                    <w:right w:val="single" w:sz="4" w:space="0" w:color="000000"/>
                  </w:tcBorders>
                  <w:vAlign w:val="center"/>
                </w:tcPr>
                <w:p w14:paraId="7A269B95" w14:textId="77777777" w:rsidR="00DE170C" w:rsidRPr="002E4D78" w:rsidRDefault="00DE170C" w:rsidP="002E4D78">
                  <w:pPr>
                    <w:pStyle w:val="APVMATableText"/>
                    <w:rPr>
                      <w:rFonts w:eastAsia="Calibri"/>
                    </w:rPr>
                  </w:pPr>
                  <w:r w:rsidRPr="002E4D78">
                    <w:rPr>
                      <w:rFonts w:eastAsia="Calibri"/>
                    </w:rPr>
                    <w:t>Apples</w:t>
                  </w:r>
                </w:p>
                <w:p w14:paraId="362B9565" w14:textId="77777777" w:rsidR="00DE170C" w:rsidRPr="002E4D78" w:rsidRDefault="00DE170C" w:rsidP="002E4D78">
                  <w:pPr>
                    <w:pStyle w:val="APVMATableText"/>
                    <w:rPr>
                      <w:rFonts w:eastAsia="Calibri"/>
                    </w:rPr>
                  </w:pPr>
                  <w:r w:rsidRPr="002E4D78">
                    <w:rPr>
                      <w:rFonts w:eastAsia="Calibri"/>
                    </w:rPr>
                    <w:t>Pears</w:t>
                  </w:r>
                </w:p>
              </w:tc>
              <w:tc>
                <w:tcPr>
                  <w:tcW w:w="1666" w:type="pct"/>
                  <w:tcBorders>
                    <w:top w:val="single" w:sz="4" w:space="0" w:color="000000"/>
                    <w:left w:val="single" w:sz="4" w:space="0" w:color="000000"/>
                    <w:bottom w:val="single" w:sz="4" w:space="0" w:color="000000"/>
                    <w:right w:val="single" w:sz="4" w:space="0" w:color="000000"/>
                  </w:tcBorders>
                  <w:vAlign w:val="center"/>
                </w:tcPr>
                <w:p w14:paraId="410F1DAE" w14:textId="77777777" w:rsidR="00DE170C" w:rsidRPr="002E4D78" w:rsidRDefault="00DE170C" w:rsidP="002E4D78">
                  <w:pPr>
                    <w:pStyle w:val="APVMATableText"/>
                    <w:rPr>
                      <w:rFonts w:eastAsia="Calibri"/>
                    </w:rPr>
                  </w:pPr>
                  <w:r w:rsidRPr="002E4D78">
                    <w:rPr>
                      <w:rFonts w:eastAsia="Calibri"/>
                    </w:rPr>
                    <w:t>Lightbrown apple moth</w:t>
                  </w:r>
                </w:p>
                <w:p w14:paraId="7BF27BD1" w14:textId="77777777" w:rsidR="00DE170C" w:rsidRPr="002E4D78" w:rsidRDefault="00DE170C" w:rsidP="002E4D78">
                  <w:pPr>
                    <w:pStyle w:val="APVMATableText"/>
                    <w:rPr>
                      <w:rFonts w:eastAsia="Calibri"/>
                    </w:rPr>
                  </w:pPr>
                  <w:r w:rsidRPr="002E4D78">
                    <w:rPr>
                      <w:rFonts w:eastAsia="Calibri"/>
                    </w:rPr>
                    <w:t>Codling moth</w:t>
                  </w:r>
                </w:p>
              </w:tc>
              <w:tc>
                <w:tcPr>
                  <w:tcW w:w="1667" w:type="pct"/>
                  <w:tcBorders>
                    <w:top w:val="single" w:sz="4" w:space="0" w:color="000000"/>
                    <w:left w:val="single" w:sz="4" w:space="0" w:color="000000"/>
                    <w:bottom w:val="single" w:sz="4" w:space="0" w:color="000000"/>
                    <w:right w:val="single" w:sz="4" w:space="0" w:color="000000"/>
                  </w:tcBorders>
                  <w:vAlign w:val="center"/>
                </w:tcPr>
                <w:p w14:paraId="2084F870" w14:textId="77777777" w:rsidR="00DE170C" w:rsidRPr="002E4D78" w:rsidRDefault="00DE170C" w:rsidP="002E4D78">
                  <w:pPr>
                    <w:pStyle w:val="APVMATableText"/>
                    <w:rPr>
                      <w:rFonts w:eastAsia="Calibri"/>
                    </w:rPr>
                  </w:pPr>
                  <w:r w:rsidRPr="002E4D78">
                    <w:rPr>
                      <w:rFonts w:eastAsia="Calibri"/>
                    </w:rPr>
                    <w:t>100 to 200 mL/100L</w:t>
                  </w:r>
                </w:p>
              </w:tc>
            </w:tr>
            <w:tr w:rsidR="00DE170C" w:rsidRPr="005C317E" w14:paraId="4EDF2588" w14:textId="77777777" w:rsidTr="00DE170C">
              <w:trPr>
                <w:trHeight w:val="780"/>
              </w:trPr>
              <w:tc>
                <w:tcPr>
                  <w:tcW w:w="1666" w:type="pct"/>
                  <w:tcBorders>
                    <w:top w:val="single" w:sz="4" w:space="0" w:color="000000"/>
                    <w:left w:val="single" w:sz="4" w:space="0" w:color="000000"/>
                    <w:bottom w:val="single" w:sz="4" w:space="0" w:color="000000"/>
                    <w:right w:val="single" w:sz="4" w:space="0" w:color="000000"/>
                  </w:tcBorders>
                  <w:vAlign w:val="center"/>
                </w:tcPr>
                <w:p w14:paraId="14D1B157" w14:textId="77777777" w:rsidR="00DE170C" w:rsidRPr="002E4D78" w:rsidRDefault="00DE170C" w:rsidP="002E4D78">
                  <w:pPr>
                    <w:pStyle w:val="APVMATableText"/>
                    <w:rPr>
                      <w:rFonts w:eastAsia="Calibri"/>
                    </w:rPr>
                  </w:pPr>
                  <w:r w:rsidRPr="002E4D78">
                    <w:rPr>
                      <w:rFonts w:eastAsia="Calibri"/>
                    </w:rPr>
                    <w:t>Potatoes</w:t>
                  </w:r>
                </w:p>
              </w:tc>
              <w:tc>
                <w:tcPr>
                  <w:tcW w:w="1666" w:type="pct"/>
                  <w:tcBorders>
                    <w:top w:val="single" w:sz="4" w:space="0" w:color="000000"/>
                    <w:left w:val="single" w:sz="4" w:space="0" w:color="000000"/>
                    <w:bottom w:val="single" w:sz="4" w:space="0" w:color="000000"/>
                    <w:right w:val="single" w:sz="4" w:space="0" w:color="000000"/>
                  </w:tcBorders>
                  <w:vAlign w:val="center"/>
                </w:tcPr>
                <w:p w14:paraId="4B8D1B9D" w14:textId="77777777" w:rsidR="00DE170C" w:rsidRPr="002E4D78" w:rsidRDefault="00DE170C" w:rsidP="002E4D78">
                  <w:pPr>
                    <w:pStyle w:val="APVMATableText"/>
                    <w:rPr>
                      <w:rFonts w:eastAsia="Calibri"/>
                    </w:rPr>
                  </w:pPr>
                  <w:r w:rsidRPr="002E4D78">
                    <w:rPr>
                      <w:rFonts w:eastAsia="Calibri"/>
                    </w:rPr>
                    <w:t>Potato moth</w:t>
                  </w:r>
                </w:p>
                <w:p w14:paraId="7F693B09" w14:textId="77777777" w:rsidR="00DE170C" w:rsidRPr="002E4D78" w:rsidRDefault="00DE170C" w:rsidP="002E4D78">
                  <w:pPr>
                    <w:pStyle w:val="APVMATableText"/>
                    <w:rPr>
                      <w:rFonts w:eastAsia="Calibri"/>
                    </w:rPr>
                  </w:pPr>
                  <w:r w:rsidRPr="002E4D78">
                    <w:rPr>
                      <w:rFonts w:eastAsia="Calibri"/>
                    </w:rPr>
                    <w:t>Heliothis (budworms)</w:t>
                  </w:r>
                </w:p>
              </w:tc>
              <w:tc>
                <w:tcPr>
                  <w:tcW w:w="1667" w:type="pct"/>
                  <w:tcBorders>
                    <w:top w:val="single" w:sz="4" w:space="0" w:color="000000"/>
                    <w:left w:val="single" w:sz="4" w:space="0" w:color="000000"/>
                    <w:bottom w:val="single" w:sz="4" w:space="0" w:color="000000"/>
                    <w:right w:val="single" w:sz="4" w:space="0" w:color="000000"/>
                  </w:tcBorders>
                  <w:vAlign w:val="center"/>
                </w:tcPr>
                <w:p w14:paraId="030AC2C8" w14:textId="77777777" w:rsidR="00DE170C" w:rsidRPr="002E4D78" w:rsidRDefault="00DE170C" w:rsidP="002E4D78">
                  <w:pPr>
                    <w:pStyle w:val="APVMATableText"/>
                    <w:rPr>
                      <w:rFonts w:eastAsia="Calibri"/>
                    </w:rPr>
                  </w:pPr>
                  <w:r w:rsidRPr="002E4D78">
                    <w:rPr>
                      <w:rFonts w:eastAsia="Calibri"/>
                    </w:rPr>
                    <w:t>2.2 L/ha</w:t>
                  </w:r>
                </w:p>
              </w:tc>
            </w:tr>
          </w:tbl>
          <w:p w14:paraId="61AFB90F" w14:textId="77777777" w:rsidR="00DE170C" w:rsidRDefault="00DE170C" w:rsidP="00DE170C">
            <w:pPr>
              <w:pStyle w:val="APVMATableText"/>
              <w:rPr>
                <w:rFonts w:eastAsia="Calibri"/>
                <w:lang w:val="en-US"/>
              </w:rPr>
            </w:pPr>
          </w:p>
        </w:tc>
      </w:tr>
    </w:tbl>
    <w:p w14:paraId="6FD0FD80" w14:textId="00B9E1E3" w:rsidR="00605A9B" w:rsidRDefault="00605A9B" w:rsidP="00605A9B">
      <w:pPr>
        <w:pStyle w:val="NormalText"/>
        <w:rPr>
          <w:rFonts w:eastAsia="Calibri"/>
        </w:rPr>
      </w:pPr>
      <w:r w:rsidRPr="00605A9B">
        <w:rPr>
          <w:rFonts w:eastAsia="Calibri"/>
        </w:rPr>
        <w:t>It is assumed that the RAL as established by the APVMA assessment areas f</w:t>
      </w:r>
      <w:r w:rsidR="0043717A">
        <w:rPr>
          <w:rFonts w:eastAsia="Calibri"/>
        </w:rPr>
        <w:t>or Insecticide One is given in t</w:t>
      </w:r>
      <w:r w:rsidRPr="00605A9B">
        <w:rPr>
          <w:rFonts w:eastAsia="Calibri"/>
        </w:rPr>
        <w:t>able 13 for each of the sensitive areas. The RAL is also shown as a fraction of the maximum label active constituent rate (fraction of applied rate)</w:t>
      </w:r>
      <w:r>
        <w:rPr>
          <w:rFonts w:eastAsia="Calibri"/>
        </w:rPr>
        <w:t>.</w:t>
      </w:r>
    </w:p>
    <w:p w14:paraId="078E7BD1" w14:textId="2756316A" w:rsidR="00605A9B" w:rsidRPr="00BB0CEC" w:rsidRDefault="00605A9B" w:rsidP="00605A9B">
      <w:pPr>
        <w:pStyle w:val="Caption"/>
      </w:pPr>
      <w:bookmarkStart w:id="69" w:name="_Toc14340892"/>
      <w:r>
        <w:t xml:space="preserve">Table </w:t>
      </w:r>
      <w:r w:rsidR="00371051">
        <w:rPr>
          <w:noProof/>
        </w:rPr>
        <w:fldChar w:fldCharType="begin"/>
      </w:r>
      <w:r w:rsidR="00371051">
        <w:rPr>
          <w:noProof/>
        </w:rPr>
        <w:instrText xml:space="preserve"> SEQ Table \* ARABIC </w:instrText>
      </w:r>
      <w:r w:rsidR="00371051">
        <w:rPr>
          <w:noProof/>
        </w:rPr>
        <w:fldChar w:fldCharType="separate"/>
      </w:r>
      <w:r w:rsidR="00037DBD">
        <w:rPr>
          <w:noProof/>
        </w:rPr>
        <w:t>13</w:t>
      </w:r>
      <w:r w:rsidR="00371051">
        <w:rPr>
          <w:noProof/>
        </w:rPr>
        <w:fldChar w:fldCharType="end"/>
      </w:r>
      <w:r w:rsidRPr="00BB0CEC">
        <w:t>:</w:t>
      </w:r>
      <w:r w:rsidRPr="00BB0CEC">
        <w:tab/>
      </w:r>
      <w:r w:rsidRPr="005C317E">
        <w:rPr>
          <w:rFonts w:eastAsia="Calibri"/>
          <w:lang w:val="en-US"/>
        </w:rPr>
        <w:t xml:space="preserve">Regulatory acceptable levels for </w:t>
      </w:r>
      <w:r>
        <w:rPr>
          <w:rFonts w:eastAsia="Calibri"/>
          <w:lang w:val="en-US"/>
        </w:rPr>
        <w:t>Insecticide One</w:t>
      </w:r>
      <w:bookmarkEnd w:id="69"/>
    </w:p>
    <w:tbl>
      <w:tblPr>
        <w:tblW w:w="5000" w:type="pct"/>
        <w:tblBorders>
          <w:bottom w:val="dotted" w:sz="2" w:space="0" w:color="auto"/>
          <w:insideH w:val="dotted" w:sz="2" w:space="0" w:color="auto"/>
        </w:tblBorders>
        <w:tblLook w:val="01E0" w:firstRow="1" w:lastRow="1" w:firstColumn="1" w:lastColumn="1" w:noHBand="0" w:noVBand="0"/>
      </w:tblPr>
      <w:tblGrid>
        <w:gridCol w:w="2835"/>
        <w:gridCol w:w="3543"/>
        <w:gridCol w:w="3260"/>
      </w:tblGrid>
      <w:tr w:rsidR="00605A9B" w14:paraId="5F115763" w14:textId="77777777" w:rsidTr="00574F62">
        <w:trPr>
          <w:cantSplit/>
          <w:tblHeader/>
        </w:trPr>
        <w:tc>
          <w:tcPr>
            <w:tcW w:w="1471" w:type="pct"/>
            <w:tcBorders>
              <w:bottom w:val="single" w:sz="4" w:space="0" w:color="auto"/>
            </w:tcBorders>
            <w:shd w:val="clear" w:color="auto" w:fill="53284F"/>
            <w:vAlign w:val="bottom"/>
          </w:tcPr>
          <w:p w14:paraId="0030B42E" w14:textId="77777777" w:rsidR="00605A9B" w:rsidRPr="00BB0CEC" w:rsidRDefault="00605A9B" w:rsidP="00574F62">
            <w:pPr>
              <w:pStyle w:val="APVMATableHead"/>
            </w:pPr>
            <w:r w:rsidRPr="005C317E">
              <w:t>Sensitive area</w:t>
            </w:r>
          </w:p>
        </w:tc>
        <w:tc>
          <w:tcPr>
            <w:tcW w:w="1838" w:type="pct"/>
            <w:tcBorders>
              <w:bottom w:val="single" w:sz="4" w:space="0" w:color="auto"/>
            </w:tcBorders>
            <w:shd w:val="clear" w:color="auto" w:fill="53284F"/>
            <w:vAlign w:val="bottom"/>
          </w:tcPr>
          <w:p w14:paraId="677D057A" w14:textId="509D7C01" w:rsidR="00605A9B" w:rsidRPr="00BB0CEC" w:rsidRDefault="006A2C90" w:rsidP="006A2C90">
            <w:pPr>
              <w:pStyle w:val="APVMATableHead"/>
            </w:pPr>
            <w:r>
              <w:t>Regulator a</w:t>
            </w:r>
            <w:r w:rsidR="00605A9B" w:rsidRPr="005C317E">
              <w:t xml:space="preserve">cceptable </w:t>
            </w:r>
            <w:r>
              <w:t>l</w:t>
            </w:r>
            <w:r w:rsidR="00605A9B" w:rsidRPr="005C317E">
              <w:t>evel (RAL)</w:t>
            </w:r>
          </w:p>
        </w:tc>
        <w:tc>
          <w:tcPr>
            <w:tcW w:w="1691" w:type="pct"/>
            <w:tcBorders>
              <w:bottom w:val="single" w:sz="4" w:space="0" w:color="auto"/>
            </w:tcBorders>
            <w:shd w:val="clear" w:color="auto" w:fill="53284F"/>
            <w:vAlign w:val="bottom"/>
          </w:tcPr>
          <w:p w14:paraId="4247FF13" w14:textId="77777777" w:rsidR="00605A9B" w:rsidRPr="00BB0CEC" w:rsidRDefault="00605A9B" w:rsidP="00574F62">
            <w:pPr>
              <w:pStyle w:val="APVMATableHead"/>
            </w:pPr>
            <w:r w:rsidRPr="005C317E">
              <w:t>Fraction of applied rate</w:t>
            </w:r>
            <w:r w:rsidRPr="005C317E">
              <w:rPr>
                <w:vertAlign w:val="superscript"/>
              </w:rPr>
              <w:t>1</w:t>
            </w:r>
          </w:p>
        </w:tc>
      </w:tr>
      <w:tr w:rsidR="00605A9B" w14:paraId="2F8D4316" w14:textId="77777777" w:rsidTr="00574F62">
        <w:trPr>
          <w:cantSplit/>
        </w:trPr>
        <w:tc>
          <w:tcPr>
            <w:tcW w:w="1471" w:type="pct"/>
            <w:tcBorders>
              <w:top w:val="single" w:sz="4" w:space="0" w:color="auto"/>
              <w:bottom w:val="single" w:sz="4" w:space="0" w:color="auto"/>
            </w:tcBorders>
          </w:tcPr>
          <w:p w14:paraId="375268DA" w14:textId="7785A11B" w:rsidR="00605A9B" w:rsidRPr="002E4D78" w:rsidRDefault="00605A9B" w:rsidP="002E4D78">
            <w:pPr>
              <w:pStyle w:val="APVMATableText"/>
            </w:pPr>
            <w:r w:rsidRPr="002E4D78">
              <w:t>Bystander</w:t>
            </w:r>
          </w:p>
        </w:tc>
        <w:tc>
          <w:tcPr>
            <w:tcW w:w="1838" w:type="pct"/>
            <w:tcBorders>
              <w:top w:val="single" w:sz="4" w:space="0" w:color="auto"/>
              <w:bottom w:val="single" w:sz="4" w:space="0" w:color="auto"/>
            </w:tcBorders>
          </w:tcPr>
          <w:p w14:paraId="6F8D3EA5" w14:textId="5C8284D0" w:rsidR="00605A9B" w:rsidRPr="002E4D78" w:rsidRDefault="00605A9B" w:rsidP="002E4D78">
            <w:pPr>
              <w:pStyle w:val="APVMATableText"/>
            </w:pPr>
            <w:r w:rsidRPr="002E4D78">
              <w:t>450 g/ha</w:t>
            </w:r>
          </w:p>
        </w:tc>
        <w:tc>
          <w:tcPr>
            <w:tcW w:w="1691" w:type="pct"/>
            <w:tcBorders>
              <w:top w:val="single" w:sz="4" w:space="0" w:color="auto"/>
              <w:bottom w:val="single" w:sz="4" w:space="0" w:color="auto"/>
            </w:tcBorders>
          </w:tcPr>
          <w:p w14:paraId="18A93CC6" w14:textId="162E1115" w:rsidR="00605A9B" w:rsidRPr="002E4D78" w:rsidRDefault="00605A9B" w:rsidP="002E4D78">
            <w:pPr>
              <w:pStyle w:val="APVMATableText"/>
            </w:pPr>
            <w:r w:rsidRPr="002E4D78">
              <w:t>0.4090</w:t>
            </w:r>
          </w:p>
        </w:tc>
      </w:tr>
      <w:tr w:rsidR="00605A9B" w14:paraId="4E956F35" w14:textId="77777777" w:rsidTr="00574F62">
        <w:trPr>
          <w:cantSplit/>
        </w:trPr>
        <w:tc>
          <w:tcPr>
            <w:tcW w:w="1471" w:type="pct"/>
            <w:tcBorders>
              <w:top w:val="single" w:sz="4" w:space="0" w:color="auto"/>
              <w:bottom w:val="single" w:sz="4" w:space="0" w:color="auto"/>
            </w:tcBorders>
          </w:tcPr>
          <w:p w14:paraId="59535D96" w14:textId="00520D3A" w:rsidR="00605A9B" w:rsidRPr="002E4D78" w:rsidRDefault="00605A9B" w:rsidP="002E4D78">
            <w:pPr>
              <w:pStyle w:val="APVMATableText"/>
            </w:pPr>
            <w:r w:rsidRPr="002E4D78">
              <w:t>Aquatic</w:t>
            </w:r>
          </w:p>
        </w:tc>
        <w:tc>
          <w:tcPr>
            <w:tcW w:w="1838" w:type="pct"/>
            <w:tcBorders>
              <w:top w:val="single" w:sz="4" w:space="0" w:color="auto"/>
              <w:bottom w:val="single" w:sz="4" w:space="0" w:color="auto"/>
            </w:tcBorders>
          </w:tcPr>
          <w:p w14:paraId="6E3A1EFA" w14:textId="66D21F31" w:rsidR="00605A9B" w:rsidRPr="002E4D78" w:rsidRDefault="00605A9B" w:rsidP="002E4D78">
            <w:pPr>
              <w:pStyle w:val="APVMATableText"/>
            </w:pPr>
            <w:r w:rsidRPr="002E4D78">
              <w:t>6.6 µg/L</w:t>
            </w:r>
          </w:p>
        </w:tc>
        <w:tc>
          <w:tcPr>
            <w:tcW w:w="1691" w:type="pct"/>
            <w:tcBorders>
              <w:top w:val="single" w:sz="4" w:space="0" w:color="auto"/>
              <w:bottom w:val="single" w:sz="4" w:space="0" w:color="auto"/>
            </w:tcBorders>
          </w:tcPr>
          <w:p w14:paraId="46C354B5" w14:textId="260392B0" w:rsidR="00605A9B" w:rsidRPr="002E4D78" w:rsidRDefault="00605A9B" w:rsidP="002E4D78">
            <w:pPr>
              <w:pStyle w:val="APVMATableText"/>
            </w:pPr>
            <w:r w:rsidRPr="002E4D78">
              <w:t>0.0090</w:t>
            </w:r>
          </w:p>
        </w:tc>
      </w:tr>
      <w:tr w:rsidR="00605A9B" w14:paraId="344678F2" w14:textId="77777777" w:rsidTr="00574F62">
        <w:trPr>
          <w:cantSplit/>
        </w:trPr>
        <w:tc>
          <w:tcPr>
            <w:tcW w:w="1471" w:type="pct"/>
            <w:tcBorders>
              <w:top w:val="single" w:sz="4" w:space="0" w:color="auto"/>
              <w:bottom w:val="single" w:sz="4" w:space="0" w:color="auto"/>
            </w:tcBorders>
          </w:tcPr>
          <w:p w14:paraId="55D81AB8" w14:textId="721F43C6" w:rsidR="00605A9B" w:rsidRPr="002E4D78" w:rsidRDefault="00605A9B" w:rsidP="002E4D78">
            <w:pPr>
              <w:pStyle w:val="APVMATableText"/>
            </w:pPr>
            <w:r w:rsidRPr="002E4D78">
              <w:t>Pollinators</w:t>
            </w:r>
          </w:p>
        </w:tc>
        <w:tc>
          <w:tcPr>
            <w:tcW w:w="1838" w:type="pct"/>
            <w:tcBorders>
              <w:top w:val="single" w:sz="4" w:space="0" w:color="auto"/>
              <w:bottom w:val="single" w:sz="4" w:space="0" w:color="auto"/>
            </w:tcBorders>
          </w:tcPr>
          <w:p w14:paraId="5E85F635" w14:textId="3477FAF7" w:rsidR="00605A9B" w:rsidRPr="002E4D78" w:rsidRDefault="00605A9B" w:rsidP="002E4D78">
            <w:pPr>
              <w:pStyle w:val="APVMATableText"/>
            </w:pPr>
            <w:r w:rsidRPr="002E4D78">
              <w:t>22 g/ha</w:t>
            </w:r>
          </w:p>
        </w:tc>
        <w:tc>
          <w:tcPr>
            <w:tcW w:w="1691" w:type="pct"/>
            <w:tcBorders>
              <w:top w:val="single" w:sz="4" w:space="0" w:color="auto"/>
              <w:bottom w:val="single" w:sz="4" w:space="0" w:color="auto"/>
            </w:tcBorders>
          </w:tcPr>
          <w:p w14:paraId="544348A3" w14:textId="79E3AF44" w:rsidR="00605A9B" w:rsidRPr="002E4D78" w:rsidRDefault="00605A9B" w:rsidP="002E4D78">
            <w:pPr>
              <w:pStyle w:val="APVMATableText"/>
            </w:pPr>
            <w:r w:rsidRPr="002E4D78">
              <w:t>0.0200</w:t>
            </w:r>
          </w:p>
        </w:tc>
      </w:tr>
      <w:tr w:rsidR="00605A9B" w14:paraId="4832A7D6" w14:textId="77777777" w:rsidTr="00574F62">
        <w:trPr>
          <w:cantSplit/>
        </w:trPr>
        <w:tc>
          <w:tcPr>
            <w:tcW w:w="1471" w:type="pct"/>
            <w:tcBorders>
              <w:top w:val="single" w:sz="4" w:space="0" w:color="auto"/>
              <w:bottom w:val="single" w:sz="4" w:space="0" w:color="auto"/>
            </w:tcBorders>
          </w:tcPr>
          <w:p w14:paraId="0E9AACB1" w14:textId="2EC7C63B" w:rsidR="00605A9B" w:rsidRPr="002E4D78" w:rsidRDefault="00605A9B" w:rsidP="002E4D78">
            <w:pPr>
              <w:pStyle w:val="APVMATableText"/>
            </w:pPr>
            <w:r w:rsidRPr="002E4D78">
              <w:t>Vegetation</w:t>
            </w:r>
          </w:p>
        </w:tc>
        <w:tc>
          <w:tcPr>
            <w:tcW w:w="1838" w:type="pct"/>
            <w:tcBorders>
              <w:top w:val="single" w:sz="4" w:space="0" w:color="auto"/>
              <w:bottom w:val="single" w:sz="4" w:space="0" w:color="auto"/>
            </w:tcBorders>
          </w:tcPr>
          <w:p w14:paraId="5EDFAE6F" w14:textId="410C8918" w:rsidR="00605A9B" w:rsidRPr="002E4D78" w:rsidRDefault="00605A9B" w:rsidP="002E4D78">
            <w:pPr>
              <w:pStyle w:val="APVMATableText"/>
            </w:pPr>
            <w:r w:rsidRPr="002E4D78">
              <w:t>2000 g/ha</w:t>
            </w:r>
          </w:p>
        </w:tc>
        <w:tc>
          <w:tcPr>
            <w:tcW w:w="1691" w:type="pct"/>
            <w:tcBorders>
              <w:top w:val="single" w:sz="4" w:space="0" w:color="auto"/>
              <w:bottom w:val="single" w:sz="4" w:space="0" w:color="auto"/>
            </w:tcBorders>
          </w:tcPr>
          <w:p w14:paraId="4633B1A4" w14:textId="18F43862" w:rsidR="00605A9B" w:rsidRPr="002E4D78" w:rsidRDefault="00605A9B" w:rsidP="002E4D78">
            <w:pPr>
              <w:pStyle w:val="APVMATableText"/>
            </w:pPr>
            <w:r w:rsidRPr="002E4D78">
              <w:t>1.8200</w:t>
            </w:r>
          </w:p>
        </w:tc>
      </w:tr>
      <w:tr w:rsidR="00605A9B" w14:paraId="19CEE98C" w14:textId="77777777" w:rsidTr="00574F62">
        <w:trPr>
          <w:cantSplit/>
        </w:trPr>
        <w:tc>
          <w:tcPr>
            <w:tcW w:w="1471" w:type="pct"/>
            <w:tcBorders>
              <w:top w:val="single" w:sz="4" w:space="0" w:color="auto"/>
              <w:bottom w:val="single" w:sz="4" w:space="0" w:color="auto"/>
            </w:tcBorders>
          </w:tcPr>
          <w:p w14:paraId="5A5D8C9D" w14:textId="6C23D932" w:rsidR="00605A9B" w:rsidRPr="002E4D78" w:rsidRDefault="00605A9B" w:rsidP="002E4D78">
            <w:pPr>
              <w:pStyle w:val="APVMATableText"/>
            </w:pPr>
            <w:r w:rsidRPr="002E4D78">
              <w:t>Livestock</w:t>
            </w:r>
          </w:p>
        </w:tc>
        <w:tc>
          <w:tcPr>
            <w:tcW w:w="1838" w:type="pct"/>
            <w:tcBorders>
              <w:top w:val="single" w:sz="4" w:space="0" w:color="auto"/>
              <w:bottom w:val="single" w:sz="4" w:space="0" w:color="auto"/>
            </w:tcBorders>
          </w:tcPr>
          <w:p w14:paraId="51E85500" w14:textId="36504BF3" w:rsidR="00605A9B" w:rsidRPr="002E4D78" w:rsidRDefault="00605A9B" w:rsidP="002E4D78">
            <w:pPr>
              <w:pStyle w:val="APVMATableText"/>
            </w:pPr>
            <w:r w:rsidRPr="002E4D78">
              <w:t>400 mg/kg</w:t>
            </w:r>
          </w:p>
        </w:tc>
        <w:tc>
          <w:tcPr>
            <w:tcW w:w="1691" w:type="pct"/>
            <w:tcBorders>
              <w:top w:val="single" w:sz="4" w:space="0" w:color="auto"/>
              <w:bottom w:val="single" w:sz="4" w:space="0" w:color="auto"/>
            </w:tcBorders>
          </w:tcPr>
          <w:p w14:paraId="5911C567" w14:textId="417E7BA0" w:rsidR="00605A9B" w:rsidRPr="002E4D78" w:rsidRDefault="00605A9B" w:rsidP="002E4D78">
            <w:pPr>
              <w:pStyle w:val="APVMATableText"/>
            </w:pPr>
            <w:r w:rsidRPr="002E4D78">
              <w:t>1.0900</w:t>
            </w:r>
          </w:p>
        </w:tc>
      </w:tr>
    </w:tbl>
    <w:p w14:paraId="7ED7485C" w14:textId="44AB0E60" w:rsidR="00605A9B" w:rsidRDefault="00605A9B" w:rsidP="00605A9B">
      <w:pPr>
        <w:pStyle w:val="APVMASourceTableNote"/>
        <w:rPr>
          <w:rFonts w:eastAsia="Calibri"/>
        </w:rPr>
      </w:pPr>
      <w:r w:rsidRPr="005C317E">
        <w:rPr>
          <w:rFonts w:eastAsia="Calibri"/>
          <w:vertAlign w:val="superscript"/>
        </w:rPr>
        <w:t>1</w:t>
      </w:r>
      <w:r w:rsidRPr="005C317E">
        <w:rPr>
          <w:rFonts w:eastAsia="Calibri"/>
        </w:rPr>
        <w:t xml:space="preserve">Maximum label active constituent application rate is </w:t>
      </w:r>
      <w:r>
        <w:rPr>
          <w:rFonts w:eastAsia="Calibri"/>
        </w:rPr>
        <w:t>11</w:t>
      </w:r>
      <w:r w:rsidRPr="005C317E">
        <w:rPr>
          <w:rFonts w:eastAsia="Calibri"/>
        </w:rPr>
        <w:t>00 g ac/ha</w:t>
      </w:r>
    </w:p>
    <w:p w14:paraId="5C373D22" w14:textId="60E0A59C" w:rsidR="00DE170C" w:rsidRDefault="00605A9B" w:rsidP="00605A9B">
      <w:pPr>
        <w:pStyle w:val="NormalText"/>
        <w:rPr>
          <w:rFonts w:eastAsia="Calibri"/>
          <w:lang w:val="en-US"/>
        </w:rPr>
      </w:pPr>
      <w:r w:rsidRPr="005C317E">
        <w:rPr>
          <w:rFonts w:eastAsia="Calibri"/>
          <w:lang w:val="en-US"/>
        </w:rPr>
        <w:t xml:space="preserve">An extract from the label using the proposed framework given in this manual is shown in </w:t>
      </w:r>
      <w:r w:rsidR="00460E9D">
        <w:rPr>
          <w:rFonts w:eastAsia="Calibri"/>
          <w:lang w:val="en-US"/>
        </w:rPr>
        <w:t>f</w:t>
      </w:r>
      <w:r w:rsidRPr="005C317E">
        <w:rPr>
          <w:rFonts w:eastAsia="Calibri"/>
          <w:lang w:val="en-US"/>
        </w:rPr>
        <w:t xml:space="preserve">igure </w:t>
      </w:r>
      <w:r>
        <w:rPr>
          <w:rFonts w:eastAsia="Calibri"/>
          <w:lang w:val="en-US"/>
        </w:rPr>
        <w:t>16</w:t>
      </w:r>
      <w:r w:rsidRPr="005C317E">
        <w:rPr>
          <w:rFonts w:eastAsia="Calibri"/>
          <w:lang w:val="en-US"/>
        </w:rPr>
        <w:t>.</w:t>
      </w:r>
    </w:p>
    <w:p w14:paraId="4BBDC787" w14:textId="77777777" w:rsidR="00605A9B" w:rsidRPr="00605A9B" w:rsidRDefault="00605A9B" w:rsidP="00605A9B">
      <w:pPr>
        <w:pStyle w:val="Caption"/>
        <w:rPr>
          <w:rFonts w:eastAsia="Calibri"/>
        </w:rPr>
      </w:pPr>
      <w:r w:rsidRPr="00605A9B">
        <w:rPr>
          <w:rFonts w:eastAsia="Calibri"/>
        </w:rPr>
        <w:lastRenderedPageBreak/>
        <w:t>Figure 16: Extract from product label with the framework described in this manual</w:t>
      </w:r>
    </w:p>
    <w:tbl>
      <w:tblPr>
        <w:tblStyle w:val="TableGrid"/>
        <w:tblW w:w="5000" w:type="pct"/>
        <w:shd w:val="clear" w:color="auto" w:fill="B9C9D0"/>
        <w:tblLook w:val="04A0" w:firstRow="1" w:lastRow="0" w:firstColumn="1" w:lastColumn="0" w:noHBand="0" w:noVBand="1"/>
        <w:tblCaption w:val="Extract from product label with proposed framework"/>
        <w:tblDescription w:val="Spray drift restraints and buffer zones for boom sprayers and aircraft that would appear on the label according to the proposed APVMA spray drift approach.&#10;"/>
      </w:tblPr>
      <w:tblGrid>
        <w:gridCol w:w="9628"/>
      </w:tblGrid>
      <w:tr w:rsidR="00D6004F" w:rsidRPr="00D6004F" w14:paraId="3E0D75BA" w14:textId="77777777" w:rsidTr="00D6004F">
        <w:trPr>
          <w:tblHeader/>
        </w:trPr>
        <w:tc>
          <w:tcPr>
            <w:tcW w:w="5000" w:type="pct"/>
            <w:shd w:val="clear" w:color="auto" w:fill="B9C9D0"/>
          </w:tcPr>
          <w:p w14:paraId="5340A30B" w14:textId="77777777" w:rsidR="00D6004F" w:rsidRPr="00D6004F" w:rsidRDefault="00D6004F" w:rsidP="00D6004F">
            <w:pPr>
              <w:pStyle w:val="APVMATableText"/>
              <w:rPr>
                <w:rFonts w:eastAsia="Calibri"/>
                <w:b/>
              </w:rPr>
            </w:pPr>
            <w:r w:rsidRPr="00D6004F">
              <w:rPr>
                <w:rFonts w:eastAsia="Calibri"/>
                <w:b/>
              </w:rPr>
              <w:t>SPRAY DRIFT RESTRAINTS</w:t>
            </w:r>
          </w:p>
          <w:p w14:paraId="71BBC239" w14:textId="322C1EF4" w:rsidR="00D6004F" w:rsidRPr="00D6004F" w:rsidRDefault="00D6004F" w:rsidP="00D6004F">
            <w:pPr>
              <w:pStyle w:val="APVMATableText"/>
              <w:spacing w:before="60" w:after="60"/>
              <w:rPr>
                <w:rFonts w:eastAsia="Calibri"/>
              </w:rPr>
            </w:pPr>
            <w:r w:rsidRPr="00D6004F">
              <w:rPr>
                <w:rFonts w:eastAsia="Calibri"/>
              </w:rPr>
              <w:t xml:space="preserve">Specific definitions for terms used in this section of the label can be found at </w:t>
            </w:r>
            <w:hyperlink r:id="rId104">
              <w:r w:rsidRPr="00D6004F">
                <w:rPr>
                  <w:rFonts w:eastAsia="Calibri"/>
                </w:rPr>
                <w:t>apvma.gov.au/spraydrift</w:t>
              </w:r>
            </w:hyperlink>
            <w:r w:rsidRPr="00D6004F">
              <w:rPr>
                <w:rFonts w:eastAsia="Calibri"/>
              </w:rPr>
              <w:t>.</w:t>
            </w:r>
          </w:p>
          <w:p w14:paraId="4B16EDC2" w14:textId="77777777" w:rsidR="00D6004F" w:rsidRPr="00D6004F" w:rsidRDefault="00D6004F" w:rsidP="00D6004F">
            <w:pPr>
              <w:pStyle w:val="APVMATableText"/>
              <w:spacing w:before="60" w:after="60"/>
              <w:rPr>
                <w:rFonts w:eastAsia="Calibri"/>
              </w:rPr>
            </w:pPr>
            <w:r w:rsidRPr="00D6004F">
              <w:rPr>
                <w:rFonts w:eastAsia="Calibri"/>
                <w:b/>
              </w:rPr>
              <w:t xml:space="preserve">DO NOT </w:t>
            </w:r>
            <w:r w:rsidRPr="00D6004F">
              <w:rPr>
                <w:rFonts w:eastAsia="Calibri"/>
              </w:rPr>
              <w:t>allow bystanders to come into contact with the spray cloud.</w:t>
            </w:r>
          </w:p>
          <w:p w14:paraId="49ABF86D" w14:textId="77777777" w:rsidR="00D6004F" w:rsidRPr="00D6004F" w:rsidRDefault="00D6004F" w:rsidP="00D6004F">
            <w:pPr>
              <w:pStyle w:val="APVMATableText"/>
              <w:spacing w:before="60" w:after="60"/>
              <w:rPr>
                <w:rFonts w:eastAsia="Calibri"/>
              </w:rPr>
            </w:pPr>
            <w:r w:rsidRPr="00D6004F">
              <w:rPr>
                <w:rFonts w:eastAsia="Calibri"/>
                <w:b/>
              </w:rPr>
              <w:t xml:space="preserve">DO NOT </w:t>
            </w:r>
            <w:r w:rsidRPr="00D6004F">
              <w:rPr>
                <w:rFonts w:eastAsia="Calibri"/>
              </w:rPr>
              <w:t>apply in a manner that may cause an unacceptable impact to native vegetation, agricultural crops, landscaped gardens and aquaculture production, or cause contamination of plant or livestock commodities, outside the application site from spray drift. The buffer zones in the relevant buffer zone table/s below provide guidance but may not be sufficient in all situations. Wherever possible, correctly use application equipment designed to reduce spray drift and apply when the wind direction is away from these sensitive areas.</w:t>
            </w:r>
          </w:p>
          <w:p w14:paraId="65665C57" w14:textId="77777777" w:rsidR="00D6004F" w:rsidRPr="00D6004F" w:rsidRDefault="00D6004F" w:rsidP="00D6004F">
            <w:pPr>
              <w:pStyle w:val="APVMATableText"/>
              <w:spacing w:before="60" w:after="60"/>
              <w:rPr>
                <w:rFonts w:eastAsia="Calibri"/>
              </w:rPr>
            </w:pPr>
            <w:r w:rsidRPr="00D6004F">
              <w:rPr>
                <w:rFonts w:eastAsia="Calibri"/>
                <w:b/>
              </w:rPr>
              <w:t xml:space="preserve">DO NOT </w:t>
            </w:r>
            <w:r w:rsidRPr="00D6004F">
              <w:rPr>
                <w:rFonts w:eastAsia="Calibri"/>
              </w:rPr>
              <w:t>apply unless the wind speed is between 3 and 20 kilometres per hour at the application site during the time of application.</w:t>
            </w:r>
          </w:p>
          <w:p w14:paraId="22F16148" w14:textId="77777777" w:rsidR="00D6004F" w:rsidRPr="00D6004F" w:rsidRDefault="00D6004F" w:rsidP="00D6004F">
            <w:pPr>
              <w:pStyle w:val="APVMATableText"/>
              <w:spacing w:before="60" w:after="60"/>
              <w:rPr>
                <w:rFonts w:eastAsia="Calibri"/>
              </w:rPr>
            </w:pPr>
            <w:r w:rsidRPr="00D6004F">
              <w:rPr>
                <w:rFonts w:eastAsia="Calibri"/>
                <w:b/>
              </w:rPr>
              <w:t>DO NOT</w:t>
            </w:r>
            <w:r w:rsidRPr="00D6004F">
              <w:rPr>
                <w:rFonts w:eastAsia="Calibri"/>
              </w:rPr>
              <w:t xml:space="preserve"> apply if there are hazardous surface temperature inversion conditions present at the application site during the time of application.</w:t>
            </w:r>
            <w:r w:rsidRPr="00D6004F">
              <w:t xml:space="preserve"> </w:t>
            </w:r>
            <w:r w:rsidRPr="00D6004F">
              <w:rPr>
                <w:rFonts w:eastAsia="Calibri"/>
              </w:rPr>
              <w:t>Surface temperature inversion conditions exist most evenings one to two hours before sunset and persist until one to two hours after sunrise.</w:t>
            </w:r>
          </w:p>
          <w:p w14:paraId="212DBB4F" w14:textId="77777777" w:rsidR="00D6004F" w:rsidRPr="00D6004F" w:rsidRDefault="00D6004F" w:rsidP="00D6004F">
            <w:pPr>
              <w:pStyle w:val="APVMATableText"/>
              <w:spacing w:before="60" w:after="60"/>
              <w:rPr>
                <w:rFonts w:eastAsia="Calibri"/>
              </w:rPr>
            </w:pPr>
            <w:r w:rsidRPr="00D6004F">
              <w:rPr>
                <w:rFonts w:eastAsia="Calibri"/>
                <w:b/>
              </w:rPr>
              <w:t>DO NOT</w:t>
            </w:r>
            <w:r w:rsidRPr="00D6004F">
              <w:rPr>
                <w:rFonts w:eastAsia="Calibri"/>
              </w:rPr>
              <w:t xml:space="preserve"> apply by a boom sprayer unless the following requirements are met:</w:t>
            </w:r>
          </w:p>
          <w:p w14:paraId="7277895B" w14:textId="77777777" w:rsidR="00D6004F" w:rsidRPr="00D6004F" w:rsidRDefault="00D6004F" w:rsidP="00D6004F">
            <w:pPr>
              <w:pStyle w:val="APVMATableBullet"/>
              <w:spacing w:before="60"/>
              <w:rPr>
                <w:rFonts w:eastAsia="Calibri"/>
                <w:color w:val="auto"/>
              </w:rPr>
            </w:pPr>
            <w:r w:rsidRPr="00D6004F">
              <w:rPr>
                <w:rFonts w:eastAsia="Calibri"/>
                <w:color w:val="auto"/>
              </w:rPr>
              <w:t>spray droplets not smaller than a MEDIUM spray droplet size category</w:t>
            </w:r>
          </w:p>
          <w:p w14:paraId="6EDD6915" w14:textId="262323B3" w:rsidR="00D6004F" w:rsidRPr="00D6004F" w:rsidRDefault="00D6004F" w:rsidP="00D6004F">
            <w:pPr>
              <w:pStyle w:val="APVMATableBullet"/>
              <w:spacing w:before="60"/>
              <w:rPr>
                <w:rFonts w:eastAsia="Calibri"/>
                <w:color w:val="auto"/>
              </w:rPr>
            </w:pPr>
            <w:r w:rsidRPr="00D6004F">
              <w:rPr>
                <w:rFonts w:eastAsia="Calibri"/>
                <w:color w:val="auto"/>
              </w:rPr>
              <w:t>minimum distances between the application site and downwind sensitive areas (see ‘Mandatory buffer zones’ section of the following table titled ‘Buffer zones for boom sprayers’) are observed.</w:t>
            </w:r>
          </w:p>
          <w:p w14:paraId="3F1542BD" w14:textId="77777777" w:rsidR="00D6004F" w:rsidRPr="00D6004F" w:rsidRDefault="00D6004F" w:rsidP="00D6004F">
            <w:pPr>
              <w:pStyle w:val="APVMATableText"/>
              <w:rPr>
                <w:rFonts w:eastAsia="Calibri"/>
                <w:b/>
              </w:rPr>
            </w:pPr>
            <w:r w:rsidRPr="00D6004F">
              <w:rPr>
                <w:rFonts w:eastAsia="Calibri"/>
                <w:b/>
                <w:lang w:val="en-US"/>
              </w:rPr>
              <w:t>Buffer zones for boom</w:t>
            </w:r>
            <w:r w:rsidRPr="00D6004F">
              <w:rPr>
                <w:rFonts w:eastAsia="Calibri"/>
                <w:b/>
                <w:spacing w:val="-11"/>
                <w:lang w:val="en-US"/>
              </w:rPr>
              <w:t xml:space="preserve"> </w:t>
            </w:r>
            <w:r w:rsidRPr="00D6004F">
              <w:rPr>
                <w:rFonts w:eastAsia="Calibri"/>
                <w:b/>
                <w:lang w:val="en-US"/>
              </w:rPr>
              <w:t>sprayers</w:t>
            </w:r>
          </w:p>
          <w:tbl>
            <w:tblPr>
              <w:tblW w:w="5000" w:type="pct"/>
              <w:tblCellMar>
                <w:left w:w="0" w:type="dxa"/>
                <w:right w:w="0" w:type="dxa"/>
              </w:tblCellMar>
              <w:tblLook w:val="04A0" w:firstRow="1" w:lastRow="0" w:firstColumn="1" w:lastColumn="0" w:noHBand="0" w:noVBand="1"/>
            </w:tblPr>
            <w:tblGrid>
              <w:gridCol w:w="1335"/>
              <w:gridCol w:w="1466"/>
              <w:gridCol w:w="1319"/>
              <w:gridCol w:w="1466"/>
              <w:gridCol w:w="1173"/>
              <w:gridCol w:w="1319"/>
              <w:gridCol w:w="1319"/>
            </w:tblGrid>
            <w:tr w:rsidR="00D6004F" w:rsidRPr="00D6004F" w14:paraId="26638DF2" w14:textId="77777777" w:rsidTr="00D6004F">
              <w:tc>
                <w:tcPr>
                  <w:tcW w:w="710" w:type="pct"/>
                  <w:vMerge w:val="restart"/>
                  <w:tcBorders>
                    <w:top w:val="single" w:sz="4" w:space="0" w:color="auto"/>
                    <w:left w:val="single" w:sz="4" w:space="0" w:color="auto"/>
                    <w:right w:val="single" w:sz="4" w:space="0" w:color="auto"/>
                  </w:tcBorders>
                  <w:vAlign w:val="center"/>
                </w:tcPr>
                <w:p w14:paraId="2DAE2D18" w14:textId="77777777" w:rsidR="00D6004F" w:rsidRPr="00D6004F" w:rsidRDefault="00D6004F" w:rsidP="00D6004F">
                  <w:pPr>
                    <w:pStyle w:val="APVMATableText"/>
                  </w:pPr>
                  <w:r w:rsidRPr="00D6004F">
                    <w:t>Application rate</w:t>
                  </w:r>
                </w:p>
              </w:tc>
              <w:tc>
                <w:tcPr>
                  <w:tcW w:w="780" w:type="pct"/>
                  <w:vMerge w:val="restar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0E04C2CB" w14:textId="77777777" w:rsidR="00D6004F" w:rsidRPr="00D6004F" w:rsidRDefault="00D6004F" w:rsidP="00D6004F">
                  <w:pPr>
                    <w:pStyle w:val="APVMATableText"/>
                  </w:pPr>
                  <w:r w:rsidRPr="00D6004F">
                    <w:t>Boom height above the target canopy</w:t>
                  </w:r>
                </w:p>
              </w:tc>
              <w:tc>
                <w:tcPr>
                  <w:tcW w:w="3510" w:type="pct"/>
                  <w:gridSpan w:val="5"/>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67B1ADC0" w14:textId="77777777" w:rsidR="00D6004F" w:rsidRPr="00D6004F" w:rsidRDefault="00D6004F" w:rsidP="00D6004F">
                  <w:pPr>
                    <w:pStyle w:val="APVMATableText"/>
                  </w:pPr>
                  <w:r w:rsidRPr="00D6004F">
                    <w:t>Mandatory downwind buffer zones</w:t>
                  </w:r>
                </w:p>
              </w:tc>
            </w:tr>
            <w:tr w:rsidR="00D6004F" w:rsidRPr="00D6004F" w14:paraId="5543D7C5" w14:textId="77777777" w:rsidTr="00D6004F">
              <w:tc>
                <w:tcPr>
                  <w:tcW w:w="710" w:type="pct"/>
                  <w:vMerge/>
                  <w:tcBorders>
                    <w:left w:val="single" w:sz="4" w:space="0" w:color="auto"/>
                    <w:bottom w:val="single" w:sz="8" w:space="0" w:color="auto"/>
                    <w:right w:val="single" w:sz="4" w:space="0" w:color="auto"/>
                  </w:tcBorders>
                  <w:vAlign w:val="center"/>
                </w:tcPr>
                <w:p w14:paraId="544945AB" w14:textId="77777777" w:rsidR="00D6004F" w:rsidRPr="00D6004F" w:rsidRDefault="00D6004F" w:rsidP="00D6004F">
                  <w:pPr>
                    <w:pStyle w:val="APVMATableText"/>
                    <w:rPr>
                      <w:rFonts w:eastAsiaTheme="minorHAnsi"/>
                    </w:rPr>
                  </w:pPr>
                </w:p>
              </w:tc>
              <w:tc>
                <w:tcPr>
                  <w:tcW w:w="780" w:type="pct"/>
                  <w:vMerge/>
                  <w:tcBorders>
                    <w:top w:val="nil"/>
                    <w:left w:val="single" w:sz="4" w:space="0" w:color="auto"/>
                    <w:bottom w:val="single" w:sz="8" w:space="0" w:color="auto"/>
                    <w:right w:val="single" w:sz="8" w:space="0" w:color="auto"/>
                  </w:tcBorders>
                  <w:vAlign w:val="center"/>
                  <w:hideMark/>
                </w:tcPr>
                <w:p w14:paraId="1A029946" w14:textId="77777777" w:rsidR="00D6004F" w:rsidRPr="00D6004F" w:rsidRDefault="00D6004F" w:rsidP="00D6004F">
                  <w:pPr>
                    <w:pStyle w:val="APVMATableText"/>
                    <w:rPr>
                      <w:rFonts w:eastAsiaTheme="minorHAnsi"/>
                    </w:rPr>
                  </w:pPr>
                </w:p>
              </w:tc>
              <w:tc>
                <w:tcPr>
                  <w:tcW w:w="7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BED856" w14:textId="77777777" w:rsidR="00D6004F" w:rsidRPr="00D6004F" w:rsidRDefault="00D6004F" w:rsidP="00D6004F">
                  <w:pPr>
                    <w:pStyle w:val="APVMATableText"/>
                  </w:pPr>
                  <w:r w:rsidRPr="00D6004F">
                    <w:t>Bystander areas</w:t>
                  </w:r>
                </w:p>
              </w:tc>
              <w:tc>
                <w:tcPr>
                  <w:tcW w:w="78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7E4723" w14:textId="77777777" w:rsidR="00D6004F" w:rsidRPr="00D6004F" w:rsidRDefault="00D6004F" w:rsidP="00D6004F">
                  <w:pPr>
                    <w:pStyle w:val="APVMATableText"/>
                  </w:pPr>
                  <w:r w:rsidRPr="00D6004F">
                    <w:t>Natural aquatic areas</w:t>
                  </w:r>
                </w:p>
              </w:tc>
              <w:tc>
                <w:tcPr>
                  <w:tcW w:w="62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B7BF922" w14:textId="77777777" w:rsidR="00D6004F" w:rsidRPr="00D6004F" w:rsidRDefault="00D6004F" w:rsidP="00D6004F">
                  <w:pPr>
                    <w:pStyle w:val="APVMATableText"/>
                  </w:pPr>
                  <w:r w:rsidRPr="00D6004F">
                    <w:t>Pollinator areas</w:t>
                  </w:r>
                </w:p>
              </w:tc>
              <w:tc>
                <w:tcPr>
                  <w:tcW w:w="70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E116B03" w14:textId="77777777" w:rsidR="00D6004F" w:rsidRPr="00D6004F" w:rsidRDefault="00D6004F" w:rsidP="00D6004F">
                  <w:pPr>
                    <w:pStyle w:val="APVMATableText"/>
                  </w:pPr>
                  <w:r w:rsidRPr="00D6004F">
                    <w:t>Vegetation areas</w:t>
                  </w:r>
                </w:p>
              </w:tc>
              <w:tc>
                <w:tcPr>
                  <w:tcW w:w="70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432DE1" w14:textId="77777777" w:rsidR="00D6004F" w:rsidRPr="00D6004F" w:rsidRDefault="00D6004F" w:rsidP="00D6004F">
                  <w:pPr>
                    <w:pStyle w:val="APVMATableText"/>
                  </w:pPr>
                  <w:r w:rsidRPr="00D6004F">
                    <w:t>Livestock areas</w:t>
                  </w:r>
                </w:p>
              </w:tc>
            </w:tr>
            <w:tr w:rsidR="00D6004F" w:rsidRPr="00D6004F" w14:paraId="720CDC3F" w14:textId="77777777" w:rsidTr="00D6004F">
              <w:tc>
                <w:tcPr>
                  <w:tcW w:w="710" w:type="pct"/>
                  <w:vMerge w:val="restart"/>
                  <w:tcBorders>
                    <w:top w:val="single" w:sz="8" w:space="0" w:color="auto"/>
                    <w:left w:val="single" w:sz="4" w:space="0" w:color="auto"/>
                    <w:right w:val="single" w:sz="4" w:space="0" w:color="auto"/>
                  </w:tcBorders>
                  <w:vAlign w:val="center"/>
                </w:tcPr>
                <w:p w14:paraId="26B981E6" w14:textId="77777777" w:rsidR="00D6004F" w:rsidRPr="00D6004F" w:rsidRDefault="00D6004F" w:rsidP="00D6004F">
                  <w:pPr>
                    <w:pStyle w:val="APVMATableText"/>
                  </w:pPr>
                  <w:r w:rsidRPr="00D6004F">
                    <w:t>Up to maximum label rate</w:t>
                  </w:r>
                </w:p>
              </w:tc>
              <w:tc>
                <w:tcPr>
                  <w:tcW w:w="780" w:type="pct"/>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35B92C85" w14:textId="77777777" w:rsidR="00D6004F" w:rsidRPr="00D6004F" w:rsidRDefault="00D6004F" w:rsidP="00D6004F">
                  <w:pPr>
                    <w:pStyle w:val="APVMATableText"/>
                  </w:pPr>
                  <w:r w:rsidRPr="00D6004F">
                    <w:t>0.5 m or lower</w:t>
                  </w:r>
                </w:p>
              </w:tc>
              <w:tc>
                <w:tcPr>
                  <w:tcW w:w="7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EDCD99" w14:textId="77777777" w:rsidR="00D6004F" w:rsidRPr="00D6004F" w:rsidRDefault="00D6004F" w:rsidP="00D6004F">
                  <w:pPr>
                    <w:pStyle w:val="APVMATableText"/>
                  </w:pPr>
                  <w:r w:rsidRPr="00D6004F">
                    <w:rPr>
                      <w:rFonts w:eastAsia="Calibri"/>
                    </w:rPr>
                    <w:t>Not required</w:t>
                  </w:r>
                </w:p>
              </w:tc>
              <w:tc>
                <w:tcPr>
                  <w:tcW w:w="7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F533E9" w14:textId="77777777" w:rsidR="00D6004F" w:rsidRPr="00D6004F" w:rsidRDefault="00D6004F" w:rsidP="00D6004F">
                  <w:pPr>
                    <w:pStyle w:val="APVMATableText"/>
                  </w:pPr>
                  <w:r w:rsidRPr="00D6004F">
                    <w:t>20 metres</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D53681" w14:textId="77777777" w:rsidR="00D6004F" w:rsidRPr="00D6004F" w:rsidRDefault="00D6004F" w:rsidP="00D6004F">
                  <w:pPr>
                    <w:pStyle w:val="APVMATableText"/>
                  </w:pPr>
                  <w:r w:rsidRPr="00D6004F">
                    <w:t>5 metres</w:t>
                  </w:r>
                </w:p>
              </w:tc>
              <w:tc>
                <w:tcPr>
                  <w:tcW w:w="7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98C9EE" w14:textId="77777777" w:rsidR="00D6004F" w:rsidRPr="00D6004F" w:rsidRDefault="00D6004F" w:rsidP="00D6004F">
                  <w:pPr>
                    <w:pStyle w:val="APVMATableText"/>
                  </w:pPr>
                  <w:r w:rsidRPr="00D6004F">
                    <w:rPr>
                      <w:rFonts w:eastAsia="Calibri"/>
                    </w:rPr>
                    <w:t>Not required</w:t>
                  </w:r>
                </w:p>
              </w:tc>
              <w:tc>
                <w:tcPr>
                  <w:tcW w:w="7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878BD9" w14:textId="77777777" w:rsidR="00D6004F" w:rsidRPr="00D6004F" w:rsidRDefault="00D6004F" w:rsidP="00D6004F">
                  <w:pPr>
                    <w:pStyle w:val="APVMATableText"/>
                  </w:pPr>
                  <w:r w:rsidRPr="00D6004F">
                    <w:rPr>
                      <w:rFonts w:eastAsia="Calibri"/>
                    </w:rPr>
                    <w:t>Not required</w:t>
                  </w:r>
                </w:p>
              </w:tc>
            </w:tr>
            <w:tr w:rsidR="00D6004F" w:rsidRPr="00D6004F" w14:paraId="632E19DE" w14:textId="77777777" w:rsidTr="00D6004F">
              <w:tc>
                <w:tcPr>
                  <w:tcW w:w="710" w:type="pct"/>
                  <w:vMerge/>
                  <w:tcBorders>
                    <w:left w:val="single" w:sz="4" w:space="0" w:color="auto"/>
                    <w:bottom w:val="single" w:sz="8" w:space="0" w:color="auto"/>
                    <w:right w:val="single" w:sz="4" w:space="0" w:color="auto"/>
                  </w:tcBorders>
                  <w:vAlign w:val="center"/>
                </w:tcPr>
                <w:p w14:paraId="726A439C" w14:textId="77777777" w:rsidR="00D6004F" w:rsidRPr="00D6004F" w:rsidRDefault="00D6004F" w:rsidP="00D6004F">
                  <w:pPr>
                    <w:pStyle w:val="APVMATableText"/>
                  </w:pPr>
                </w:p>
              </w:tc>
              <w:tc>
                <w:tcPr>
                  <w:tcW w:w="780" w:type="pct"/>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71B0B912" w14:textId="77777777" w:rsidR="00D6004F" w:rsidRPr="00D6004F" w:rsidRDefault="00D6004F" w:rsidP="00D6004F">
                  <w:pPr>
                    <w:pStyle w:val="APVMATableText"/>
                  </w:pPr>
                  <w:r w:rsidRPr="00D6004F">
                    <w:t>1.0 m or lower</w:t>
                  </w:r>
                </w:p>
              </w:tc>
              <w:tc>
                <w:tcPr>
                  <w:tcW w:w="7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B8DC0E" w14:textId="77777777" w:rsidR="00D6004F" w:rsidRPr="00D6004F" w:rsidRDefault="00D6004F" w:rsidP="00D6004F">
                  <w:pPr>
                    <w:pStyle w:val="APVMATableText"/>
                  </w:pPr>
                  <w:r w:rsidRPr="00D6004F">
                    <w:rPr>
                      <w:rFonts w:eastAsia="Calibri"/>
                    </w:rPr>
                    <w:t>Not required</w:t>
                  </w:r>
                </w:p>
              </w:tc>
              <w:tc>
                <w:tcPr>
                  <w:tcW w:w="7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EC9F3" w14:textId="77777777" w:rsidR="00D6004F" w:rsidRPr="00D6004F" w:rsidRDefault="00D6004F" w:rsidP="00D6004F">
                  <w:pPr>
                    <w:pStyle w:val="APVMATableText"/>
                  </w:pPr>
                  <w:r w:rsidRPr="00D6004F">
                    <w:t>55 metres</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F61FFB" w14:textId="77777777" w:rsidR="00D6004F" w:rsidRPr="00D6004F" w:rsidRDefault="00D6004F" w:rsidP="00D6004F">
                  <w:pPr>
                    <w:pStyle w:val="APVMATableText"/>
                  </w:pPr>
                  <w:r w:rsidRPr="00D6004F">
                    <w:t>30 metres</w:t>
                  </w:r>
                </w:p>
              </w:tc>
              <w:tc>
                <w:tcPr>
                  <w:tcW w:w="7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35BC92" w14:textId="77777777" w:rsidR="00D6004F" w:rsidRPr="00D6004F" w:rsidRDefault="00D6004F" w:rsidP="00D6004F">
                  <w:pPr>
                    <w:pStyle w:val="APVMATableText"/>
                  </w:pPr>
                  <w:r w:rsidRPr="00D6004F">
                    <w:rPr>
                      <w:rFonts w:eastAsia="Calibri"/>
                    </w:rPr>
                    <w:t>Not required</w:t>
                  </w:r>
                </w:p>
              </w:tc>
              <w:tc>
                <w:tcPr>
                  <w:tcW w:w="7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900574" w14:textId="77777777" w:rsidR="00D6004F" w:rsidRPr="00D6004F" w:rsidRDefault="00D6004F" w:rsidP="00D6004F">
                  <w:pPr>
                    <w:pStyle w:val="APVMATableText"/>
                  </w:pPr>
                  <w:r w:rsidRPr="00D6004F">
                    <w:rPr>
                      <w:rFonts w:eastAsia="Calibri"/>
                    </w:rPr>
                    <w:t>Not required</w:t>
                  </w:r>
                </w:p>
              </w:tc>
            </w:tr>
          </w:tbl>
          <w:p w14:paraId="62263224" w14:textId="77777777" w:rsidR="00D6004F" w:rsidRPr="00D6004F" w:rsidRDefault="00D6004F" w:rsidP="00D6004F">
            <w:pPr>
              <w:pStyle w:val="APVMATableText"/>
              <w:spacing w:before="60" w:after="60"/>
              <w:rPr>
                <w:rFonts w:eastAsia="Calibri"/>
              </w:rPr>
            </w:pPr>
            <w:r w:rsidRPr="00D6004F">
              <w:rPr>
                <w:rFonts w:eastAsia="Calibri"/>
                <w:b/>
              </w:rPr>
              <w:t>DO NOT</w:t>
            </w:r>
            <w:r w:rsidRPr="00D6004F">
              <w:rPr>
                <w:rFonts w:eastAsia="Calibri"/>
              </w:rPr>
              <w:t xml:space="preserve"> apply by a vertical sprayer unless the following requirements are met:</w:t>
            </w:r>
          </w:p>
          <w:p w14:paraId="6E5E7773" w14:textId="77777777" w:rsidR="00D6004F" w:rsidRPr="00D6004F" w:rsidRDefault="00D6004F" w:rsidP="00D6004F">
            <w:pPr>
              <w:pStyle w:val="APVMATableBullet"/>
              <w:spacing w:before="60"/>
              <w:rPr>
                <w:rFonts w:eastAsia="Calibri"/>
                <w:color w:val="auto"/>
              </w:rPr>
            </w:pPr>
            <w:r w:rsidRPr="00D6004F">
              <w:rPr>
                <w:rFonts w:eastAsia="Calibri"/>
                <w:color w:val="auto"/>
              </w:rPr>
              <w:t>spray is not directed above the target canopy</w:t>
            </w:r>
          </w:p>
          <w:p w14:paraId="391977F4" w14:textId="77777777" w:rsidR="00D6004F" w:rsidRPr="00D6004F" w:rsidRDefault="00D6004F" w:rsidP="00D6004F">
            <w:pPr>
              <w:pStyle w:val="APVMATableBullet"/>
              <w:spacing w:before="60"/>
              <w:rPr>
                <w:rFonts w:eastAsia="Calibri"/>
                <w:color w:val="auto"/>
              </w:rPr>
            </w:pPr>
            <w:r w:rsidRPr="00D6004F">
              <w:rPr>
                <w:rFonts w:eastAsia="Calibri"/>
                <w:color w:val="auto"/>
              </w:rPr>
              <w:t>the outside of the sprayer is turned off when turning at the end of rows and when spraying the outer row on each side of the application site</w:t>
            </w:r>
          </w:p>
          <w:p w14:paraId="211BAB2D" w14:textId="77777777" w:rsidR="00D6004F" w:rsidRDefault="00D6004F" w:rsidP="00D6004F">
            <w:pPr>
              <w:pStyle w:val="APVMATableBullet"/>
              <w:spacing w:before="60"/>
              <w:rPr>
                <w:rFonts w:eastAsia="Calibri"/>
                <w:color w:val="auto"/>
              </w:rPr>
            </w:pPr>
            <w:r w:rsidRPr="00D6004F">
              <w:rPr>
                <w:rFonts w:eastAsia="Calibri"/>
                <w:color w:val="auto"/>
              </w:rPr>
              <w:t>for dilute water rates up to the maximum listed for each type of canopy specified, minimum distances between the application site and downwind sensitive areas (see ‘Buffer zones’ section of the following table titled ‘Buffer zones for vertical sprayers’) are observed.</w:t>
            </w:r>
          </w:p>
          <w:p w14:paraId="60E94847" w14:textId="79C93B4B" w:rsidR="00D6004F" w:rsidRPr="00D6004F" w:rsidRDefault="00D6004F" w:rsidP="00D6004F">
            <w:pPr>
              <w:pStyle w:val="APVMATableText"/>
              <w:rPr>
                <w:rFonts w:eastAsia="Calibri"/>
                <w:b/>
              </w:rPr>
            </w:pPr>
            <w:r w:rsidRPr="00D6004F">
              <w:rPr>
                <w:rFonts w:eastAsia="Calibri"/>
                <w:b/>
              </w:rPr>
              <w:t>Buffer zones for vertical sprayers</w:t>
            </w:r>
          </w:p>
          <w:tbl>
            <w:tblPr>
              <w:tblW w:w="5000" w:type="pct"/>
              <w:tblCellMar>
                <w:left w:w="0" w:type="dxa"/>
                <w:right w:w="0" w:type="dxa"/>
              </w:tblCellMar>
              <w:tblLook w:val="01E0" w:firstRow="1" w:lastRow="1" w:firstColumn="1" w:lastColumn="1" w:noHBand="0" w:noVBand="0"/>
            </w:tblPr>
            <w:tblGrid>
              <w:gridCol w:w="3482"/>
              <w:gridCol w:w="1175"/>
              <w:gridCol w:w="1151"/>
              <w:gridCol w:w="1294"/>
              <w:gridCol w:w="1151"/>
              <w:gridCol w:w="1149"/>
            </w:tblGrid>
            <w:tr w:rsidR="00D6004F" w:rsidRPr="00D6004F" w14:paraId="047058C5" w14:textId="77777777" w:rsidTr="00D6004F">
              <w:trPr>
                <w:trHeight w:hRule="exact" w:val="310"/>
              </w:trPr>
              <w:tc>
                <w:tcPr>
                  <w:tcW w:w="1852" w:type="pct"/>
                  <w:vMerge w:val="restart"/>
                  <w:tcBorders>
                    <w:top w:val="single" w:sz="4" w:space="0" w:color="000000"/>
                    <w:left w:val="single" w:sz="4" w:space="0" w:color="000000"/>
                    <w:right w:val="single" w:sz="4" w:space="0" w:color="000000"/>
                  </w:tcBorders>
                  <w:vAlign w:val="center"/>
                </w:tcPr>
                <w:p w14:paraId="38085E6A" w14:textId="77777777" w:rsidR="00D6004F" w:rsidRPr="00D6004F" w:rsidRDefault="00D6004F" w:rsidP="009B60F8">
                  <w:pPr>
                    <w:pStyle w:val="APVMATableText"/>
                    <w:spacing w:before="60" w:after="60"/>
                    <w:rPr>
                      <w:rFonts w:eastAsia="Arial"/>
                      <w:szCs w:val="17"/>
                      <w:lang w:val="en-US"/>
                    </w:rPr>
                  </w:pPr>
                  <w:r w:rsidRPr="00D6004F">
                    <w:rPr>
                      <w:rFonts w:eastAsia="Calibri"/>
                      <w:lang w:val="en-US"/>
                    </w:rPr>
                    <w:t>Type of</w:t>
                  </w:r>
                  <w:r w:rsidRPr="00D6004F">
                    <w:rPr>
                      <w:rFonts w:eastAsia="Calibri"/>
                      <w:spacing w:val="-8"/>
                      <w:lang w:val="en-US"/>
                    </w:rPr>
                    <w:t xml:space="preserve"> </w:t>
                  </w:r>
                  <w:r w:rsidRPr="00D6004F">
                    <w:rPr>
                      <w:rFonts w:eastAsia="Calibri"/>
                      <w:lang w:val="en-US"/>
                    </w:rPr>
                    <w:t>target canopy</w:t>
                  </w:r>
                </w:p>
              </w:tc>
              <w:tc>
                <w:tcPr>
                  <w:tcW w:w="3148" w:type="pct"/>
                  <w:gridSpan w:val="5"/>
                  <w:tcBorders>
                    <w:top w:val="single" w:sz="4" w:space="0" w:color="000000"/>
                    <w:left w:val="single" w:sz="4" w:space="0" w:color="000000"/>
                    <w:bottom w:val="single" w:sz="4" w:space="0" w:color="000000"/>
                    <w:right w:val="single" w:sz="4" w:space="0" w:color="000000"/>
                  </w:tcBorders>
                  <w:vAlign w:val="center"/>
                </w:tcPr>
                <w:p w14:paraId="341AD529" w14:textId="77777777" w:rsidR="00D6004F" w:rsidRPr="00D6004F" w:rsidRDefault="00D6004F" w:rsidP="009B60F8">
                  <w:pPr>
                    <w:pStyle w:val="APVMATableText"/>
                    <w:spacing w:before="60" w:after="60"/>
                    <w:rPr>
                      <w:rFonts w:eastAsia="Arial"/>
                      <w:szCs w:val="17"/>
                      <w:lang w:val="en-US"/>
                    </w:rPr>
                  </w:pPr>
                  <w:r w:rsidRPr="00D6004F">
                    <w:rPr>
                      <w:rFonts w:eastAsia="Calibri"/>
                      <w:lang w:val="en-US"/>
                    </w:rPr>
                    <w:t>Mandatory downwind buffer zones</w:t>
                  </w:r>
                </w:p>
              </w:tc>
            </w:tr>
            <w:tr w:rsidR="00D6004F" w:rsidRPr="00D6004F" w14:paraId="1A0139FC" w14:textId="77777777" w:rsidTr="00D6004F">
              <w:trPr>
                <w:trHeight w:hRule="exact" w:val="598"/>
              </w:trPr>
              <w:tc>
                <w:tcPr>
                  <w:tcW w:w="1852" w:type="pct"/>
                  <w:vMerge/>
                  <w:tcBorders>
                    <w:left w:val="single" w:sz="4" w:space="0" w:color="000000"/>
                    <w:bottom w:val="single" w:sz="4" w:space="0" w:color="000000"/>
                    <w:right w:val="single" w:sz="4" w:space="0" w:color="000000"/>
                  </w:tcBorders>
                  <w:vAlign w:val="center"/>
                </w:tcPr>
                <w:p w14:paraId="650A2CFE" w14:textId="77777777" w:rsidR="00D6004F" w:rsidRPr="00D6004F" w:rsidRDefault="00D6004F" w:rsidP="009B60F8">
                  <w:pPr>
                    <w:pStyle w:val="APVMATableText"/>
                    <w:spacing w:before="60" w:after="60"/>
                    <w:rPr>
                      <w:rFonts w:eastAsia="Calibri"/>
                      <w:lang w:val="en-U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526D0BA7" w14:textId="77777777" w:rsidR="00D6004F" w:rsidRPr="00D6004F" w:rsidRDefault="00D6004F" w:rsidP="009B60F8">
                  <w:pPr>
                    <w:pStyle w:val="APVMATableText"/>
                    <w:spacing w:before="60" w:after="60"/>
                    <w:rPr>
                      <w:rFonts w:eastAsia="Arial"/>
                      <w:szCs w:val="17"/>
                      <w:lang w:val="en-US"/>
                    </w:rPr>
                  </w:pPr>
                  <w:r w:rsidRPr="00D6004F">
                    <w:rPr>
                      <w:rFonts w:eastAsia="Calibri"/>
                      <w:lang w:val="en-US"/>
                    </w:rPr>
                    <w:t>Bystander</w:t>
                  </w:r>
                  <w:r w:rsidRPr="00D6004F">
                    <w:rPr>
                      <w:rFonts w:eastAsia="Calibri"/>
                      <w:spacing w:val="-13"/>
                      <w:lang w:val="en-US"/>
                    </w:rPr>
                    <w:t xml:space="preserve"> </w:t>
                  </w:r>
                  <w:r w:rsidRPr="00D6004F">
                    <w:rPr>
                      <w:rFonts w:eastAsia="Calibri"/>
                      <w:lang w:val="en-US"/>
                    </w:rPr>
                    <w:t>areas</w:t>
                  </w:r>
                </w:p>
              </w:tc>
              <w:tc>
                <w:tcPr>
                  <w:tcW w:w="612" w:type="pct"/>
                  <w:tcBorders>
                    <w:top w:val="single" w:sz="4" w:space="0" w:color="000000"/>
                    <w:left w:val="single" w:sz="4" w:space="0" w:color="000000"/>
                    <w:bottom w:val="single" w:sz="4" w:space="0" w:color="000000"/>
                    <w:right w:val="single" w:sz="4" w:space="0" w:color="000000"/>
                  </w:tcBorders>
                  <w:vAlign w:val="center"/>
                </w:tcPr>
                <w:p w14:paraId="3C64D76A" w14:textId="77777777" w:rsidR="00D6004F" w:rsidRPr="00D6004F" w:rsidRDefault="00D6004F" w:rsidP="009B60F8">
                  <w:pPr>
                    <w:pStyle w:val="APVMATableText"/>
                    <w:spacing w:before="60" w:after="60"/>
                    <w:rPr>
                      <w:rFonts w:eastAsia="Arial"/>
                      <w:szCs w:val="17"/>
                      <w:lang w:val="en-US"/>
                    </w:rPr>
                  </w:pPr>
                  <w:r w:rsidRPr="00D6004F">
                    <w:rPr>
                      <w:rFonts w:eastAsia="Calibri"/>
                      <w:lang w:val="en-US"/>
                    </w:rPr>
                    <w:t>Natural</w:t>
                  </w:r>
                  <w:r w:rsidRPr="00D6004F">
                    <w:rPr>
                      <w:rFonts w:eastAsia="Calibri"/>
                      <w:spacing w:val="-2"/>
                      <w:lang w:val="en-US"/>
                    </w:rPr>
                    <w:t xml:space="preserve"> </w:t>
                  </w:r>
                  <w:r w:rsidRPr="00D6004F">
                    <w:rPr>
                      <w:rFonts w:eastAsia="Calibri"/>
                      <w:lang w:val="en-US"/>
                    </w:rPr>
                    <w:t>aquatic areas</w:t>
                  </w:r>
                </w:p>
              </w:tc>
              <w:tc>
                <w:tcPr>
                  <w:tcW w:w="688" w:type="pct"/>
                  <w:tcBorders>
                    <w:top w:val="single" w:sz="4" w:space="0" w:color="000000"/>
                    <w:left w:val="single" w:sz="4" w:space="0" w:color="000000"/>
                    <w:bottom w:val="single" w:sz="4" w:space="0" w:color="000000"/>
                    <w:right w:val="single" w:sz="4" w:space="0" w:color="000000"/>
                  </w:tcBorders>
                  <w:vAlign w:val="center"/>
                </w:tcPr>
                <w:p w14:paraId="03A8DDDF" w14:textId="77777777" w:rsidR="00D6004F" w:rsidRPr="00D6004F" w:rsidRDefault="00D6004F" w:rsidP="009B60F8">
                  <w:pPr>
                    <w:pStyle w:val="APVMATableText"/>
                    <w:spacing w:before="60" w:after="60"/>
                    <w:rPr>
                      <w:rFonts w:eastAsia="Arial"/>
                      <w:szCs w:val="17"/>
                      <w:lang w:val="en-US"/>
                    </w:rPr>
                  </w:pPr>
                  <w:r w:rsidRPr="00D6004F">
                    <w:rPr>
                      <w:rFonts w:eastAsia="Calibri"/>
                      <w:lang w:val="en-US"/>
                    </w:rPr>
                    <w:t>Pollinator</w:t>
                  </w:r>
                  <w:r w:rsidRPr="00D6004F">
                    <w:rPr>
                      <w:rFonts w:eastAsia="Calibri"/>
                      <w:spacing w:val="-1"/>
                      <w:lang w:val="en-US"/>
                    </w:rPr>
                    <w:t xml:space="preserve"> </w:t>
                  </w:r>
                  <w:r w:rsidRPr="00D6004F">
                    <w:rPr>
                      <w:rFonts w:eastAsia="Calibri"/>
                      <w:lang w:val="en-US"/>
                    </w:rPr>
                    <w:t>areas</w:t>
                  </w:r>
                </w:p>
              </w:tc>
              <w:tc>
                <w:tcPr>
                  <w:tcW w:w="612" w:type="pct"/>
                  <w:tcBorders>
                    <w:top w:val="single" w:sz="4" w:space="0" w:color="000000"/>
                    <w:left w:val="single" w:sz="4" w:space="0" w:color="000000"/>
                    <w:bottom w:val="single" w:sz="4" w:space="0" w:color="000000"/>
                    <w:right w:val="single" w:sz="4" w:space="0" w:color="000000"/>
                  </w:tcBorders>
                  <w:vAlign w:val="center"/>
                </w:tcPr>
                <w:p w14:paraId="005457C2" w14:textId="77777777" w:rsidR="00D6004F" w:rsidRPr="00D6004F" w:rsidRDefault="00D6004F" w:rsidP="009B60F8">
                  <w:pPr>
                    <w:pStyle w:val="APVMATableText"/>
                    <w:spacing w:before="60" w:after="60"/>
                    <w:rPr>
                      <w:rFonts w:eastAsia="Arial"/>
                      <w:szCs w:val="17"/>
                      <w:lang w:val="en-US"/>
                    </w:rPr>
                  </w:pPr>
                  <w:r w:rsidRPr="00D6004F">
                    <w:rPr>
                      <w:rFonts w:eastAsia="Calibri"/>
                      <w:lang w:val="en-US"/>
                    </w:rPr>
                    <w:t>Vegetation</w:t>
                  </w:r>
                  <w:r w:rsidRPr="00D6004F">
                    <w:rPr>
                      <w:rFonts w:eastAsia="Calibri"/>
                      <w:spacing w:val="-15"/>
                      <w:lang w:val="en-US"/>
                    </w:rPr>
                    <w:t xml:space="preserve"> </w:t>
                  </w:r>
                  <w:r w:rsidRPr="00D6004F">
                    <w:rPr>
                      <w:rFonts w:eastAsia="Calibri"/>
                      <w:lang w:val="en-US"/>
                    </w:rPr>
                    <w:t>areas</w:t>
                  </w:r>
                </w:p>
              </w:tc>
              <w:tc>
                <w:tcPr>
                  <w:tcW w:w="612" w:type="pct"/>
                  <w:tcBorders>
                    <w:top w:val="single" w:sz="4" w:space="0" w:color="000000"/>
                    <w:left w:val="single" w:sz="4" w:space="0" w:color="000000"/>
                    <w:bottom w:val="single" w:sz="4" w:space="0" w:color="000000"/>
                    <w:right w:val="single" w:sz="4" w:space="0" w:color="000000"/>
                  </w:tcBorders>
                  <w:vAlign w:val="center"/>
                </w:tcPr>
                <w:p w14:paraId="3EB7533E" w14:textId="77777777" w:rsidR="00D6004F" w:rsidRPr="00D6004F" w:rsidRDefault="00D6004F" w:rsidP="009B60F8">
                  <w:pPr>
                    <w:pStyle w:val="APVMATableText"/>
                    <w:spacing w:before="60" w:after="60"/>
                    <w:rPr>
                      <w:rFonts w:eastAsia="Arial"/>
                      <w:szCs w:val="17"/>
                      <w:lang w:val="en-US"/>
                    </w:rPr>
                  </w:pPr>
                  <w:r w:rsidRPr="00D6004F">
                    <w:rPr>
                      <w:rFonts w:eastAsia="Calibri"/>
                      <w:lang w:val="en-US"/>
                    </w:rPr>
                    <w:t>Livestock areas</w:t>
                  </w:r>
                </w:p>
              </w:tc>
            </w:tr>
            <w:tr w:rsidR="00D6004F" w:rsidRPr="00D6004F" w14:paraId="3F287688" w14:textId="77777777" w:rsidTr="00D6004F">
              <w:trPr>
                <w:trHeight w:val="57"/>
              </w:trPr>
              <w:tc>
                <w:tcPr>
                  <w:tcW w:w="1852" w:type="pct"/>
                  <w:tcBorders>
                    <w:top w:val="single" w:sz="4" w:space="0" w:color="000000"/>
                    <w:left w:val="single" w:sz="4" w:space="0" w:color="000000"/>
                    <w:bottom w:val="single" w:sz="4" w:space="0" w:color="000000"/>
                    <w:right w:val="single" w:sz="4" w:space="0" w:color="000000"/>
                  </w:tcBorders>
                  <w:vAlign w:val="center"/>
                </w:tcPr>
                <w:p w14:paraId="3C1A2CD9" w14:textId="77777777" w:rsidR="00D6004F" w:rsidRPr="00D6004F" w:rsidRDefault="00D6004F" w:rsidP="009B60F8">
                  <w:pPr>
                    <w:pStyle w:val="APVMATableText"/>
                    <w:spacing w:before="60" w:after="60"/>
                    <w:rPr>
                      <w:rFonts w:eastAsia="Arial"/>
                      <w:szCs w:val="17"/>
                      <w:lang w:val="en-US"/>
                    </w:rPr>
                  </w:pPr>
                  <w:r w:rsidRPr="00D6004F">
                    <w:rPr>
                      <w:rFonts w:eastAsia="Calibri"/>
                      <w:lang w:val="en-US"/>
                    </w:rPr>
                    <w:t>2 metres tall and smaller, maximum dilute water rate of 1000 L/ha</w:t>
                  </w:r>
                </w:p>
              </w:tc>
              <w:tc>
                <w:tcPr>
                  <w:tcW w:w="625" w:type="pct"/>
                  <w:tcBorders>
                    <w:top w:val="single" w:sz="4" w:space="0" w:color="000000"/>
                    <w:left w:val="single" w:sz="4" w:space="0" w:color="000000"/>
                    <w:bottom w:val="single" w:sz="4" w:space="0" w:color="000000"/>
                    <w:right w:val="single" w:sz="4" w:space="0" w:color="000000"/>
                  </w:tcBorders>
                  <w:vAlign w:val="center"/>
                </w:tcPr>
                <w:p w14:paraId="5337526E" w14:textId="77777777" w:rsidR="00D6004F" w:rsidRPr="00D6004F" w:rsidRDefault="00D6004F" w:rsidP="009B60F8">
                  <w:pPr>
                    <w:pStyle w:val="APVMATableText"/>
                    <w:spacing w:before="60" w:after="60"/>
                    <w:rPr>
                      <w:rFonts w:eastAsia="Arial"/>
                      <w:szCs w:val="17"/>
                      <w:lang w:val="en-US"/>
                    </w:rPr>
                  </w:pPr>
                  <w:r w:rsidRPr="00D6004F">
                    <w:rPr>
                      <w:rFonts w:eastAsia="Calibri"/>
                      <w:lang w:val="en-US"/>
                    </w:rPr>
                    <w:t>Not required</w:t>
                  </w:r>
                </w:p>
              </w:tc>
              <w:tc>
                <w:tcPr>
                  <w:tcW w:w="612" w:type="pct"/>
                  <w:tcBorders>
                    <w:top w:val="single" w:sz="4" w:space="0" w:color="000000"/>
                    <w:left w:val="single" w:sz="4" w:space="0" w:color="000000"/>
                    <w:bottom w:val="single" w:sz="4" w:space="0" w:color="000000"/>
                    <w:right w:val="single" w:sz="4" w:space="0" w:color="000000"/>
                  </w:tcBorders>
                  <w:vAlign w:val="center"/>
                </w:tcPr>
                <w:p w14:paraId="0C621863" w14:textId="77777777" w:rsidR="00D6004F" w:rsidRPr="00D6004F" w:rsidRDefault="00D6004F" w:rsidP="009B60F8">
                  <w:pPr>
                    <w:pStyle w:val="APVMATableText"/>
                    <w:spacing w:before="60" w:after="60"/>
                    <w:rPr>
                      <w:rFonts w:eastAsia="Arial"/>
                      <w:szCs w:val="17"/>
                      <w:lang w:val="en-US"/>
                    </w:rPr>
                  </w:pPr>
                  <w:r w:rsidRPr="00D6004F">
                    <w:rPr>
                      <w:rFonts w:eastAsia="Calibri"/>
                      <w:lang w:val="en-US"/>
                    </w:rPr>
                    <w:t>10</w:t>
                  </w:r>
                  <w:r w:rsidRPr="00D6004F">
                    <w:rPr>
                      <w:rFonts w:eastAsia="Calibri"/>
                      <w:spacing w:val="-9"/>
                      <w:lang w:val="en-US"/>
                    </w:rPr>
                    <w:t xml:space="preserve"> </w:t>
                  </w:r>
                  <w:r w:rsidRPr="00D6004F">
                    <w:rPr>
                      <w:rFonts w:eastAsia="Calibri"/>
                      <w:lang w:val="en-US"/>
                    </w:rPr>
                    <w:t>metres</w:t>
                  </w:r>
                </w:p>
              </w:tc>
              <w:tc>
                <w:tcPr>
                  <w:tcW w:w="688" w:type="pct"/>
                  <w:tcBorders>
                    <w:top w:val="single" w:sz="4" w:space="0" w:color="000000"/>
                    <w:left w:val="single" w:sz="4" w:space="0" w:color="000000"/>
                    <w:bottom w:val="single" w:sz="4" w:space="0" w:color="000000"/>
                    <w:right w:val="single" w:sz="4" w:space="0" w:color="000000"/>
                  </w:tcBorders>
                  <w:vAlign w:val="center"/>
                </w:tcPr>
                <w:p w14:paraId="2A4E39F3" w14:textId="77777777" w:rsidR="00D6004F" w:rsidRPr="00D6004F" w:rsidRDefault="00D6004F" w:rsidP="009B60F8">
                  <w:pPr>
                    <w:pStyle w:val="APVMATableText"/>
                    <w:spacing w:before="60" w:after="60"/>
                    <w:rPr>
                      <w:rFonts w:eastAsia="Arial"/>
                      <w:szCs w:val="17"/>
                      <w:lang w:val="en-US"/>
                    </w:rPr>
                  </w:pPr>
                  <w:r w:rsidRPr="00D6004F">
                    <w:rPr>
                      <w:rFonts w:eastAsia="Calibri"/>
                      <w:lang w:val="en-US"/>
                    </w:rPr>
                    <w:t>10</w:t>
                  </w:r>
                  <w:r w:rsidRPr="00D6004F">
                    <w:rPr>
                      <w:rFonts w:eastAsia="Calibri"/>
                      <w:spacing w:val="-9"/>
                      <w:lang w:val="en-US"/>
                    </w:rPr>
                    <w:t xml:space="preserve"> </w:t>
                  </w:r>
                  <w:r w:rsidRPr="00D6004F">
                    <w:rPr>
                      <w:rFonts w:eastAsia="Calibri"/>
                      <w:lang w:val="en-US"/>
                    </w:rPr>
                    <w:t>metres</w:t>
                  </w:r>
                </w:p>
              </w:tc>
              <w:tc>
                <w:tcPr>
                  <w:tcW w:w="612" w:type="pct"/>
                  <w:tcBorders>
                    <w:top w:val="single" w:sz="4" w:space="0" w:color="000000"/>
                    <w:left w:val="single" w:sz="4" w:space="0" w:color="000000"/>
                    <w:bottom w:val="single" w:sz="4" w:space="0" w:color="000000"/>
                    <w:right w:val="single" w:sz="4" w:space="0" w:color="000000"/>
                  </w:tcBorders>
                  <w:vAlign w:val="center"/>
                </w:tcPr>
                <w:p w14:paraId="1611EAA8" w14:textId="77777777" w:rsidR="00D6004F" w:rsidRPr="00D6004F" w:rsidRDefault="00D6004F" w:rsidP="009B60F8">
                  <w:pPr>
                    <w:pStyle w:val="APVMATableText"/>
                    <w:spacing w:before="60" w:after="60"/>
                    <w:rPr>
                      <w:rFonts w:eastAsia="Arial"/>
                      <w:szCs w:val="17"/>
                      <w:lang w:val="en-US"/>
                    </w:rPr>
                  </w:pPr>
                  <w:r w:rsidRPr="00D6004F">
                    <w:rPr>
                      <w:rFonts w:eastAsia="Calibri"/>
                      <w:lang w:val="en-US"/>
                    </w:rPr>
                    <w:t>Not</w:t>
                  </w:r>
                  <w:r w:rsidRPr="00D6004F">
                    <w:rPr>
                      <w:rFonts w:eastAsia="Calibri"/>
                      <w:spacing w:val="-10"/>
                      <w:lang w:val="en-US"/>
                    </w:rPr>
                    <w:t xml:space="preserve"> </w:t>
                  </w:r>
                  <w:r w:rsidRPr="00D6004F">
                    <w:rPr>
                      <w:rFonts w:eastAsia="Calibri"/>
                      <w:lang w:val="en-US"/>
                    </w:rPr>
                    <w:t>required</w:t>
                  </w:r>
                </w:p>
              </w:tc>
              <w:tc>
                <w:tcPr>
                  <w:tcW w:w="612" w:type="pct"/>
                  <w:tcBorders>
                    <w:top w:val="single" w:sz="4" w:space="0" w:color="000000"/>
                    <w:left w:val="single" w:sz="4" w:space="0" w:color="000000"/>
                    <w:bottom w:val="single" w:sz="4" w:space="0" w:color="000000"/>
                    <w:right w:val="single" w:sz="4" w:space="0" w:color="000000"/>
                  </w:tcBorders>
                  <w:vAlign w:val="center"/>
                </w:tcPr>
                <w:p w14:paraId="4863FE88" w14:textId="77777777" w:rsidR="00D6004F" w:rsidRPr="00D6004F" w:rsidRDefault="00D6004F" w:rsidP="009B60F8">
                  <w:pPr>
                    <w:pStyle w:val="APVMATableText"/>
                    <w:spacing w:before="60" w:after="60"/>
                    <w:rPr>
                      <w:rFonts w:eastAsia="Arial"/>
                      <w:szCs w:val="17"/>
                      <w:lang w:val="en-US"/>
                    </w:rPr>
                  </w:pPr>
                  <w:r w:rsidRPr="00D6004F">
                    <w:rPr>
                      <w:rFonts w:eastAsia="Calibri"/>
                      <w:lang w:val="en-US"/>
                    </w:rPr>
                    <w:t>Not</w:t>
                  </w:r>
                  <w:r w:rsidRPr="00D6004F">
                    <w:rPr>
                      <w:rFonts w:eastAsia="Calibri"/>
                      <w:spacing w:val="-10"/>
                      <w:lang w:val="en-US"/>
                    </w:rPr>
                    <w:t xml:space="preserve"> </w:t>
                  </w:r>
                  <w:r w:rsidRPr="00D6004F">
                    <w:rPr>
                      <w:rFonts w:eastAsia="Calibri"/>
                      <w:lang w:val="en-US"/>
                    </w:rPr>
                    <w:t>required</w:t>
                  </w:r>
                </w:p>
              </w:tc>
            </w:tr>
            <w:tr w:rsidR="00D6004F" w:rsidRPr="00D6004F" w14:paraId="50E68084" w14:textId="77777777" w:rsidTr="00D6004F">
              <w:trPr>
                <w:trHeight w:val="57"/>
              </w:trPr>
              <w:tc>
                <w:tcPr>
                  <w:tcW w:w="1852" w:type="pct"/>
                  <w:tcBorders>
                    <w:top w:val="single" w:sz="4" w:space="0" w:color="000000"/>
                    <w:left w:val="single" w:sz="4" w:space="0" w:color="000000"/>
                    <w:bottom w:val="single" w:sz="4" w:space="0" w:color="000000"/>
                    <w:right w:val="single" w:sz="4" w:space="0" w:color="000000"/>
                  </w:tcBorders>
                  <w:vAlign w:val="center"/>
                </w:tcPr>
                <w:p w14:paraId="0E58120E" w14:textId="77777777" w:rsidR="00D6004F" w:rsidRPr="00D6004F" w:rsidRDefault="00D6004F" w:rsidP="009B60F8">
                  <w:pPr>
                    <w:pStyle w:val="APVMATableText"/>
                    <w:spacing w:before="60" w:after="60"/>
                    <w:rPr>
                      <w:rFonts w:eastAsia="Arial"/>
                      <w:szCs w:val="17"/>
                      <w:lang w:val="en-US"/>
                    </w:rPr>
                  </w:pPr>
                  <w:r w:rsidRPr="00D6004F">
                    <w:rPr>
                      <w:rFonts w:eastAsia="Calibri"/>
                      <w:lang w:val="en-US"/>
                    </w:rPr>
                    <w:t>Taller than 2 metres (not fully foliated), maximum dilute water rate of 4000 L/ha</w:t>
                  </w:r>
                </w:p>
              </w:tc>
              <w:tc>
                <w:tcPr>
                  <w:tcW w:w="625" w:type="pct"/>
                  <w:tcBorders>
                    <w:top w:val="single" w:sz="4" w:space="0" w:color="000000"/>
                    <w:left w:val="single" w:sz="4" w:space="0" w:color="000000"/>
                    <w:bottom w:val="single" w:sz="4" w:space="0" w:color="000000"/>
                    <w:right w:val="single" w:sz="4" w:space="0" w:color="000000"/>
                  </w:tcBorders>
                  <w:vAlign w:val="center"/>
                </w:tcPr>
                <w:p w14:paraId="63B963F9" w14:textId="77777777" w:rsidR="00D6004F" w:rsidRPr="00D6004F" w:rsidRDefault="00D6004F" w:rsidP="009B60F8">
                  <w:pPr>
                    <w:pStyle w:val="APVMATableText"/>
                    <w:spacing w:before="60" w:after="60"/>
                    <w:rPr>
                      <w:rFonts w:eastAsia="Arial"/>
                      <w:szCs w:val="17"/>
                      <w:lang w:val="en-US"/>
                    </w:rPr>
                  </w:pPr>
                  <w:r w:rsidRPr="00D6004F">
                    <w:rPr>
                      <w:rFonts w:eastAsia="Calibri"/>
                      <w:lang w:val="en-US"/>
                    </w:rPr>
                    <w:t>Not required</w:t>
                  </w:r>
                </w:p>
              </w:tc>
              <w:tc>
                <w:tcPr>
                  <w:tcW w:w="612" w:type="pct"/>
                  <w:tcBorders>
                    <w:top w:val="single" w:sz="4" w:space="0" w:color="000000"/>
                    <w:left w:val="single" w:sz="4" w:space="0" w:color="000000"/>
                    <w:bottom w:val="single" w:sz="4" w:space="0" w:color="000000"/>
                    <w:right w:val="single" w:sz="4" w:space="0" w:color="000000"/>
                  </w:tcBorders>
                  <w:vAlign w:val="center"/>
                </w:tcPr>
                <w:p w14:paraId="5A3D2CD5" w14:textId="77777777" w:rsidR="00D6004F" w:rsidRPr="00D6004F" w:rsidRDefault="00D6004F" w:rsidP="009B60F8">
                  <w:pPr>
                    <w:pStyle w:val="APVMATableText"/>
                    <w:spacing w:before="60" w:after="60"/>
                    <w:rPr>
                      <w:rFonts w:eastAsia="Arial"/>
                      <w:szCs w:val="17"/>
                      <w:lang w:val="en-US"/>
                    </w:rPr>
                  </w:pPr>
                  <w:r w:rsidRPr="00D6004F">
                    <w:rPr>
                      <w:rFonts w:eastAsia="Calibri"/>
                      <w:lang w:val="en-US"/>
                    </w:rPr>
                    <w:t>55</w:t>
                  </w:r>
                  <w:r w:rsidRPr="00D6004F">
                    <w:rPr>
                      <w:rFonts w:eastAsia="Calibri"/>
                      <w:spacing w:val="-9"/>
                      <w:lang w:val="en-US"/>
                    </w:rPr>
                    <w:t xml:space="preserve"> </w:t>
                  </w:r>
                  <w:r w:rsidRPr="00D6004F">
                    <w:rPr>
                      <w:rFonts w:eastAsia="Calibri"/>
                      <w:lang w:val="en-US"/>
                    </w:rPr>
                    <w:t>metres</w:t>
                  </w:r>
                </w:p>
              </w:tc>
              <w:tc>
                <w:tcPr>
                  <w:tcW w:w="688" w:type="pct"/>
                  <w:tcBorders>
                    <w:top w:val="single" w:sz="4" w:space="0" w:color="000000"/>
                    <w:left w:val="single" w:sz="4" w:space="0" w:color="000000"/>
                    <w:bottom w:val="single" w:sz="4" w:space="0" w:color="000000"/>
                    <w:right w:val="single" w:sz="4" w:space="0" w:color="000000"/>
                  </w:tcBorders>
                  <w:vAlign w:val="center"/>
                </w:tcPr>
                <w:p w14:paraId="77EDDE5D" w14:textId="77777777" w:rsidR="00D6004F" w:rsidRPr="00D6004F" w:rsidRDefault="00D6004F" w:rsidP="009B60F8">
                  <w:pPr>
                    <w:pStyle w:val="APVMATableText"/>
                    <w:spacing w:before="60" w:after="60"/>
                    <w:rPr>
                      <w:rFonts w:eastAsia="Arial"/>
                      <w:szCs w:val="17"/>
                      <w:lang w:val="en-US"/>
                    </w:rPr>
                  </w:pPr>
                  <w:r w:rsidRPr="00D6004F">
                    <w:rPr>
                      <w:rFonts w:eastAsia="Calibri"/>
                      <w:lang w:val="en-US"/>
                    </w:rPr>
                    <w:t>40</w:t>
                  </w:r>
                  <w:r w:rsidRPr="00D6004F">
                    <w:rPr>
                      <w:rFonts w:eastAsia="Calibri"/>
                      <w:spacing w:val="-9"/>
                      <w:lang w:val="en-US"/>
                    </w:rPr>
                    <w:t xml:space="preserve"> </w:t>
                  </w:r>
                  <w:r w:rsidRPr="00D6004F">
                    <w:rPr>
                      <w:rFonts w:eastAsia="Calibri"/>
                      <w:lang w:val="en-US"/>
                    </w:rPr>
                    <w:t>metres</w:t>
                  </w:r>
                </w:p>
              </w:tc>
              <w:tc>
                <w:tcPr>
                  <w:tcW w:w="612" w:type="pct"/>
                  <w:tcBorders>
                    <w:top w:val="single" w:sz="4" w:space="0" w:color="000000"/>
                    <w:left w:val="single" w:sz="4" w:space="0" w:color="000000"/>
                    <w:bottom w:val="single" w:sz="4" w:space="0" w:color="000000"/>
                    <w:right w:val="single" w:sz="4" w:space="0" w:color="000000"/>
                  </w:tcBorders>
                  <w:vAlign w:val="center"/>
                </w:tcPr>
                <w:p w14:paraId="7B7880B4" w14:textId="77777777" w:rsidR="00D6004F" w:rsidRPr="00D6004F" w:rsidRDefault="00D6004F" w:rsidP="009B60F8">
                  <w:pPr>
                    <w:pStyle w:val="APVMATableText"/>
                    <w:spacing w:before="60" w:after="60"/>
                    <w:rPr>
                      <w:rFonts w:eastAsia="Arial"/>
                      <w:szCs w:val="17"/>
                      <w:lang w:val="en-US"/>
                    </w:rPr>
                  </w:pPr>
                  <w:r w:rsidRPr="00D6004F">
                    <w:rPr>
                      <w:rFonts w:eastAsia="Calibri"/>
                      <w:lang w:val="en-US"/>
                    </w:rPr>
                    <w:t>Not</w:t>
                  </w:r>
                  <w:r w:rsidRPr="00D6004F">
                    <w:rPr>
                      <w:rFonts w:eastAsia="Calibri"/>
                      <w:spacing w:val="-10"/>
                      <w:lang w:val="en-US"/>
                    </w:rPr>
                    <w:t xml:space="preserve"> </w:t>
                  </w:r>
                  <w:r w:rsidRPr="00D6004F">
                    <w:rPr>
                      <w:rFonts w:eastAsia="Calibri"/>
                      <w:lang w:val="en-US"/>
                    </w:rPr>
                    <w:t>required</w:t>
                  </w:r>
                </w:p>
              </w:tc>
              <w:tc>
                <w:tcPr>
                  <w:tcW w:w="612" w:type="pct"/>
                  <w:tcBorders>
                    <w:top w:val="single" w:sz="4" w:space="0" w:color="000000"/>
                    <w:left w:val="single" w:sz="4" w:space="0" w:color="000000"/>
                    <w:bottom w:val="single" w:sz="4" w:space="0" w:color="000000"/>
                    <w:right w:val="single" w:sz="4" w:space="0" w:color="000000"/>
                  </w:tcBorders>
                  <w:vAlign w:val="center"/>
                </w:tcPr>
                <w:p w14:paraId="58EE8162" w14:textId="77777777" w:rsidR="00D6004F" w:rsidRPr="00D6004F" w:rsidRDefault="00D6004F" w:rsidP="009B60F8">
                  <w:pPr>
                    <w:pStyle w:val="APVMATableText"/>
                    <w:spacing w:before="60" w:after="60"/>
                    <w:rPr>
                      <w:rFonts w:eastAsia="Arial"/>
                      <w:szCs w:val="17"/>
                      <w:lang w:val="en-US"/>
                    </w:rPr>
                  </w:pPr>
                  <w:r w:rsidRPr="00D6004F">
                    <w:rPr>
                      <w:rFonts w:eastAsia="Calibri"/>
                      <w:lang w:val="en-US"/>
                    </w:rPr>
                    <w:t>Not</w:t>
                  </w:r>
                  <w:r w:rsidRPr="00D6004F">
                    <w:rPr>
                      <w:rFonts w:eastAsia="Calibri"/>
                      <w:spacing w:val="-10"/>
                      <w:lang w:val="en-US"/>
                    </w:rPr>
                    <w:t xml:space="preserve"> </w:t>
                  </w:r>
                  <w:r w:rsidRPr="00D6004F">
                    <w:rPr>
                      <w:rFonts w:eastAsia="Calibri"/>
                      <w:lang w:val="en-US"/>
                    </w:rPr>
                    <w:t>required</w:t>
                  </w:r>
                </w:p>
              </w:tc>
            </w:tr>
            <w:tr w:rsidR="00D6004F" w:rsidRPr="00D6004F" w14:paraId="7142906A" w14:textId="77777777" w:rsidTr="00D6004F">
              <w:trPr>
                <w:trHeight w:val="57"/>
              </w:trPr>
              <w:tc>
                <w:tcPr>
                  <w:tcW w:w="1852" w:type="pct"/>
                  <w:tcBorders>
                    <w:top w:val="single" w:sz="4" w:space="0" w:color="000000"/>
                    <w:left w:val="single" w:sz="4" w:space="0" w:color="000000"/>
                    <w:bottom w:val="single" w:sz="4" w:space="0" w:color="000000"/>
                    <w:right w:val="single" w:sz="4" w:space="0" w:color="000000"/>
                  </w:tcBorders>
                  <w:vAlign w:val="center"/>
                </w:tcPr>
                <w:p w14:paraId="35DD21B8" w14:textId="77777777" w:rsidR="00D6004F" w:rsidRPr="00D6004F" w:rsidRDefault="00D6004F" w:rsidP="009B60F8">
                  <w:pPr>
                    <w:pStyle w:val="APVMATableText"/>
                    <w:spacing w:before="60" w:after="60"/>
                    <w:rPr>
                      <w:rFonts w:eastAsia="Calibri"/>
                      <w:lang w:val="en-US"/>
                    </w:rPr>
                  </w:pPr>
                  <w:r w:rsidRPr="00D6004F">
                    <w:rPr>
                      <w:rFonts w:eastAsia="Calibri"/>
                      <w:lang w:val="en-US"/>
                    </w:rPr>
                    <w:t>Taller than 2 metres (fully foliated), maximum dilute water rate of 4000 L/ha</w:t>
                  </w:r>
                </w:p>
              </w:tc>
              <w:tc>
                <w:tcPr>
                  <w:tcW w:w="625" w:type="pct"/>
                  <w:tcBorders>
                    <w:top w:val="single" w:sz="4" w:space="0" w:color="000000"/>
                    <w:left w:val="single" w:sz="4" w:space="0" w:color="000000"/>
                    <w:bottom w:val="single" w:sz="4" w:space="0" w:color="000000"/>
                    <w:right w:val="single" w:sz="4" w:space="0" w:color="000000"/>
                  </w:tcBorders>
                  <w:vAlign w:val="center"/>
                </w:tcPr>
                <w:p w14:paraId="7F635A8B" w14:textId="77777777" w:rsidR="00D6004F" w:rsidRPr="00D6004F" w:rsidRDefault="00D6004F" w:rsidP="009B60F8">
                  <w:pPr>
                    <w:pStyle w:val="APVMATableText"/>
                    <w:spacing w:before="60" w:after="60"/>
                    <w:rPr>
                      <w:rFonts w:eastAsia="Calibri"/>
                      <w:lang w:val="en-US"/>
                    </w:rPr>
                  </w:pPr>
                  <w:r w:rsidRPr="00D6004F">
                    <w:rPr>
                      <w:rFonts w:eastAsia="Calibri"/>
                      <w:lang w:val="en-US"/>
                    </w:rPr>
                    <w:t>Not required</w:t>
                  </w:r>
                </w:p>
              </w:tc>
              <w:tc>
                <w:tcPr>
                  <w:tcW w:w="612" w:type="pct"/>
                  <w:tcBorders>
                    <w:top w:val="single" w:sz="4" w:space="0" w:color="000000"/>
                    <w:left w:val="single" w:sz="4" w:space="0" w:color="000000"/>
                    <w:bottom w:val="single" w:sz="4" w:space="0" w:color="000000"/>
                    <w:right w:val="single" w:sz="4" w:space="0" w:color="000000"/>
                  </w:tcBorders>
                  <w:vAlign w:val="center"/>
                </w:tcPr>
                <w:p w14:paraId="21958A5F" w14:textId="77777777" w:rsidR="00D6004F" w:rsidRPr="00D6004F" w:rsidRDefault="00D6004F" w:rsidP="009B60F8">
                  <w:pPr>
                    <w:pStyle w:val="APVMATableText"/>
                    <w:spacing w:before="60" w:after="60"/>
                    <w:rPr>
                      <w:rFonts w:eastAsia="Calibri"/>
                      <w:lang w:val="en-US"/>
                    </w:rPr>
                  </w:pPr>
                  <w:r w:rsidRPr="00D6004F">
                    <w:rPr>
                      <w:rFonts w:eastAsia="Calibri"/>
                      <w:lang w:val="en-US"/>
                    </w:rPr>
                    <w:t>45</w:t>
                  </w:r>
                  <w:r w:rsidRPr="00D6004F">
                    <w:rPr>
                      <w:rFonts w:eastAsia="Calibri"/>
                      <w:spacing w:val="-9"/>
                      <w:lang w:val="en-US"/>
                    </w:rPr>
                    <w:t xml:space="preserve"> </w:t>
                  </w:r>
                  <w:r w:rsidRPr="00D6004F">
                    <w:rPr>
                      <w:rFonts w:eastAsia="Calibri"/>
                      <w:lang w:val="en-US"/>
                    </w:rPr>
                    <w:t>metres</w:t>
                  </w:r>
                </w:p>
              </w:tc>
              <w:tc>
                <w:tcPr>
                  <w:tcW w:w="688" w:type="pct"/>
                  <w:tcBorders>
                    <w:top w:val="single" w:sz="4" w:space="0" w:color="000000"/>
                    <w:left w:val="single" w:sz="4" w:space="0" w:color="000000"/>
                    <w:bottom w:val="single" w:sz="4" w:space="0" w:color="000000"/>
                    <w:right w:val="single" w:sz="4" w:space="0" w:color="000000"/>
                  </w:tcBorders>
                  <w:vAlign w:val="center"/>
                </w:tcPr>
                <w:p w14:paraId="00EA2C5E" w14:textId="77777777" w:rsidR="00D6004F" w:rsidRPr="00D6004F" w:rsidRDefault="00D6004F" w:rsidP="009B60F8">
                  <w:pPr>
                    <w:pStyle w:val="APVMATableText"/>
                    <w:spacing w:before="60" w:after="60"/>
                    <w:rPr>
                      <w:rFonts w:eastAsia="Calibri"/>
                      <w:lang w:val="en-US"/>
                    </w:rPr>
                  </w:pPr>
                  <w:r w:rsidRPr="00D6004F">
                    <w:rPr>
                      <w:rFonts w:eastAsia="Calibri"/>
                      <w:lang w:val="en-US"/>
                    </w:rPr>
                    <w:t>30</w:t>
                  </w:r>
                  <w:r w:rsidRPr="00D6004F">
                    <w:rPr>
                      <w:rFonts w:eastAsia="Calibri"/>
                      <w:spacing w:val="-9"/>
                      <w:lang w:val="en-US"/>
                    </w:rPr>
                    <w:t xml:space="preserve"> </w:t>
                  </w:r>
                  <w:r w:rsidRPr="00D6004F">
                    <w:rPr>
                      <w:rFonts w:eastAsia="Calibri"/>
                      <w:lang w:val="en-US"/>
                    </w:rPr>
                    <w:t>metres</w:t>
                  </w:r>
                </w:p>
              </w:tc>
              <w:tc>
                <w:tcPr>
                  <w:tcW w:w="612" w:type="pct"/>
                  <w:tcBorders>
                    <w:top w:val="single" w:sz="4" w:space="0" w:color="000000"/>
                    <w:left w:val="single" w:sz="4" w:space="0" w:color="000000"/>
                    <w:bottom w:val="single" w:sz="4" w:space="0" w:color="000000"/>
                    <w:right w:val="single" w:sz="4" w:space="0" w:color="000000"/>
                  </w:tcBorders>
                  <w:vAlign w:val="center"/>
                </w:tcPr>
                <w:p w14:paraId="32B4BB0F" w14:textId="77777777" w:rsidR="00D6004F" w:rsidRPr="00D6004F" w:rsidRDefault="00D6004F" w:rsidP="009B60F8">
                  <w:pPr>
                    <w:pStyle w:val="APVMATableText"/>
                    <w:spacing w:before="60" w:after="60"/>
                    <w:rPr>
                      <w:rFonts w:eastAsia="Calibri"/>
                      <w:lang w:val="en-US"/>
                    </w:rPr>
                  </w:pPr>
                  <w:r w:rsidRPr="00D6004F">
                    <w:rPr>
                      <w:rFonts w:eastAsia="Calibri"/>
                      <w:lang w:val="en-US"/>
                    </w:rPr>
                    <w:t>Not</w:t>
                  </w:r>
                  <w:r w:rsidRPr="00D6004F">
                    <w:rPr>
                      <w:rFonts w:eastAsia="Calibri"/>
                      <w:spacing w:val="-10"/>
                      <w:lang w:val="en-US"/>
                    </w:rPr>
                    <w:t xml:space="preserve"> </w:t>
                  </w:r>
                  <w:r w:rsidRPr="00D6004F">
                    <w:rPr>
                      <w:rFonts w:eastAsia="Calibri"/>
                      <w:lang w:val="en-US"/>
                    </w:rPr>
                    <w:t>required</w:t>
                  </w:r>
                </w:p>
              </w:tc>
              <w:tc>
                <w:tcPr>
                  <w:tcW w:w="612" w:type="pct"/>
                  <w:tcBorders>
                    <w:top w:val="single" w:sz="4" w:space="0" w:color="000000"/>
                    <w:left w:val="single" w:sz="4" w:space="0" w:color="000000"/>
                    <w:bottom w:val="single" w:sz="4" w:space="0" w:color="000000"/>
                    <w:right w:val="single" w:sz="4" w:space="0" w:color="000000"/>
                  </w:tcBorders>
                  <w:vAlign w:val="center"/>
                </w:tcPr>
                <w:p w14:paraId="5A790F08" w14:textId="77777777" w:rsidR="00D6004F" w:rsidRPr="00D6004F" w:rsidRDefault="00D6004F" w:rsidP="009B60F8">
                  <w:pPr>
                    <w:pStyle w:val="APVMATableText"/>
                    <w:spacing w:before="60" w:after="60"/>
                    <w:rPr>
                      <w:rFonts w:eastAsia="Calibri"/>
                      <w:lang w:val="en-US"/>
                    </w:rPr>
                  </w:pPr>
                  <w:r w:rsidRPr="00D6004F">
                    <w:rPr>
                      <w:rFonts w:eastAsia="Calibri"/>
                      <w:lang w:val="en-US"/>
                    </w:rPr>
                    <w:t>Not</w:t>
                  </w:r>
                  <w:r w:rsidRPr="00D6004F">
                    <w:rPr>
                      <w:rFonts w:eastAsia="Calibri"/>
                      <w:spacing w:val="-10"/>
                      <w:lang w:val="en-US"/>
                    </w:rPr>
                    <w:t xml:space="preserve"> </w:t>
                  </w:r>
                  <w:r w:rsidRPr="00D6004F">
                    <w:rPr>
                      <w:rFonts w:eastAsia="Calibri"/>
                      <w:lang w:val="en-US"/>
                    </w:rPr>
                    <w:t>required</w:t>
                  </w:r>
                </w:p>
              </w:tc>
            </w:tr>
          </w:tbl>
          <w:p w14:paraId="21AB2740" w14:textId="77777777" w:rsidR="00D6004F" w:rsidRPr="00D6004F" w:rsidRDefault="00D6004F" w:rsidP="00D6004F">
            <w:pPr>
              <w:pStyle w:val="APVMATableText"/>
              <w:spacing w:before="60" w:after="60"/>
              <w:rPr>
                <w:rFonts w:eastAsia="Calibri"/>
              </w:rPr>
            </w:pPr>
            <w:r w:rsidRPr="00D6004F">
              <w:rPr>
                <w:rFonts w:eastAsia="Calibri"/>
                <w:b/>
              </w:rPr>
              <w:t>DO NOT</w:t>
            </w:r>
            <w:r w:rsidRPr="00D6004F">
              <w:rPr>
                <w:rFonts w:eastAsia="Calibri"/>
              </w:rPr>
              <w:t xml:space="preserve"> apply by aircraft.</w:t>
            </w:r>
          </w:p>
        </w:tc>
      </w:tr>
    </w:tbl>
    <w:p w14:paraId="7AF6AEA9" w14:textId="77777777" w:rsidR="00DE170C" w:rsidRDefault="00DE170C" w:rsidP="00605A9B">
      <w:pPr>
        <w:pStyle w:val="NormalText"/>
        <w:rPr>
          <w:rFonts w:eastAsia="Calibri"/>
        </w:rPr>
      </w:pPr>
    </w:p>
    <w:p w14:paraId="649776C0" w14:textId="77777777" w:rsidR="00DE170C" w:rsidRDefault="00DE170C" w:rsidP="00605A9B">
      <w:pPr>
        <w:pStyle w:val="NormalText"/>
        <w:rPr>
          <w:rFonts w:eastAsia="Calibri"/>
        </w:rPr>
        <w:sectPr w:rsidR="00DE170C" w:rsidSect="00CB58D6">
          <w:headerReference w:type="default" r:id="rId105"/>
          <w:pgSz w:w="11906" w:h="16838" w:code="9"/>
          <w:pgMar w:top="2835" w:right="1134" w:bottom="1134" w:left="1134" w:header="1701" w:footer="680" w:gutter="0"/>
          <w:cols w:space="708"/>
          <w:docGrid w:linePitch="360"/>
        </w:sectPr>
      </w:pPr>
    </w:p>
    <w:p w14:paraId="4A5CA432" w14:textId="77777777" w:rsidR="002F4591" w:rsidRDefault="009D452E" w:rsidP="002F4591">
      <w:pPr>
        <w:pStyle w:val="APVMACoverTitle"/>
        <w:spacing w:before="7200"/>
        <w:jc w:val="center"/>
      </w:pPr>
      <w:bookmarkStart w:id="70" w:name="_Toc414373842"/>
      <w:bookmarkStart w:id="71" w:name="_Toc231963183"/>
      <w:bookmarkStart w:id="72" w:name="_Toc231963195"/>
      <w:r w:rsidRPr="005D1A47">
        <w:rPr>
          <w:noProof/>
          <w:lang w:eastAsia="en-AU"/>
        </w:rPr>
        <w:lastRenderedPageBreak/>
        <w:drawing>
          <wp:inline distT="0" distB="0" distL="0" distR="0" wp14:anchorId="16D5F7D4" wp14:editId="29914613">
            <wp:extent cx="2752725" cy="2676525"/>
            <wp:effectExtent l="0" t="0" r="9525" b="9525"/>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676525"/>
                    </a:xfrm>
                    <a:prstGeom prst="rect">
                      <a:avLst/>
                    </a:prstGeom>
                  </pic:spPr>
                </pic:pic>
              </a:graphicData>
            </a:graphic>
          </wp:inline>
        </w:drawing>
      </w:r>
    </w:p>
    <w:p w14:paraId="5F13E901" w14:textId="77777777" w:rsidR="009D452E" w:rsidRDefault="009D452E" w:rsidP="002F4591">
      <w:pPr>
        <w:pStyle w:val="APVMACoverTitle"/>
        <w:spacing w:before="1920"/>
        <w:jc w:val="center"/>
        <w:sectPr w:rsidR="009D452E" w:rsidSect="00CB58D6">
          <w:headerReference w:type="default" r:id="rId106"/>
          <w:footerReference w:type="default" r:id="rId107"/>
          <w:pgSz w:w="11906" w:h="16838" w:code="9"/>
          <w:pgMar w:top="2835" w:right="1134" w:bottom="1134" w:left="1134" w:header="1701" w:footer="680" w:gutter="0"/>
          <w:cols w:space="708"/>
          <w:docGrid w:linePitch="360"/>
        </w:sectPr>
      </w:pPr>
      <w:r>
        <w:t>Appendix</w:t>
      </w:r>
    </w:p>
    <w:p w14:paraId="19DEB936" w14:textId="51755915" w:rsidR="002E20AC" w:rsidRDefault="002E20AC" w:rsidP="00570AEC">
      <w:pPr>
        <w:pStyle w:val="APVMAAppendixH1"/>
      </w:pPr>
      <w:bookmarkStart w:id="73" w:name="_Toc14340875"/>
      <w:r>
        <w:lastRenderedPageBreak/>
        <w:t>Appendix A</w:t>
      </w:r>
      <w:bookmarkEnd w:id="70"/>
      <w:r w:rsidR="00570AEC">
        <w:t>: Droplet size distributions (DSDS)</w:t>
      </w:r>
      <w:bookmarkEnd w:id="73"/>
    </w:p>
    <w:p w14:paraId="7B475C53" w14:textId="4B7CDBDD" w:rsidR="00570AEC" w:rsidRPr="00570AEC" w:rsidRDefault="00570AEC" w:rsidP="00570AEC">
      <w:pPr>
        <w:pStyle w:val="NormalText"/>
      </w:pPr>
      <w:r w:rsidRPr="00570AEC">
        <w:t>The cumulative volume distributions for the ASAE/ANSI S572</w:t>
      </w:r>
      <w:r w:rsidR="006D1041">
        <w:t>.2</w:t>
      </w:r>
      <w:r w:rsidRPr="00570AEC">
        <w:t xml:space="preserve"> reference nozzles used to establish standard </w:t>
      </w:r>
      <w:r w:rsidR="00460E9D">
        <w:t>deposition curves are shown in f</w:t>
      </w:r>
      <w:r w:rsidRPr="00570AEC">
        <w:t>igure 17 and in the files below which can be imported directly into AGDISP</w:t>
      </w:r>
      <w:r w:rsidRPr="00570AEC">
        <w:rPr>
          <w:vertAlign w:val="superscript"/>
        </w:rPr>
        <w:t>TM</w:t>
      </w:r>
      <w:r w:rsidRPr="00570AEC">
        <w:t>. The s</w:t>
      </w:r>
      <w:r w:rsidR="0043717A">
        <w:t>ummary statistics are given in t</w:t>
      </w:r>
      <w:r w:rsidRPr="00570AEC">
        <w:t>able 14.</w:t>
      </w:r>
    </w:p>
    <w:p w14:paraId="638AD6FE" w14:textId="0513B0D5" w:rsidR="00570AEC" w:rsidRPr="006B5C31" w:rsidRDefault="006B5C31" w:rsidP="00570AEC">
      <w:pPr>
        <w:pStyle w:val="NormalText"/>
        <w:rPr>
          <w:rStyle w:val="Hyperlink"/>
        </w:rPr>
      </w:pPr>
      <w:r>
        <w:rPr>
          <w:rStyle w:val="Hyperlink"/>
          <w:color w:val="auto"/>
          <w:u w:val="none"/>
        </w:rPr>
        <w:fldChar w:fldCharType="begin"/>
      </w:r>
      <w:r>
        <w:rPr>
          <w:rStyle w:val="Hyperlink"/>
          <w:color w:val="auto"/>
          <w:u w:val="none"/>
        </w:rPr>
        <w:instrText xml:space="preserve"> HYPERLINK "https://apvma.gov.au/node/38626" </w:instrText>
      </w:r>
      <w:r>
        <w:rPr>
          <w:rStyle w:val="Hyperlink"/>
          <w:color w:val="auto"/>
          <w:u w:val="none"/>
        </w:rPr>
        <w:fldChar w:fldCharType="separate"/>
      </w:r>
      <w:r w:rsidR="00570AEC" w:rsidRPr="006B5C31">
        <w:rPr>
          <w:rStyle w:val="Hyperlink"/>
        </w:rPr>
        <w:t>APVMA VF-F DSD.txt</w:t>
      </w:r>
    </w:p>
    <w:p w14:paraId="6066AEDB" w14:textId="21E689B6" w:rsidR="00570AEC" w:rsidRPr="006B5C31" w:rsidRDefault="006B5C31" w:rsidP="00570AEC">
      <w:pPr>
        <w:pStyle w:val="NormalText"/>
        <w:rPr>
          <w:rStyle w:val="Hyperlink"/>
        </w:rPr>
      </w:pPr>
      <w:r>
        <w:rPr>
          <w:rStyle w:val="Hyperlink"/>
          <w:color w:val="auto"/>
          <w:u w:val="none"/>
        </w:rPr>
        <w:fldChar w:fldCharType="end"/>
      </w:r>
      <w:r>
        <w:rPr>
          <w:rStyle w:val="Hyperlink"/>
          <w:color w:val="auto"/>
          <w:u w:val="none"/>
        </w:rPr>
        <w:fldChar w:fldCharType="begin"/>
      </w:r>
      <w:r>
        <w:rPr>
          <w:rStyle w:val="Hyperlink"/>
          <w:color w:val="auto"/>
          <w:u w:val="none"/>
        </w:rPr>
        <w:instrText xml:space="preserve"> HYPERLINK "https://apvma.gov.au/node/38631" </w:instrText>
      </w:r>
      <w:r>
        <w:rPr>
          <w:rStyle w:val="Hyperlink"/>
          <w:color w:val="auto"/>
          <w:u w:val="none"/>
        </w:rPr>
        <w:fldChar w:fldCharType="separate"/>
      </w:r>
      <w:r w:rsidR="00570AEC" w:rsidRPr="006B5C31">
        <w:rPr>
          <w:rStyle w:val="Hyperlink"/>
        </w:rPr>
        <w:t>APVMA F-M DSD.txt</w:t>
      </w:r>
    </w:p>
    <w:p w14:paraId="5E4EE691" w14:textId="60D34A71" w:rsidR="00570AEC" w:rsidRPr="006B5C31" w:rsidRDefault="006B5C31" w:rsidP="006B5C31">
      <w:pPr>
        <w:pStyle w:val="NormalText"/>
        <w:jc w:val="both"/>
        <w:rPr>
          <w:rStyle w:val="Hyperlink"/>
        </w:rPr>
      </w:pPr>
      <w:r>
        <w:rPr>
          <w:rStyle w:val="Hyperlink"/>
          <w:color w:val="auto"/>
          <w:u w:val="none"/>
        </w:rPr>
        <w:fldChar w:fldCharType="end"/>
      </w:r>
      <w:r>
        <w:rPr>
          <w:rStyle w:val="Hyperlink"/>
          <w:color w:val="auto"/>
          <w:u w:val="none"/>
        </w:rPr>
        <w:fldChar w:fldCharType="begin"/>
      </w:r>
      <w:r>
        <w:rPr>
          <w:rStyle w:val="Hyperlink"/>
          <w:color w:val="auto"/>
          <w:u w:val="none"/>
        </w:rPr>
        <w:instrText xml:space="preserve"> HYPERLINK "https://apvma.gov.au/node/38636" </w:instrText>
      </w:r>
      <w:r>
        <w:rPr>
          <w:rStyle w:val="Hyperlink"/>
          <w:color w:val="auto"/>
          <w:u w:val="none"/>
        </w:rPr>
        <w:fldChar w:fldCharType="separate"/>
      </w:r>
      <w:r w:rsidR="00570AEC" w:rsidRPr="006B5C31">
        <w:rPr>
          <w:rStyle w:val="Hyperlink"/>
        </w:rPr>
        <w:t>APVMA M-C DSD.txt</w:t>
      </w:r>
    </w:p>
    <w:p w14:paraId="13F02ECE" w14:textId="1DA7344B" w:rsidR="00570AEC" w:rsidRPr="006B5C31" w:rsidRDefault="006B5C31" w:rsidP="00570AEC">
      <w:pPr>
        <w:pStyle w:val="NormalText"/>
        <w:rPr>
          <w:rStyle w:val="Hyperlink"/>
        </w:rPr>
      </w:pPr>
      <w:r>
        <w:rPr>
          <w:rStyle w:val="Hyperlink"/>
          <w:color w:val="auto"/>
          <w:u w:val="none"/>
        </w:rPr>
        <w:fldChar w:fldCharType="end"/>
      </w:r>
      <w:r>
        <w:rPr>
          <w:rStyle w:val="Hyperlink"/>
          <w:color w:val="auto"/>
          <w:u w:val="none"/>
        </w:rPr>
        <w:fldChar w:fldCharType="begin"/>
      </w:r>
      <w:r>
        <w:rPr>
          <w:rStyle w:val="Hyperlink"/>
          <w:color w:val="auto"/>
          <w:u w:val="none"/>
        </w:rPr>
        <w:instrText xml:space="preserve"> HYPERLINK "https://apvma.gov.au/node/38641" </w:instrText>
      </w:r>
      <w:r>
        <w:rPr>
          <w:rStyle w:val="Hyperlink"/>
          <w:color w:val="auto"/>
          <w:u w:val="none"/>
        </w:rPr>
        <w:fldChar w:fldCharType="separate"/>
      </w:r>
      <w:r w:rsidR="00570AEC" w:rsidRPr="006B5C31">
        <w:rPr>
          <w:rStyle w:val="Hyperlink"/>
        </w:rPr>
        <w:t>APVMA C-VC DSD.txt</w:t>
      </w:r>
    </w:p>
    <w:p w14:paraId="00405E6B" w14:textId="7B5DB61C" w:rsidR="00570AEC" w:rsidRPr="006B5C31" w:rsidRDefault="006B5C31" w:rsidP="00570AEC">
      <w:pPr>
        <w:pStyle w:val="NormalText"/>
        <w:rPr>
          <w:rStyle w:val="Hyperlink"/>
        </w:rPr>
      </w:pPr>
      <w:r>
        <w:rPr>
          <w:rStyle w:val="Hyperlink"/>
          <w:color w:val="auto"/>
          <w:u w:val="none"/>
        </w:rPr>
        <w:fldChar w:fldCharType="end"/>
      </w:r>
      <w:r>
        <w:rPr>
          <w:rStyle w:val="Hyperlink"/>
          <w:color w:val="auto"/>
          <w:u w:val="none"/>
        </w:rPr>
        <w:fldChar w:fldCharType="begin"/>
      </w:r>
      <w:r>
        <w:rPr>
          <w:rStyle w:val="Hyperlink"/>
          <w:color w:val="auto"/>
          <w:u w:val="none"/>
        </w:rPr>
        <w:instrText xml:space="preserve"> HYPERLINK "https://apvma.gov.au/node/38646" </w:instrText>
      </w:r>
      <w:r>
        <w:rPr>
          <w:rStyle w:val="Hyperlink"/>
          <w:color w:val="auto"/>
          <w:u w:val="none"/>
        </w:rPr>
        <w:fldChar w:fldCharType="separate"/>
      </w:r>
      <w:r w:rsidR="00570AEC" w:rsidRPr="006B5C31">
        <w:rPr>
          <w:rStyle w:val="Hyperlink"/>
        </w:rPr>
        <w:t>APVMA VC-XC DSD.txt</w:t>
      </w:r>
    </w:p>
    <w:p w14:paraId="4072F095" w14:textId="17A3BD77" w:rsidR="00570AEC" w:rsidRPr="006B5C31" w:rsidRDefault="006B5C31" w:rsidP="00570AEC">
      <w:pPr>
        <w:pStyle w:val="NormalText"/>
        <w:rPr>
          <w:rStyle w:val="Hyperlink"/>
        </w:rPr>
      </w:pPr>
      <w:r>
        <w:rPr>
          <w:rStyle w:val="Hyperlink"/>
          <w:color w:val="auto"/>
          <w:u w:val="none"/>
        </w:rPr>
        <w:fldChar w:fldCharType="end"/>
      </w:r>
      <w:r>
        <w:rPr>
          <w:rStyle w:val="Hyperlink"/>
          <w:color w:val="auto"/>
          <w:u w:val="none"/>
        </w:rPr>
        <w:fldChar w:fldCharType="begin"/>
      </w:r>
      <w:r>
        <w:rPr>
          <w:rStyle w:val="Hyperlink"/>
          <w:color w:val="auto"/>
          <w:u w:val="none"/>
        </w:rPr>
        <w:instrText xml:space="preserve"> HYPERLINK "https://apvma.gov.au/node/38651" </w:instrText>
      </w:r>
      <w:r>
        <w:rPr>
          <w:rStyle w:val="Hyperlink"/>
          <w:color w:val="auto"/>
          <w:u w:val="none"/>
        </w:rPr>
        <w:fldChar w:fldCharType="separate"/>
      </w:r>
      <w:r w:rsidR="00570AEC" w:rsidRPr="006B5C31">
        <w:rPr>
          <w:rStyle w:val="Hyperlink"/>
        </w:rPr>
        <w:t>APVMA XC-UC DSD.txt</w:t>
      </w:r>
    </w:p>
    <w:p w14:paraId="265978A0" w14:textId="5F58DD46" w:rsidR="00570AEC" w:rsidRDefault="006B5C31" w:rsidP="00570AEC">
      <w:pPr>
        <w:pStyle w:val="NormalText"/>
      </w:pPr>
      <w:r>
        <w:rPr>
          <w:rStyle w:val="Hyperlink"/>
          <w:color w:val="auto"/>
          <w:u w:val="none"/>
        </w:rPr>
        <w:fldChar w:fldCharType="end"/>
      </w:r>
      <w:r w:rsidR="00570AEC" w:rsidRPr="00570AEC">
        <w:t>These DSDs represent the boundary of each droplet size classification. For example, a DSD finer than VF-F would be VERY FINE and a DSD coarser would be FINE, so VF-F is used for risk assessments for a FINE droplet size.</w:t>
      </w:r>
    </w:p>
    <w:p w14:paraId="75982C73" w14:textId="22B31E96" w:rsidR="00570AEC" w:rsidRDefault="00570AEC" w:rsidP="00570AEC">
      <w:pPr>
        <w:pStyle w:val="Caption"/>
      </w:pPr>
      <w:r>
        <w:rPr>
          <w:noProof/>
          <w:lang w:eastAsia="en-AU"/>
        </w:rPr>
        <w:drawing>
          <wp:anchor distT="0" distB="0" distL="114300" distR="114300" simplePos="0" relativeHeight="251682816" behindDoc="0" locked="0" layoutInCell="1" allowOverlap="1" wp14:anchorId="75F0B7A8" wp14:editId="3333087C">
            <wp:simplePos x="0" y="0"/>
            <wp:positionH relativeFrom="margin">
              <wp:posOffset>0</wp:posOffset>
            </wp:positionH>
            <wp:positionV relativeFrom="paragraph">
              <wp:posOffset>412115</wp:posOffset>
            </wp:positionV>
            <wp:extent cx="6115050" cy="3667125"/>
            <wp:effectExtent l="0" t="0" r="0" b="9525"/>
            <wp:wrapTopAndBottom/>
            <wp:docPr id="30" name="Picture 30" descr="Standard APVMA droplet size distribution boundary curves used for Fine, Medium, Coarse, Very Coarse, Extremely Coarse and Ultra Coarse  size categories." title="Chart of cumulative volume distributions for the reference nozzles used to establish standard deposition curv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6115050" cy="3667125"/>
                    </a:xfrm>
                    <a:prstGeom prst="rect">
                      <a:avLst/>
                    </a:prstGeom>
                    <a:noFill/>
                  </pic:spPr>
                </pic:pic>
              </a:graphicData>
            </a:graphic>
            <wp14:sizeRelH relativeFrom="margin">
              <wp14:pctWidth>0</wp14:pctWidth>
            </wp14:sizeRelH>
            <wp14:sizeRelV relativeFrom="margin">
              <wp14:pctHeight>0</wp14:pctHeight>
            </wp14:sizeRelV>
          </wp:anchor>
        </w:drawing>
      </w:r>
      <w:r w:rsidRPr="00570AEC">
        <w:t>Figure 17: Chart of cumulative volume distributions for the reference nozzles used to estab</w:t>
      </w:r>
      <w:r>
        <w:t>lish standard deposition curves</w:t>
      </w:r>
    </w:p>
    <w:p w14:paraId="342CF854" w14:textId="744F3D85" w:rsidR="00570AEC" w:rsidRPr="00570AEC" w:rsidRDefault="00570AEC" w:rsidP="00570AEC">
      <w:pPr>
        <w:pStyle w:val="NormalText"/>
      </w:pPr>
      <w:r w:rsidRPr="00570AEC">
        <w:t xml:space="preserve">NOTE: These DSDs are used for both boom sprayers and aircraft. ASABE S641, Droplet Size Classification of Aerial Application Nozzles, came into effect in May 2018 and the use of aircraft specific DSDs will be reviewed. In </w:t>
      </w:r>
      <w:r w:rsidRPr="00570AEC">
        <w:lastRenderedPageBreak/>
        <w:t>the interim, applications will proceed as outlined in this manual or sufficient information will need to be provided with an application to enable custom curves based on S641 to be established</w:t>
      </w:r>
      <w:r>
        <w:t>.</w:t>
      </w:r>
    </w:p>
    <w:p w14:paraId="4057F997" w14:textId="4731831E" w:rsidR="00570AEC" w:rsidRPr="00BB0CEC" w:rsidRDefault="00570AEC" w:rsidP="00570AEC">
      <w:pPr>
        <w:pStyle w:val="Caption"/>
      </w:pPr>
      <w:bookmarkStart w:id="74" w:name="_Toc14340893"/>
      <w:r>
        <w:t xml:space="preserve">Table </w:t>
      </w:r>
      <w:r w:rsidR="00371051">
        <w:rPr>
          <w:noProof/>
        </w:rPr>
        <w:fldChar w:fldCharType="begin"/>
      </w:r>
      <w:r w:rsidR="00371051">
        <w:rPr>
          <w:noProof/>
        </w:rPr>
        <w:instrText xml:space="preserve"> SEQ Table \* ARABIC </w:instrText>
      </w:r>
      <w:r w:rsidR="00371051">
        <w:rPr>
          <w:noProof/>
        </w:rPr>
        <w:fldChar w:fldCharType="separate"/>
      </w:r>
      <w:r w:rsidR="00037DBD">
        <w:rPr>
          <w:noProof/>
        </w:rPr>
        <w:t>14</w:t>
      </w:r>
      <w:r w:rsidR="00371051">
        <w:rPr>
          <w:noProof/>
        </w:rPr>
        <w:fldChar w:fldCharType="end"/>
      </w:r>
      <w:r w:rsidRPr="00BB0CEC">
        <w:t>:</w:t>
      </w:r>
      <w:r w:rsidRPr="00BB0CEC">
        <w:tab/>
      </w:r>
      <w:r>
        <w:rPr>
          <w:rFonts w:eastAsia="Calibri"/>
          <w:lang w:val="en-US"/>
        </w:rPr>
        <w:t>Summary droplet size statistics for the reference nozzles used to establish standard deposition curves</w:t>
      </w:r>
      <w:bookmarkEnd w:id="74"/>
    </w:p>
    <w:tbl>
      <w:tblPr>
        <w:tblStyle w:val="TableGrid2"/>
        <w:tblW w:w="5000" w:type="pct"/>
        <w:tblBorders>
          <w:left w:val="none" w:sz="0" w:space="0" w:color="auto"/>
          <w:right w:val="none" w:sz="0" w:space="0" w:color="auto"/>
          <w:insideV w:val="none" w:sz="0" w:space="0" w:color="auto"/>
        </w:tblBorders>
        <w:tblLook w:val="04A0" w:firstRow="1" w:lastRow="0" w:firstColumn="1" w:lastColumn="0" w:noHBand="0" w:noVBand="1"/>
        <w:tblCaption w:val="Table 14"/>
        <w:tblDescription w:val="Summary droplet size statistics for the reference nozzles used to establish standard deposition curves"/>
      </w:tblPr>
      <w:tblGrid>
        <w:gridCol w:w="2695"/>
        <w:gridCol w:w="2280"/>
        <w:gridCol w:w="2228"/>
        <w:gridCol w:w="2435"/>
      </w:tblGrid>
      <w:tr w:rsidR="006A2C90" w:rsidRPr="005C317E" w14:paraId="64F774E3" w14:textId="77777777" w:rsidTr="00964576">
        <w:trPr>
          <w:tblHeader/>
        </w:trPr>
        <w:tc>
          <w:tcPr>
            <w:tcW w:w="1398" w:type="pct"/>
            <w:shd w:val="clear" w:color="auto" w:fill="53284F" w:themeFill="accent5"/>
          </w:tcPr>
          <w:p w14:paraId="2532BF3D" w14:textId="6AA0FC89" w:rsidR="006A2C90" w:rsidRPr="005C317E" w:rsidRDefault="006A2C90" w:rsidP="00964576">
            <w:pPr>
              <w:pStyle w:val="APVMATableHead"/>
            </w:pPr>
            <w:r>
              <w:t>Standard reference curve</w:t>
            </w:r>
          </w:p>
        </w:tc>
        <w:tc>
          <w:tcPr>
            <w:tcW w:w="1183" w:type="pct"/>
            <w:shd w:val="clear" w:color="auto" w:fill="53284F" w:themeFill="accent5"/>
          </w:tcPr>
          <w:p w14:paraId="26DF5B02" w14:textId="77777777" w:rsidR="006A2C90" w:rsidRDefault="006A2C90" w:rsidP="00964576">
            <w:pPr>
              <w:pStyle w:val="APVMATableHead"/>
            </w:pPr>
            <w:r>
              <w:t>Dv0.1</w:t>
            </w:r>
          </w:p>
          <w:p w14:paraId="61B31904" w14:textId="77777777" w:rsidR="006A2C90" w:rsidRPr="005C317E" w:rsidRDefault="006A2C90" w:rsidP="00964576">
            <w:pPr>
              <w:pStyle w:val="APVMATableHead"/>
            </w:pPr>
            <w:r>
              <w:t>(µm)</w:t>
            </w:r>
          </w:p>
        </w:tc>
        <w:tc>
          <w:tcPr>
            <w:tcW w:w="1156" w:type="pct"/>
            <w:shd w:val="clear" w:color="auto" w:fill="53284F" w:themeFill="accent5"/>
          </w:tcPr>
          <w:p w14:paraId="2ED39E9F" w14:textId="77777777" w:rsidR="006A2C90" w:rsidRDefault="006A2C90" w:rsidP="00964576">
            <w:pPr>
              <w:pStyle w:val="APVMATableHead"/>
            </w:pPr>
            <w:r>
              <w:t>Dv0.5 or VMD</w:t>
            </w:r>
          </w:p>
          <w:p w14:paraId="07791062" w14:textId="77777777" w:rsidR="006A2C90" w:rsidRPr="005C317E" w:rsidRDefault="006A2C90" w:rsidP="00964576">
            <w:pPr>
              <w:pStyle w:val="APVMATableHead"/>
            </w:pPr>
            <w:r>
              <w:t>(µm)</w:t>
            </w:r>
          </w:p>
        </w:tc>
        <w:tc>
          <w:tcPr>
            <w:tcW w:w="1263" w:type="pct"/>
            <w:shd w:val="clear" w:color="auto" w:fill="53284F" w:themeFill="accent5"/>
          </w:tcPr>
          <w:p w14:paraId="4A76322E" w14:textId="77777777" w:rsidR="006A2C90" w:rsidRDefault="006A2C90" w:rsidP="00964576">
            <w:pPr>
              <w:pStyle w:val="APVMATableHead"/>
            </w:pPr>
            <w:r>
              <w:t>Dv0.9</w:t>
            </w:r>
          </w:p>
          <w:p w14:paraId="336FD97E" w14:textId="77777777" w:rsidR="006A2C90" w:rsidRPr="005C317E" w:rsidRDefault="006A2C90" w:rsidP="00964576">
            <w:pPr>
              <w:pStyle w:val="APVMATableHead"/>
            </w:pPr>
            <w:r>
              <w:t>(µm)</w:t>
            </w:r>
          </w:p>
        </w:tc>
      </w:tr>
      <w:tr w:rsidR="006A2C90" w:rsidRPr="005C317E" w14:paraId="28AF2EB7" w14:textId="77777777" w:rsidTr="00964576">
        <w:tc>
          <w:tcPr>
            <w:tcW w:w="1398" w:type="pct"/>
          </w:tcPr>
          <w:p w14:paraId="044C1890" w14:textId="77777777" w:rsidR="006A2C90" w:rsidRPr="005C317E" w:rsidRDefault="006A2C90" w:rsidP="00964576">
            <w:pPr>
              <w:pStyle w:val="APVMATableText"/>
            </w:pPr>
            <w:r>
              <w:t>Fine</w:t>
            </w:r>
          </w:p>
        </w:tc>
        <w:tc>
          <w:tcPr>
            <w:tcW w:w="1183" w:type="pct"/>
          </w:tcPr>
          <w:p w14:paraId="7656F598" w14:textId="77777777" w:rsidR="006A2C90" w:rsidRPr="005C317E" w:rsidRDefault="006A2C90" w:rsidP="00964576">
            <w:pPr>
              <w:pStyle w:val="APVMATableText"/>
            </w:pPr>
            <w:r>
              <w:t>58</w:t>
            </w:r>
          </w:p>
        </w:tc>
        <w:tc>
          <w:tcPr>
            <w:tcW w:w="1156" w:type="pct"/>
          </w:tcPr>
          <w:p w14:paraId="0118CBA6" w14:textId="77777777" w:rsidR="006A2C90" w:rsidRPr="005C317E" w:rsidRDefault="006A2C90" w:rsidP="00964576">
            <w:pPr>
              <w:pStyle w:val="APVMATableText"/>
            </w:pPr>
            <w:r>
              <w:t>126</w:t>
            </w:r>
          </w:p>
        </w:tc>
        <w:tc>
          <w:tcPr>
            <w:tcW w:w="1263" w:type="pct"/>
          </w:tcPr>
          <w:p w14:paraId="2F49437F" w14:textId="77777777" w:rsidR="006A2C90" w:rsidRPr="005C317E" w:rsidRDefault="006A2C90" w:rsidP="00964576">
            <w:pPr>
              <w:pStyle w:val="APVMATableText"/>
            </w:pPr>
            <w:r>
              <w:t>206</w:t>
            </w:r>
          </w:p>
        </w:tc>
      </w:tr>
      <w:tr w:rsidR="006A2C90" w:rsidRPr="005C317E" w14:paraId="6CEB6C76" w14:textId="77777777" w:rsidTr="00964576">
        <w:tc>
          <w:tcPr>
            <w:tcW w:w="1398" w:type="pct"/>
          </w:tcPr>
          <w:p w14:paraId="639FDDB6" w14:textId="77777777" w:rsidR="006A2C90" w:rsidRPr="005C317E" w:rsidRDefault="006A2C90" w:rsidP="00964576">
            <w:pPr>
              <w:pStyle w:val="APVMATableText"/>
            </w:pPr>
            <w:r>
              <w:t>Medium</w:t>
            </w:r>
          </w:p>
        </w:tc>
        <w:tc>
          <w:tcPr>
            <w:tcW w:w="1183" w:type="pct"/>
          </w:tcPr>
          <w:p w14:paraId="07096C4B" w14:textId="77777777" w:rsidR="006A2C90" w:rsidRPr="005C317E" w:rsidRDefault="006A2C90" w:rsidP="00964576">
            <w:pPr>
              <w:pStyle w:val="APVMATableText"/>
            </w:pPr>
            <w:r>
              <w:t>115</w:t>
            </w:r>
          </w:p>
        </w:tc>
        <w:tc>
          <w:tcPr>
            <w:tcW w:w="1156" w:type="pct"/>
          </w:tcPr>
          <w:p w14:paraId="0F8C3AE3" w14:textId="77777777" w:rsidR="006A2C90" w:rsidRPr="005C317E" w:rsidRDefault="006A2C90" w:rsidP="00964576">
            <w:pPr>
              <w:pStyle w:val="APVMATableText"/>
            </w:pPr>
            <w:r>
              <w:t>225</w:t>
            </w:r>
          </w:p>
        </w:tc>
        <w:tc>
          <w:tcPr>
            <w:tcW w:w="1263" w:type="pct"/>
          </w:tcPr>
          <w:p w14:paraId="11BBCE70" w14:textId="77777777" w:rsidR="006A2C90" w:rsidRPr="005C317E" w:rsidRDefault="006A2C90" w:rsidP="00964576">
            <w:pPr>
              <w:pStyle w:val="APVMATableText"/>
            </w:pPr>
            <w:r>
              <w:t>347</w:t>
            </w:r>
          </w:p>
        </w:tc>
      </w:tr>
      <w:tr w:rsidR="006A2C90" w:rsidRPr="005C317E" w14:paraId="4D9BEA40" w14:textId="77777777" w:rsidTr="00964576">
        <w:tc>
          <w:tcPr>
            <w:tcW w:w="1398" w:type="pct"/>
          </w:tcPr>
          <w:p w14:paraId="1EACD98A" w14:textId="77777777" w:rsidR="006A2C90" w:rsidRPr="005C317E" w:rsidRDefault="006A2C90" w:rsidP="00964576">
            <w:pPr>
              <w:pStyle w:val="APVMATableText"/>
            </w:pPr>
            <w:r>
              <w:t>Coarse</w:t>
            </w:r>
          </w:p>
        </w:tc>
        <w:tc>
          <w:tcPr>
            <w:tcW w:w="1183" w:type="pct"/>
          </w:tcPr>
          <w:p w14:paraId="6822418C" w14:textId="77777777" w:rsidR="006A2C90" w:rsidRPr="005C317E" w:rsidRDefault="006A2C90" w:rsidP="00964576">
            <w:pPr>
              <w:pStyle w:val="APVMATableText"/>
            </w:pPr>
            <w:r>
              <w:t>163</w:t>
            </w:r>
          </w:p>
        </w:tc>
        <w:tc>
          <w:tcPr>
            <w:tcW w:w="1156" w:type="pct"/>
          </w:tcPr>
          <w:p w14:paraId="05397D77" w14:textId="77777777" w:rsidR="006A2C90" w:rsidRPr="005C317E" w:rsidRDefault="006A2C90" w:rsidP="00964576">
            <w:pPr>
              <w:pStyle w:val="APVMATableText"/>
            </w:pPr>
            <w:r>
              <w:t>329</w:t>
            </w:r>
          </w:p>
        </w:tc>
        <w:tc>
          <w:tcPr>
            <w:tcW w:w="1263" w:type="pct"/>
          </w:tcPr>
          <w:p w14:paraId="098EFD66" w14:textId="77777777" w:rsidR="006A2C90" w:rsidRPr="005C317E" w:rsidRDefault="006A2C90" w:rsidP="00964576">
            <w:pPr>
              <w:pStyle w:val="APVMATableText"/>
            </w:pPr>
            <w:r>
              <w:t>516</w:t>
            </w:r>
          </w:p>
        </w:tc>
      </w:tr>
      <w:tr w:rsidR="006A2C90" w:rsidRPr="005C317E" w14:paraId="0ED9CB05" w14:textId="77777777" w:rsidTr="00964576">
        <w:tc>
          <w:tcPr>
            <w:tcW w:w="1398" w:type="pct"/>
          </w:tcPr>
          <w:p w14:paraId="71767BEE" w14:textId="2462D160" w:rsidR="006A2C90" w:rsidRPr="005C317E" w:rsidRDefault="006A2C90" w:rsidP="00964576">
            <w:pPr>
              <w:pStyle w:val="APVMATableText"/>
            </w:pPr>
            <w:r>
              <w:t>Very coarse</w:t>
            </w:r>
          </w:p>
        </w:tc>
        <w:tc>
          <w:tcPr>
            <w:tcW w:w="1183" w:type="pct"/>
          </w:tcPr>
          <w:p w14:paraId="697D3BC4" w14:textId="77777777" w:rsidR="006A2C90" w:rsidRPr="005C317E" w:rsidRDefault="006A2C90" w:rsidP="00964576">
            <w:pPr>
              <w:pStyle w:val="APVMATableText"/>
            </w:pPr>
            <w:r>
              <w:t>210</w:t>
            </w:r>
          </w:p>
        </w:tc>
        <w:tc>
          <w:tcPr>
            <w:tcW w:w="1156" w:type="pct"/>
          </w:tcPr>
          <w:p w14:paraId="046AB409" w14:textId="77777777" w:rsidR="006A2C90" w:rsidRPr="005C317E" w:rsidRDefault="006A2C90" w:rsidP="00964576">
            <w:pPr>
              <w:pStyle w:val="APVMATableText"/>
            </w:pPr>
            <w:r>
              <w:t>440</w:t>
            </w:r>
          </w:p>
        </w:tc>
        <w:tc>
          <w:tcPr>
            <w:tcW w:w="1263" w:type="pct"/>
          </w:tcPr>
          <w:p w14:paraId="0C896AFB" w14:textId="77777777" w:rsidR="006A2C90" w:rsidRPr="005C317E" w:rsidRDefault="006A2C90" w:rsidP="00964576">
            <w:pPr>
              <w:pStyle w:val="APVMATableText"/>
            </w:pPr>
            <w:r>
              <w:t>708</w:t>
            </w:r>
          </w:p>
        </w:tc>
      </w:tr>
      <w:tr w:rsidR="006A2C90" w:rsidRPr="005C317E" w14:paraId="52D76F01" w14:textId="77777777" w:rsidTr="00964576">
        <w:tc>
          <w:tcPr>
            <w:tcW w:w="1398" w:type="pct"/>
          </w:tcPr>
          <w:p w14:paraId="544E3C42" w14:textId="37D5F3E8" w:rsidR="006A2C90" w:rsidRPr="005C317E" w:rsidRDefault="006A2C90" w:rsidP="00964576">
            <w:pPr>
              <w:pStyle w:val="APVMATableText"/>
            </w:pPr>
            <w:r>
              <w:t>Extremely coarse</w:t>
            </w:r>
          </w:p>
        </w:tc>
        <w:tc>
          <w:tcPr>
            <w:tcW w:w="1183" w:type="pct"/>
          </w:tcPr>
          <w:p w14:paraId="586A87B7" w14:textId="77777777" w:rsidR="006A2C90" w:rsidRPr="005C317E" w:rsidRDefault="006A2C90" w:rsidP="00964576">
            <w:pPr>
              <w:pStyle w:val="APVMATableText"/>
            </w:pPr>
            <w:r>
              <w:t>249</w:t>
            </w:r>
          </w:p>
        </w:tc>
        <w:tc>
          <w:tcPr>
            <w:tcW w:w="1156" w:type="pct"/>
          </w:tcPr>
          <w:p w14:paraId="09E56C39" w14:textId="77777777" w:rsidR="006A2C90" w:rsidRPr="005C317E" w:rsidRDefault="006A2C90" w:rsidP="00964576">
            <w:pPr>
              <w:pStyle w:val="APVMATableText"/>
            </w:pPr>
            <w:r>
              <w:t>524</w:t>
            </w:r>
          </w:p>
        </w:tc>
        <w:tc>
          <w:tcPr>
            <w:tcW w:w="1263" w:type="pct"/>
          </w:tcPr>
          <w:p w14:paraId="41757A08" w14:textId="77777777" w:rsidR="006A2C90" w:rsidRPr="005C317E" w:rsidRDefault="006A2C90" w:rsidP="00964576">
            <w:pPr>
              <w:pStyle w:val="APVMATableText"/>
            </w:pPr>
            <w:r>
              <w:t>844</w:t>
            </w:r>
          </w:p>
        </w:tc>
      </w:tr>
      <w:tr w:rsidR="006A2C90" w:rsidRPr="005C317E" w14:paraId="7BD3A686" w14:textId="77777777" w:rsidTr="00964576">
        <w:tc>
          <w:tcPr>
            <w:tcW w:w="1398" w:type="pct"/>
          </w:tcPr>
          <w:p w14:paraId="2DCA5AFF" w14:textId="792E71B7" w:rsidR="006A2C90" w:rsidRDefault="006A2C90" w:rsidP="00964576">
            <w:pPr>
              <w:pStyle w:val="APVMATableText"/>
            </w:pPr>
            <w:r>
              <w:t>Ultra coarse</w:t>
            </w:r>
          </w:p>
        </w:tc>
        <w:tc>
          <w:tcPr>
            <w:tcW w:w="1183" w:type="pct"/>
          </w:tcPr>
          <w:p w14:paraId="4711B61D" w14:textId="77777777" w:rsidR="006A2C90" w:rsidRPr="005C317E" w:rsidRDefault="006A2C90" w:rsidP="00964576">
            <w:pPr>
              <w:pStyle w:val="APVMATableText"/>
            </w:pPr>
            <w:r>
              <w:t>315</w:t>
            </w:r>
          </w:p>
        </w:tc>
        <w:tc>
          <w:tcPr>
            <w:tcW w:w="1156" w:type="pct"/>
          </w:tcPr>
          <w:p w14:paraId="0D844956" w14:textId="77777777" w:rsidR="006A2C90" w:rsidRPr="005C317E" w:rsidRDefault="006A2C90" w:rsidP="00964576">
            <w:pPr>
              <w:pStyle w:val="APVMATableText"/>
            </w:pPr>
            <w:r>
              <w:t>646</w:t>
            </w:r>
          </w:p>
        </w:tc>
        <w:tc>
          <w:tcPr>
            <w:tcW w:w="1263" w:type="pct"/>
          </w:tcPr>
          <w:p w14:paraId="26FE10B5" w14:textId="77777777" w:rsidR="006A2C90" w:rsidRPr="005C317E" w:rsidRDefault="006A2C90" w:rsidP="00964576">
            <w:pPr>
              <w:pStyle w:val="APVMATableText"/>
            </w:pPr>
            <w:r>
              <w:t>1021</w:t>
            </w:r>
          </w:p>
        </w:tc>
      </w:tr>
    </w:tbl>
    <w:p w14:paraId="678FFB98" w14:textId="77777777" w:rsidR="006A2C90" w:rsidRDefault="006A2C90" w:rsidP="00570AEC">
      <w:pPr>
        <w:pStyle w:val="NormalText"/>
        <w:sectPr w:rsidR="006A2C90" w:rsidSect="00CB58D6">
          <w:pgSz w:w="11906" w:h="16838" w:code="9"/>
          <w:pgMar w:top="2835" w:right="1134" w:bottom="1134" w:left="1134" w:header="1701" w:footer="680" w:gutter="0"/>
          <w:cols w:space="708"/>
          <w:docGrid w:linePitch="360"/>
        </w:sectPr>
      </w:pPr>
    </w:p>
    <w:p w14:paraId="51CCDE2A" w14:textId="7548B1C0" w:rsidR="002E20AC" w:rsidRDefault="002E20AC" w:rsidP="00570AEC">
      <w:pPr>
        <w:pStyle w:val="APVMAAppendixH1"/>
      </w:pPr>
      <w:bookmarkStart w:id="75" w:name="_Toc414373845"/>
      <w:bookmarkStart w:id="76" w:name="_Toc14340876"/>
      <w:r>
        <w:lastRenderedPageBreak/>
        <w:t>Appendix B</w:t>
      </w:r>
      <w:bookmarkEnd w:id="75"/>
      <w:r w:rsidR="00570AEC">
        <w:t>: Evaluation of AGDISP ground model</w:t>
      </w:r>
      <w:bookmarkEnd w:id="76"/>
    </w:p>
    <w:p w14:paraId="4924483F" w14:textId="77777777" w:rsidR="00570AEC" w:rsidRPr="00570AEC" w:rsidRDefault="00570AEC" w:rsidP="00570AEC">
      <w:pPr>
        <w:pStyle w:val="NormalText"/>
      </w:pPr>
      <w:r w:rsidRPr="00570AEC">
        <w:t>The Technical Working Group, (TWG) of the National Working Party on Pesticide Applications (NWPPA) evaluated the suitability of AGDISP ground for establishing buffers for ground boom application. Raw field data from the US Spray Drift Task Force (SDTF) as well as spray drift deposit data from Australian studies was sourced to form a benchmark against which the model outputs could be compared.</w:t>
      </w:r>
    </w:p>
    <w:p w14:paraId="0FF469BD" w14:textId="72DE0E67" w:rsidR="00570AEC" w:rsidRPr="00570AEC" w:rsidRDefault="00570AEC" w:rsidP="00570AEC">
      <w:pPr>
        <w:pStyle w:val="NormalText"/>
      </w:pPr>
      <w:r w:rsidRPr="00570AEC">
        <w:t>Deposition data from 46 trial from the SDTF and 24 trial from the Universit</w:t>
      </w:r>
      <w:r w:rsidR="007300D9">
        <w:t xml:space="preserve">y of Queensland were modelled. </w:t>
      </w:r>
      <w:r w:rsidRPr="00570AEC">
        <w:t>It was found that Air Injection (AI) setting was more appropriate for the fine sprays and that the Flat Fan (FF) setting was more appropria</w:t>
      </w:r>
      <w:r w:rsidR="006A2C90">
        <w:t>te for ultra-coarse scenarios. F</w:t>
      </w:r>
      <w:r w:rsidRPr="00570AEC">
        <w:t>igure 18 shows that across all data sets, model predictions with the FF setting (red points) tended to over predict deposit compared to the measured field deposition and the AI setting (green points) tende</w:t>
      </w:r>
      <w:r w:rsidR="007300D9">
        <w:t xml:space="preserve">d to under predict deposition. </w:t>
      </w:r>
      <w:r w:rsidRPr="00570AEC">
        <w:t>When the modelled downwind curves were weighted between the AI and FF model outputs (graduated AGDISP, blue points) there was a much closer correlation between model pr</w:t>
      </w:r>
      <w:r w:rsidR="00460E9D">
        <w:t>ediction and measured deposit (f</w:t>
      </w:r>
      <w:r w:rsidRPr="00570AEC">
        <w:t>igure 19)</w:t>
      </w:r>
      <w:r>
        <w:t>.</w:t>
      </w:r>
    </w:p>
    <w:p w14:paraId="01B00C28" w14:textId="54AAAAE7" w:rsidR="007300D9" w:rsidRDefault="007300D9" w:rsidP="007300D9">
      <w:pPr>
        <w:pStyle w:val="Caption"/>
      </w:pPr>
      <w:r w:rsidRPr="000C62F5">
        <w:rPr>
          <w:noProof/>
          <w:lang w:eastAsia="en-AU"/>
        </w:rPr>
        <w:drawing>
          <wp:anchor distT="0" distB="0" distL="114300" distR="114300" simplePos="0" relativeHeight="251684864" behindDoc="0" locked="0" layoutInCell="1" allowOverlap="1" wp14:anchorId="1C351796" wp14:editId="1F022376">
            <wp:simplePos x="0" y="0"/>
            <wp:positionH relativeFrom="column">
              <wp:posOffset>636</wp:posOffset>
            </wp:positionH>
            <wp:positionV relativeFrom="paragraph">
              <wp:posOffset>478790</wp:posOffset>
            </wp:positionV>
            <wp:extent cx="6096851" cy="3429479"/>
            <wp:effectExtent l="0" t="0" r="0" b="0"/>
            <wp:wrapTopAndBottom/>
            <wp:docPr id="14" name="Picture 14" descr="Across all data sets, model predictions with the FF setting (red points) tended to over predict deposit compared to the measured field deposition and the AI setting (green points) tended to under predict deposition.  When the modelled downwind curves were weighted between the AI and FF model outputs (graduated AGDISP, blue points) there was a much closer correlation between model prediction and measured deposit " title="Field versus AGDISP 8.28 model predi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9">
                      <a:extLst>
                        <a:ext uri="{28A0092B-C50C-407E-A947-70E740481C1C}">
                          <a14:useLocalDpi xmlns:a14="http://schemas.microsoft.com/office/drawing/2010/main" val="0"/>
                        </a:ext>
                      </a:extLst>
                    </a:blip>
                    <a:stretch>
                      <a:fillRect/>
                    </a:stretch>
                  </pic:blipFill>
                  <pic:spPr>
                    <a:xfrm>
                      <a:off x="0" y="0"/>
                      <a:ext cx="6096851" cy="3429479"/>
                    </a:xfrm>
                    <a:prstGeom prst="rect">
                      <a:avLst/>
                    </a:prstGeom>
                  </pic:spPr>
                </pic:pic>
              </a:graphicData>
            </a:graphic>
          </wp:anchor>
        </w:drawing>
      </w:r>
      <w:r w:rsidRPr="007300D9">
        <w:t>Figure 18: Field versus AGDISP 8.28 model predictions for Flat Fan (FF), Air Injection (AI) and a graduated approach between FF and AI</w:t>
      </w:r>
    </w:p>
    <w:p w14:paraId="78282B16" w14:textId="0208CD13" w:rsidR="007300D9" w:rsidRDefault="007300D9" w:rsidP="007300D9">
      <w:pPr>
        <w:pStyle w:val="NormalText"/>
      </w:pPr>
      <w:r>
        <w:br w:type="page"/>
      </w:r>
    </w:p>
    <w:p w14:paraId="1F48A817" w14:textId="312F3A2D" w:rsidR="007300D9" w:rsidRPr="007300D9" w:rsidRDefault="007300D9" w:rsidP="007300D9">
      <w:pPr>
        <w:pStyle w:val="Caption"/>
      </w:pPr>
      <w:r>
        <w:rPr>
          <w:noProof/>
          <w:lang w:eastAsia="en-AU"/>
        </w:rPr>
        <w:lastRenderedPageBreak/>
        <w:drawing>
          <wp:anchor distT="0" distB="0" distL="114300" distR="114300" simplePos="0" relativeHeight="251686912" behindDoc="0" locked="0" layoutInCell="1" allowOverlap="1" wp14:anchorId="0C59D073" wp14:editId="6E8D3D82">
            <wp:simplePos x="0" y="0"/>
            <wp:positionH relativeFrom="margin">
              <wp:posOffset>3810</wp:posOffset>
            </wp:positionH>
            <wp:positionV relativeFrom="paragraph">
              <wp:posOffset>276225</wp:posOffset>
            </wp:positionV>
            <wp:extent cx="6054090" cy="4624705"/>
            <wp:effectExtent l="0" t="0" r="0" b="0"/>
            <wp:wrapTopAndBottom/>
            <wp:docPr id="8" name="Picture 8" descr="Regresion analysis shows an adjustetd R-square of 0.814." title="Regression analysis of the graduated AGDISP model prediction and field deposi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6054090" cy="4624705"/>
                    </a:xfrm>
                    <a:prstGeom prst="rect">
                      <a:avLst/>
                    </a:prstGeom>
                    <a:noFill/>
                  </pic:spPr>
                </pic:pic>
              </a:graphicData>
            </a:graphic>
            <wp14:sizeRelH relativeFrom="margin">
              <wp14:pctWidth>0</wp14:pctWidth>
            </wp14:sizeRelH>
            <wp14:sizeRelV relativeFrom="margin">
              <wp14:pctHeight>0</wp14:pctHeight>
            </wp14:sizeRelV>
          </wp:anchor>
        </w:drawing>
      </w:r>
      <w:r w:rsidRPr="007300D9">
        <w:t>Figure 19: Regression analysis of the graduated AGDISP model prediction and field deposition</w:t>
      </w:r>
    </w:p>
    <w:p w14:paraId="326C3626" w14:textId="77777777" w:rsidR="009D452E" w:rsidRPr="009D452E" w:rsidRDefault="009D452E" w:rsidP="009D452E">
      <w:pPr>
        <w:pStyle w:val="NormalText"/>
      </w:pPr>
    </w:p>
    <w:p w14:paraId="7C6621FF" w14:textId="77777777" w:rsidR="009D452E" w:rsidRPr="009D452E" w:rsidRDefault="009D452E" w:rsidP="009D452E">
      <w:pPr>
        <w:pStyle w:val="NormalText"/>
        <w:sectPr w:rsidR="009D452E" w:rsidRPr="009D452E" w:rsidSect="00CB58D6">
          <w:headerReference w:type="even" r:id="rId111"/>
          <w:headerReference w:type="default" r:id="rId112"/>
          <w:pgSz w:w="11906" w:h="16838" w:code="9"/>
          <w:pgMar w:top="2835" w:right="1134" w:bottom="1134" w:left="1134" w:header="1701" w:footer="680" w:gutter="0"/>
          <w:cols w:space="708"/>
          <w:docGrid w:linePitch="360"/>
        </w:sectPr>
      </w:pPr>
    </w:p>
    <w:p w14:paraId="75333DCD" w14:textId="77777777" w:rsidR="002E20AC" w:rsidRDefault="002E20AC" w:rsidP="007300D9">
      <w:pPr>
        <w:pStyle w:val="APVMAGlossaryRefH1"/>
        <w:spacing w:after="240"/>
      </w:pPr>
      <w:bookmarkStart w:id="77" w:name="_Toc414373848"/>
      <w:bookmarkStart w:id="78" w:name="_Toc14340877"/>
      <w:r>
        <w:lastRenderedPageBreak/>
        <w:t>Abbreviations</w:t>
      </w:r>
      <w:bookmarkEnd w:id="71"/>
      <w:bookmarkEnd w:id="77"/>
      <w:bookmarkEnd w:id="78"/>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2142"/>
        <w:gridCol w:w="7496"/>
      </w:tblGrid>
      <w:tr w:rsidR="002E20AC" w14:paraId="57337031" w14:textId="77777777" w:rsidTr="004E7D7E">
        <w:tc>
          <w:tcPr>
            <w:tcW w:w="1111" w:type="pct"/>
          </w:tcPr>
          <w:p w14:paraId="534BFF37" w14:textId="0E8DC596" w:rsidR="002E20AC" w:rsidRDefault="007300D9">
            <w:pPr>
              <w:pStyle w:val="APVMATableText"/>
            </w:pPr>
            <w:r>
              <w:t>DSD</w:t>
            </w:r>
          </w:p>
        </w:tc>
        <w:tc>
          <w:tcPr>
            <w:tcW w:w="3889" w:type="pct"/>
          </w:tcPr>
          <w:p w14:paraId="258AC1A4" w14:textId="60263AD0" w:rsidR="002E20AC" w:rsidRDefault="007300D9" w:rsidP="00E70840">
            <w:pPr>
              <w:pStyle w:val="APVMATableText"/>
            </w:pPr>
            <w:r>
              <w:t>Droplet size distribution</w:t>
            </w:r>
          </w:p>
        </w:tc>
      </w:tr>
      <w:tr w:rsidR="002E20AC" w14:paraId="662DE0CB" w14:textId="77777777" w:rsidTr="004E7D7E">
        <w:tc>
          <w:tcPr>
            <w:tcW w:w="1111" w:type="pct"/>
          </w:tcPr>
          <w:p w14:paraId="6B63E9CE" w14:textId="06EC14CD" w:rsidR="002E20AC" w:rsidRDefault="007300D9">
            <w:pPr>
              <w:pStyle w:val="APVMATableText"/>
            </w:pPr>
            <w:r>
              <w:t>RAL</w:t>
            </w:r>
          </w:p>
        </w:tc>
        <w:tc>
          <w:tcPr>
            <w:tcW w:w="3889" w:type="pct"/>
          </w:tcPr>
          <w:p w14:paraId="730D7427" w14:textId="18960202" w:rsidR="002E20AC" w:rsidRDefault="007300D9">
            <w:pPr>
              <w:pStyle w:val="APVMATableText"/>
            </w:pPr>
            <w:r>
              <w:t>Regulatory acceptable level</w:t>
            </w:r>
          </w:p>
        </w:tc>
      </w:tr>
      <w:tr w:rsidR="002E20AC" w14:paraId="691D80BA" w14:textId="77777777" w:rsidTr="004E7D7E">
        <w:tc>
          <w:tcPr>
            <w:tcW w:w="1111" w:type="pct"/>
          </w:tcPr>
          <w:p w14:paraId="0915C9DB" w14:textId="5FE2AA0B" w:rsidR="002E20AC" w:rsidRDefault="007300D9">
            <w:pPr>
              <w:pStyle w:val="APVMATableText"/>
            </w:pPr>
            <w:r>
              <w:t>SDMT</w:t>
            </w:r>
          </w:p>
        </w:tc>
        <w:tc>
          <w:tcPr>
            <w:tcW w:w="3889" w:type="pct"/>
          </w:tcPr>
          <w:p w14:paraId="23ED7E93" w14:textId="4FCCBE36" w:rsidR="002E20AC" w:rsidRDefault="007300D9">
            <w:pPr>
              <w:pStyle w:val="APVMATableText"/>
            </w:pPr>
            <w:r>
              <w:t>Spray drift management tool</w:t>
            </w:r>
          </w:p>
        </w:tc>
      </w:tr>
      <w:tr w:rsidR="002E20AC" w14:paraId="2F4AE797" w14:textId="77777777" w:rsidTr="004E7D7E">
        <w:tc>
          <w:tcPr>
            <w:tcW w:w="1111" w:type="pct"/>
          </w:tcPr>
          <w:p w14:paraId="2BE049AC" w14:textId="5725A755" w:rsidR="002E20AC" w:rsidRDefault="007300D9">
            <w:pPr>
              <w:pStyle w:val="APVMATableText"/>
            </w:pPr>
            <w:r>
              <w:t>SDRAM</w:t>
            </w:r>
          </w:p>
        </w:tc>
        <w:tc>
          <w:tcPr>
            <w:tcW w:w="3889" w:type="pct"/>
          </w:tcPr>
          <w:p w14:paraId="567706C0" w14:textId="3433B9B3" w:rsidR="002E20AC" w:rsidRDefault="007300D9">
            <w:pPr>
              <w:pStyle w:val="APVMATableText"/>
            </w:pPr>
            <w:r>
              <w:t>Spray drift risk assessment manual</w:t>
            </w:r>
          </w:p>
        </w:tc>
      </w:tr>
      <w:tr w:rsidR="002E20AC" w14:paraId="3326EDE9" w14:textId="77777777" w:rsidTr="004E7D7E">
        <w:tc>
          <w:tcPr>
            <w:tcW w:w="1111" w:type="pct"/>
          </w:tcPr>
          <w:p w14:paraId="67A35EA6" w14:textId="69961DEE" w:rsidR="002E20AC" w:rsidRDefault="007300D9">
            <w:pPr>
              <w:pStyle w:val="APVMATableText"/>
            </w:pPr>
            <w:r>
              <w:t>SDRAT</w:t>
            </w:r>
          </w:p>
        </w:tc>
        <w:tc>
          <w:tcPr>
            <w:tcW w:w="3889" w:type="pct"/>
          </w:tcPr>
          <w:p w14:paraId="0172FB7F" w14:textId="6A085D0C" w:rsidR="002E20AC" w:rsidRDefault="007300D9">
            <w:pPr>
              <w:pStyle w:val="APVMATableText"/>
            </w:pPr>
            <w:r>
              <w:t>Spray drift risk assessment tool</w:t>
            </w:r>
          </w:p>
        </w:tc>
      </w:tr>
    </w:tbl>
    <w:p w14:paraId="36750028" w14:textId="77777777" w:rsidR="002E20AC" w:rsidRDefault="002E20AC">
      <w:pPr>
        <w:pStyle w:val="NormalText"/>
        <w:tabs>
          <w:tab w:val="left" w:pos="1361"/>
        </w:tabs>
      </w:pPr>
    </w:p>
    <w:p w14:paraId="4193C8EF" w14:textId="77777777" w:rsidR="009D452E" w:rsidRDefault="009D452E">
      <w:pPr>
        <w:pStyle w:val="NormalText"/>
        <w:tabs>
          <w:tab w:val="left" w:pos="1361"/>
        </w:tabs>
        <w:sectPr w:rsidR="009D452E" w:rsidSect="00CB58D6">
          <w:pgSz w:w="11906" w:h="16838" w:code="9"/>
          <w:pgMar w:top="2835" w:right="1134" w:bottom="1134" w:left="1134" w:header="1701" w:footer="680" w:gutter="0"/>
          <w:cols w:space="708"/>
          <w:docGrid w:linePitch="360"/>
        </w:sectPr>
      </w:pPr>
    </w:p>
    <w:p w14:paraId="06DF5CFE" w14:textId="7004DE00" w:rsidR="002E20AC" w:rsidRDefault="002E20AC" w:rsidP="007300D9">
      <w:pPr>
        <w:pStyle w:val="APVMAGlossaryRefH1"/>
        <w:spacing w:after="240"/>
      </w:pPr>
      <w:bookmarkStart w:id="79" w:name="_Toc414373849"/>
      <w:bookmarkStart w:id="80" w:name="_Toc14340878"/>
      <w:r>
        <w:lastRenderedPageBreak/>
        <w:t>Glossary</w:t>
      </w:r>
      <w:bookmarkEnd w:id="72"/>
      <w:bookmarkEnd w:id="79"/>
      <w:bookmarkEnd w:id="80"/>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2142"/>
        <w:gridCol w:w="7496"/>
      </w:tblGrid>
      <w:tr w:rsidR="007300D9" w14:paraId="1369323B" w14:textId="77777777" w:rsidTr="004E7D7E">
        <w:tc>
          <w:tcPr>
            <w:tcW w:w="1111" w:type="pct"/>
          </w:tcPr>
          <w:p w14:paraId="41FF23B0" w14:textId="0EF9250A" w:rsidR="007300D9" w:rsidRPr="007300D9" w:rsidRDefault="007300D9" w:rsidP="007300D9">
            <w:pPr>
              <w:pStyle w:val="APVMATableText"/>
            </w:pPr>
            <w:r>
              <w:t>Agricultural crops</w:t>
            </w:r>
          </w:p>
        </w:tc>
        <w:tc>
          <w:tcPr>
            <w:tcW w:w="3889" w:type="pct"/>
          </w:tcPr>
          <w:p w14:paraId="49137E10" w14:textId="77777777" w:rsidR="007300D9" w:rsidRPr="007300D9" w:rsidRDefault="007300D9" w:rsidP="007300D9">
            <w:pPr>
              <w:pStyle w:val="APVMATableText"/>
            </w:pPr>
            <w:r w:rsidRPr="007300D9">
              <w:t>‘Agricultural crops’ means any terrestrial plant species grown commercially for food, fibre, foliage, fuel or medicinal production, with the following exception:</w:t>
            </w:r>
          </w:p>
          <w:p w14:paraId="7408DF3E" w14:textId="564AA865" w:rsidR="007300D9" w:rsidRPr="007300D9" w:rsidRDefault="007300D9" w:rsidP="007300D9">
            <w:pPr>
              <w:pStyle w:val="APVMATableBullet"/>
            </w:pPr>
            <w:r w:rsidRPr="004E7D7E">
              <w:rPr>
                <w:color w:val="auto"/>
              </w:rPr>
              <w:t>plants that are not part of a crop under management at the time of pesticide application (eg blackberries or volunteer grain plants that have escaped from a cropped area and become weeds in another area).</w:t>
            </w:r>
          </w:p>
        </w:tc>
      </w:tr>
      <w:tr w:rsidR="007300D9" w14:paraId="09DC15D2" w14:textId="77777777" w:rsidTr="004E7D7E">
        <w:tc>
          <w:tcPr>
            <w:tcW w:w="1111" w:type="pct"/>
          </w:tcPr>
          <w:p w14:paraId="45B8B9B4" w14:textId="737D808C" w:rsidR="007300D9" w:rsidRPr="007300D9" w:rsidRDefault="007300D9" w:rsidP="007300D9">
            <w:pPr>
              <w:pStyle w:val="APVMATableText"/>
            </w:pPr>
            <w:r w:rsidRPr="007300D9">
              <w:t>Aircraft</w:t>
            </w:r>
          </w:p>
        </w:tc>
        <w:tc>
          <w:tcPr>
            <w:tcW w:w="3889" w:type="pct"/>
          </w:tcPr>
          <w:p w14:paraId="5AB9180A" w14:textId="5365E382" w:rsidR="007300D9" w:rsidRPr="007300D9" w:rsidRDefault="007300D9" w:rsidP="007300D9">
            <w:pPr>
              <w:pStyle w:val="APVMATableText"/>
            </w:pPr>
            <w:r w:rsidRPr="007300D9">
              <w:t>An ‘aircraft’ is a fixed-wing or rotary aircraft that applies spray in-flight. This includes unmanned aerial vehicles (UAVs). This excludes application equipment defined as a ‘boom sprayer’ or ‘vertical sprayer’ or when the product is used for any use pattern not requiring a spray drift risk assessment (see section 2.2).</w:t>
            </w:r>
          </w:p>
        </w:tc>
      </w:tr>
      <w:tr w:rsidR="007300D9" w14:paraId="472546B9" w14:textId="77777777" w:rsidTr="004E7D7E">
        <w:tc>
          <w:tcPr>
            <w:tcW w:w="1111" w:type="pct"/>
          </w:tcPr>
          <w:p w14:paraId="5B3DD920" w14:textId="03F9A647" w:rsidR="007300D9" w:rsidRDefault="007300D9" w:rsidP="007300D9">
            <w:pPr>
              <w:pStyle w:val="APVMATableText"/>
            </w:pPr>
            <w:r w:rsidRPr="001039E4">
              <w:t>Application site</w:t>
            </w:r>
          </w:p>
        </w:tc>
        <w:tc>
          <w:tcPr>
            <w:tcW w:w="3889" w:type="pct"/>
          </w:tcPr>
          <w:p w14:paraId="6EBF9789" w14:textId="74BA655F" w:rsidR="007300D9" w:rsidRDefault="007300D9" w:rsidP="007300D9">
            <w:pPr>
              <w:pStyle w:val="APVMATableText"/>
            </w:pPr>
            <w:r>
              <w:t>The ‘</w:t>
            </w:r>
            <w:r w:rsidRPr="00F13EB3">
              <w:t>application site’ refers to the area</w:t>
            </w:r>
            <w:r>
              <w:t xml:space="preserve"> or field</w:t>
            </w:r>
            <w:r w:rsidRPr="00F13EB3">
              <w:t xml:space="preserve"> where it is intended for the spray to be applied</w:t>
            </w:r>
            <w:r>
              <w:t>.</w:t>
            </w:r>
          </w:p>
        </w:tc>
      </w:tr>
      <w:tr w:rsidR="007300D9" w14:paraId="2FA069F4" w14:textId="77777777" w:rsidTr="004E7D7E">
        <w:tc>
          <w:tcPr>
            <w:tcW w:w="1111" w:type="pct"/>
          </w:tcPr>
          <w:p w14:paraId="7C170D08" w14:textId="61E4DC3D" w:rsidR="007300D9" w:rsidRDefault="007300D9" w:rsidP="007300D9">
            <w:pPr>
              <w:pStyle w:val="APVMATableText"/>
            </w:pPr>
            <w:r w:rsidRPr="00185897">
              <w:t>Aquacultural production</w:t>
            </w:r>
          </w:p>
        </w:tc>
        <w:tc>
          <w:tcPr>
            <w:tcW w:w="3889" w:type="pct"/>
          </w:tcPr>
          <w:p w14:paraId="1B5BE657" w14:textId="2F506E5B" w:rsidR="007300D9" w:rsidRDefault="007300D9" w:rsidP="007300D9">
            <w:pPr>
              <w:pStyle w:val="APVMATableText"/>
            </w:pPr>
            <w:r w:rsidRPr="00185897">
              <w:t xml:space="preserve">‘Aquacultural production’ means commercial production of any aquatic plant or </w:t>
            </w:r>
            <w:r>
              <w:t xml:space="preserve">aquatic </w:t>
            </w:r>
            <w:r w:rsidRPr="00185897">
              <w:t>animal species for food or ornamental purposes. This does not include those which are not part of an area of aquacultural production under management at the time of pesticide application (</w:t>
            </w:r>
            <w:r>
              <w:t>eg</w:t>
            </w:r>
            <w:r w:rsidRPr="00185897">
              <w:t xml:space="preserve"> fish </w:t>
            </w:r>
            <w:r>
              <w:t>that</w:t>
            </w:r>
            <w:r w:rsidRPr="00185897">
              <w:t xml:space="preserve"> have escaped into natural watercourses).</w:t>
            </w:r>
          </w:p>
        </w:tc>
      </w:tr>
      <w:tr w:rsidR="007300D9" w14:paraId="2C172E8D" w14:textId="77777777" w:rsidTr="004E7D7E">
        <w:tc>
          <w:tcPr>
            <w:tcW w:w="1111" w:type="pct"/>
          </w:tcPr>
          <w:p w14:paraId="380D8105" w14:textId="781372DF" w:rsidR="007300D9" w:rsidRDefault="007300D9" w:rsidP="007300D9">
            <w:pPr>
              <w:pStyle w:val="APVMATableText"/>
            </w:pPr>
            <w:r w:rsidRPr="00185897">
              <w:t>Boom sprayer</w:t>
            </w:r>
          </w:p>
        </w:tc>
        <w:tc>
          <w:tcPr>
            <w:tcW w:w="3889" w:type="pct"/>
          </w:tcPr>
          <w:p w14:paraId="791B6C50" w14:textId="0B6E3CE8" w:rsidR="007300D9" w:rsidRDefault="007300D9" w:rsidP="007300D9">
            <w:pPr>
              <w:pStyle w:val="APVMATableText"/>
            </w:pPr>
            <w:r w:rsidRPr="00185897">
              <w:t>A ‘boom sprayer’ is one that applies spray</w:t>
            </w:r>
            <w:r>
              <w:t xml:space="preserve"> </w:t>
            </w:r>
            <w:r w:rsidRPr="00185897">
              <w:t xml:space="preserve">downward from a </w:t>
            </w:r>
            <w:r>
              <w:t xml:space="preserve">ground-based </w:t>
            </w:r>
            <w:r w:rsidRPr="00185897">
              <w:t xml:space="preserve">horizontal boom. This excludes application equipment defined as a ‘vertical sprayer’ or ‘aircraft’ or </w:t>
            </w:r>
            <w:r>
              <w:t>when the product is used for any use pattern not requiring a spray drift risk assessment (see section 2.2). This includes nozzles known as boomless jets, which are mounted to a vehicle and used to produce a swath significantly wider than the vehicle itself.</w:t>
            </w:r>
          </w:p>
        </w:tc>
      </w:tr>
      <w:tr w:rsidR="007300D9" w14:paraId="62C9ACEE" w14:textId="77777777" w:rsidTr="004E7D7E">
        <w:tc>
          <w:tcPr>
            <w:tcW w:w="1111" w:type="pct"/>
          </w:tcPr>
          <w:p w14:paraId="1061A9DF" w14:textId="7CAD6A1F" w:rsidR="007300D9" w:rsidRPr="007300D9" w:rsidRDefault="007300D9" w:rsidP="007300D9">
            <w:pPr>
              <w:pStyle w:val="APVMATableText"/>
            </w:pPr>
            <w:r w:rsidRPr="007300D9">
              <w:t>Boom height</w:t>
            </w:r>
          </w:p>
        </w:tc>
        <w:tc>
          <w:tcPr>
            <w:tcW w:w="3889" w:type="pct"/>
          </w:tcPr>
          <w:p w14:paraId="0DBE90E7" w14:textId="0E7BA87C" w:rsidR="007300D9" w:rsidRPr="007300D9" w:rsidRDefault="007300D9" w:rsidP="007300D9">
            <w:pPr>
              <w:pStyle w:val="APVMATableText"/>
            </w:pPr>
            <w:r w:rsidRPr="007300D9">
              <w:t>For the purposes of ground boom sprayer, ‘boom height’ is the distance between the top of the ‘target canopy’ and the nozzle tip. If no canopy is present the boom height is the height above the ground. Boom height is only considered as being typical across the application site, not a maximum height. Increases in release height for short periods during application are not considered as being non-compliant with the boom height in a use instruction. These increases are expected and are adequately managed through principles of good agricultural practice.</w:t>
            </w:r>
          </w:p>
        </w:tc>
      </w:tr>
      <w:tr w:rsidR="007300D9" w14:paraId="085B89E1" w14:textId="77777777" w:rsidTr="004E7D7E">
        <w:tc>
          <w:tcPr>
            <w:tcW w:w="1111" w:type="pct"/>
          </w:tcPr>
          <w:p w14:paraId="6DFC1D72" w14:textId="76F08059" w:rsidR="007300D9" w:rsidRPr="007300D9" w:rsidRDefault="007300D9" w:rsidP="007300D9">
            <w:pPr>
              <w:pStyle w:val="APVMATableText"/>
            </w:pPr>
            <w:r w:rsidRPr="007300D9">
              <w:t>Buffer zone</w:t>
            </w:r>
          </w:p>
        </w:tc>
        <w:tc>
          <w:tcPr>
            <w:tcW w:w="3889" w:type="pct"/>
          </w:tcPr>
          <w:p w14:paraId="7C028955" w14:textId="4D77BB57" w:rsidR="007300D9" w:rsidRPr="007300D9" w:rsidRDefault="007300D9" w:rsidP="007300D9">
            <w:pPr>
              <w:pStyle w:val="APVMATableText"/>
            </w:pPr>
            <w:r w:rsidRPr="007300D9">
              <w:t>A ‘buffer zone’ is an area where pesticide application does not occur between the application site and an identified sensitive area which is downwind from the application site. For boom and aerial spraying, a buffer zone is measured from the edge of the sprayer swath closest to the downwind sensitive area; for vertical spraying, a buffer zone is measured from half a row width (ie trees, vines, other plants) outside the application site closest to the downwind sensitive area.</w:t>
            </w:r>
          </w:p>
        </w:tc>
      </w:tr>
      <w:tr w:rsidR="007300D9" w14:paraId="762D2CFC" w14:textId="77777777" w:rsidTr="004E7D7E">
        <w:tc>
          <w:tcPr>
            <w:tcW w:w="1111" w:type="pct"/>
          </w:tcPr>
          <w:p w14:paraId="3AC523ED" w14:textId="7850FC2A" w:rsidR="007300D9" w:rsidRPr="007300D9" w:rsidRDefault="007300D9" w:rsidP="007300D9">
            <w:pPr>
              <w:pStyle w:val="APVMATableText"/>
            </w:pPr>
            <w:r w:rsidRPr="007300D9">
              <w:t>Bystander areas</w:t>
            </w:r>
          </w:p>
        </w:tc>
        <w:tc>
          <w:tcPr>
            <w:tcW w:w="3889" w:type="pct"/>
          </w:tcPr>
          <w:p w14:paraId="380014DD" w14:textId="109781A4" w:rsidR="007300D9" w:rsidRPr="007300D9" w:rsidRDefault="007300D9" w:rsidP="007300D9">
            <w:pPr>
              <w:pStyle w:val="APVMATableText"/>
            </w:pPr>
            <w:r w:rsidRPr="007300D9">
              <w:t>‘Bystander areas’ are locations where it is reasonably likely that ‘bystanders’ will be exposed to residues deposited on the ground from spray drift on a regular basis and for an extended period of time (ie several hours per day over a period of a month). Examples of these areas include: residential properties, schools, kindergartens, day care facilities, hospitals, aged care facilities, public or private parks or recreational areas, and areas where manual handling of soil or plants is required.</w:t>
            </w:r>
          </w:p>
        </w:tc>
      </w:tr>
      <w:tr w:rsidR="007300D9" w14:paraId="70311F44" w14:textId="77777777" w:rsidTr="004E7D7E">
        <w:tc>
          <w:tcPr>
            <w:tcW w:w="1111" w:type="pct"/>
          </w:tcPr>
          <w:p w14:paraId="3E23C36C" w14:textId="7328CF22" w:rsidR="007300D9" w:rsidRPr="007300D9" w:rsidRDefault="007300D9" w:rsidP="007300D9">
            <w:pPr>
              <w:pStyle w:val="APVMATableText"/>
            </w:pPr>
            <w:r w:rsidRPr="007300D9">
              <w:t>Bystanders</w:t>
            </w:r>
          </w:p>
        </w:tc>
        <w:tc>
          <w:tcPr>
            <w:tcW w:w="3889" w:type="pct"/>
          </w:tcPr>
          <w:p w14:paraId="7D0CD415" w14:textId="1A061C3C" w:rsidR="007300D9" w:rsidRPr="007300D9" w:rsidRDefault="007300D9" w:rsidP="007300D9">
            <w:pPr>
              <w:pStyle w:val="APVMATableText"/>
            </w:pPr>
            <w:r w:rsidRPr="007300D9">
              <w:t>‘Bystanders’ means people not involved in mixing, loading or applying the pesticide and are without the personal protective equipment (PPE) required by the product label.</w:t>
            </w:r>
          </w:p>
        </w:tc>
      </w:tr>
      <w:tr w:rsidR="007300D9" w14:paraId="71E7FBD2" w14:textId="77777777" w:rsidTr="004E7D7E">
        <w:tc>
          <w:tcPr>
            <w:tcW w:w="1111" w:type="pct"/>
          </w:tcPr>
          <w:p w14:paraId="27895470" w14:textId="4575325C" w:rsidR="007300D9" w:rsidRPr="007300D9" w:rsidRDefault="007300D9" w:rsidP="007300D9">
            <w:pPr>
              <w:pStyle w:val="APVMATableText"/>
            </w:pPr>
            <w:r w:rsidRPr="007300D9">
              <w:t>Contamination</w:t>
            </w:r>
          </w:p>
        </w:tc>
        <w:tc>
          <w:tcPr>
            <w:tcW w:w="3889" w:type="pct"/>
          </w:tcPr>
          <w:p w14:paraId="5A791358" w14:textId="47B8B46C" w:rsidR="007300D9" w:rsidRPr="007300D9" w:rsidRDefault="007300D9" w:rsidP="007300D9">
            <w:pPr>
              <w:pStyle w:val="APVMATableText"/>
            </w:pPr>
            <w:r w:rsidRPr="007300D9">
              <w:t>‘Contamination’ means a failure of plant or livestock commodities to comply with the APVMA Maximum Residue Limit Standard.</w:t>
            </w:r>
          </w:p>
        </w:tc>
      </w:tr>
      <w:tr w:rsidR="007300D9" w14:paraId="57489565" w14:textId="77777777" w:rsidTr="004E7D7E">
        <w:tc>
          <w:tcPr>
            <w:tcW w:w="1111" w:type="pct"/>
          </w:tcPr>
          <w:p w14:paraId="6BB493DC" w14:textId="63012057" w:rsidR="007300D9" w:rsidRPr="007300D9" w:rsidRDefault="007300D9" w:rsidP="007300D9">
            <w:pPr>
              <w:pStyle w:val="APVMATableText"/>
            </w:pPr>
            <w:r w:rsidRPr="007300D9">
              <w:lastRenderedPageBreak/>
              <w:t>Droplet size distribution (DSD)</w:t>
            </w:r>
          </w:p>
        </w:tc>
        <w:tc>
          <w:tcPr>
            <w:tcW w:w="3889" w:type="pct"/>
          </w:tcPr>
          <w:p w14:paraId="40C14426" w14:textId="77777777" w:rsidR="007300D9" w:rsidRPr="007300D9" w:rsidRDefault="007300D9" w:rsidP="007300D9">
            <w:pPr>
              <w:pStyle w:val="APVMATableText"/>
            </w:pPr>
            <w:r w:rsidRPr="007300D9">
              <w:t>As defined by ASTM E2798, Standard Test Method for Characterization of Performance of Pesticide Spray Drift Reduction Adjuvants for Ground Application:</w:t>
            </w:r>
          </w:p>
          <w:p w14:paraId="51603A66" w14:textId="77777777" w:rsidR="007300D9" w:rsidRPr="00964576" w:rsidRDefault="007300D9" w:rsidP="007300D9">
            <w:pPr>
              <w:pStyle w:val="APVMATableBullet"/>
              <w:rPr>
                <w:color w:val="auto"/>
              </w:rPr>
            </w:pPr>
            <w:r w:rsidRPr="00964576">
              <w:rPr>
                <w:color w:val="auto"/>
              </w:rPr>
              <w:t>‘mathematical or graphical representation of droplet sizes of a given spray frequently shown as a volume fraction, number fraction, or cumulative fraction distributions.’</w:t>
            </w:r>
          </w:p>
          <w:p w14:paraId="09994068" w14:textId="73AD37AA" w:rsidR="007300D9" w:rsidRPr="007300D9" w:rsidRDefault="007300D9" w:rsidP="007300D9">
            <w:pPr>
              <w:pStyle w:val="APVMATableText"/>
            </w:pPr>
            <w:r w:rsidRPr="007300D9">
              <w:t>Note that only the volume fraction (or cumulative volume fraction) is relevant for this manual.</w:t>
            </w:r>
          </w:p>
        </w:tc>
      </w:tr>
      <w:tr w:rsidR="007300D9" w14:paraId="05843ABE" w14:textId="77777777" w:rsidTr="004E7D7E">
        <w:tc>
          <w:tcPr>
            <w:tcW w:w="1111" w:type="pct"/>
          </w:tcPr>
          <w:p w14:paraId="169825B3" w14:textId="7230F2B7" w:rsidR="007300D9" w:rsidRPr="007300D9" w:rsidRDefault="007300D9" w:rsidP="007300D9">
            <w:pPr>
              <w:pStyle w:val="APVMATableText"/>
            </w:pPr>
            <w:r w:rsidRPr="007300D9">
              <w:t>Dilute water rate</w:t>
            </w:r>
          </w:p>
        </w:tc>
        <w:tc>
          <w:tcPr>
            <w:tcW w:w="3889" w:type="pct"/>
          </w:tcPr>
          <w:p w14:paraId="65EB0DFB" w14:textId="51AE6CA1" w:rsidR="007300D9" w:rsidRPr="007300D9" w:rsidRDefault="007300D9" w:rsidP="007300D9">
            <w:pPr>
              <w:pStyle w:val="APVMATableText"/>
            </w:pPr>
            <w:r w:rsidRPr="007300D9">
              <w:t>For ‘vertical sprayers’, ‘dilute water rate’ means the amount of water applied per hectare to reach the point of run-off (ie where the target plant is thoroughly wet).</w:t>
            </w:r>
          </w:p>
        </w:tc>
      </w:tr>
      <w:tr w:rsidR="00CC77CC" w14:paraId="1FF36B87" w14:textId="77777777" w:rsidTr="004E7D7E">
        <w:tc>
          <w:tcPr>
            <w:tcW w:w="1111" w:type="pct"/>
          </w:tcPr>
          <w:p w14:paraId="0AC0CB30" w14:textId="679D74A7" w:rsidR="00CC77CC" w:rsidRPr="007300D9" w:rsidRDefault="00CC77CC" w:rsidP="00CC77CC">
            <w:pPr>
              <w:pStyle w:val="APVMATableText"/>
            </w:pPr>
            <w:r>
              <w:t>Hazardous surface temperature inversions</w:t>
            </w:r>
          </w:p>
        </w:tc>
        <w:tc>
          <w:tcPr>
            <w:tcW w:w="3889" w:type="pct"/>
          </w:tcPr>
          <w:p w14:paraId="1E91081B" w14:textId="7B27C0F2" w:rsidR="00CC77CC" w:rsidRDefault="00CC77CC" w:rsidP="00CC77CC">
            <w:pPr>
              <w:pStyle w:val="APVMATableText"/>
            </w:pPr>
            <w:r>
              <w:t>‘</w:t>
            </w:r>
            <w:r w:rsidRPr="00FE14B2">
              <w:t>Surface temperature inversions</w:t>
            </w:r>
            <w:r>
              <w:t>’</w:t>
            </w:r>
            <w:r w:rsidRPr="00FE14B2">
              <w:t xml:space="preserve"> occur when air temperature increases with height from the ground surface, which is the oppos</w:t>
            </w:r>
            <w:r>
              <w:t>ite of what normally happens (i</w:t>
            </w:r>
            <w:r w:rsidRPr="00FE14B2">
              <w:t xml:space="preserve">e the temperature profile is 'inverted'). This results in a layer of cool, still air being trapped below warmer air. </w:t>
            </w:r>
            <w:r>
              <w:t xml:space="preserve">In surface temperature inversion conditions airborne pesticides can concentrate near the surface and unpredictable winds can move droplets away from the target area. </w:t>
            </w:r>
            <w:r w:rsidRPr="00FE14B2">
              <w:t>The direction and distance which the droplets will move becomes unpredictable.</w:t>
            </w:r>
          </w:p>
          <w:p w14:paraId="3CF0BAB1" w14:textId="77777777" w:rsidR="00CC77CC" w:rsidRPr="00FE14B2" w:rsidRDefault="00CC77CC" w:rsidP="00CC77CC">
            <w:pPr>
              <w:pStyle w:val="APVMATableText"/>
            </w:pPr>
            <w:r w:rsidRPr="00FE14B2">
              <w:t>A surface temperature inversion is likely to be present if:</w:t>
            </w:r>
          </w:p>
          <w:p w14:paraId="7A36EBB1" w14:textId="13BD6A69" w:rsidR="00CC77CC" w:rsidRPr="004E7D7E" w:rsidRDefault="00CC77CC" w:rsidP="00CC77CC">
            <w:pPr>
              <w:pStyle w:val="APVMATableBullet"/>
              <w:rPr>
                <w:color w:val="auto"/>
              </w:rPr>
            </w:pPr>
            <w:r w:rsidRPr="004E7D7E">
              <w:rPr>
                <w:color w:val="auto"/>
              </w:rPr>
              <w:t>mist, fog, dew or a frost have occurred</w:t>
            </w:r>
          </w:p>
          <w:p w14:paraId="27FCEBE0" w14:textId="1D03AEDF" w:rsidR="00CC77CC" w:rsidRPr="004E7D7E" w:rsidRDefault="00CC77CC" w:rsidP="00CC77CC">
            <w:pPr>
              <w:pStyle w:val="APVMATableBullet"/>
              <w:rPr>
                <w:color w:val="auto"/>
              </w:rPr>
            </w:pPr>
            <w:r w:rsidRPr="004E7D7E">
              <w:rPr>
                <w:color w:val="auto"/>
              </w:rPr>
              <w:t>smoke or dust hangs in the air and moves sideways, just above the ground surface</w:t>
            </w:r>
          </w:p>
          <w:p w14:paraId="2CF1AC8B" w14:textId="27405378" w:rsidR="00CC77CC" w:rsidRPr="004E7D7E" w:rsidRDefault="00CC77CC" w:rsidP="00CC77CC">
            <w:pPr>
              <w:pStyle w:val="APVMATableBullet"/>
              <w:rPr>
                <w:color w:val="auto"/>
              </w:rPr>
            </w:pPr>
            <w:r w:rsidRPr="004E7D7E">
              <w:rPr>
                <w:color w:val="auto"/>
              </w:rPr>
              <w:t>cumulus clouds that have built up during the day collapse towards evening</w:t>
            </w:r>
          </w:p>
          <w:p w14:paraId="4E7524DD" w14:textId="4133487A" w:rsidR="00CC77CC" w:rsidRPr="004E7D7E" w:rsidRDefault="00CC77CC" w:rsidP="00CC77CC">
            <w:pPr>
              <w:pStyle w:val="APVMATableBullet"/>
              <w:rPr>
                <w:color w:val="auto"/>
              </w:rPr>
            </w:pPr>
            <w:r w:rsidRPr="004E7D7E">
              <w:rPr>
                <w:color w:val="auto"/>
              </w:rPr>
              <w:t>wind speed is constantly less than 11 km/hr in the evening and overnight</w:t>
            </w:r>
          </w:p>
          <w:p w14:paraId="7F14205A" w14:textId="579DD24D" w:rsidR="00CC77CC" w:rsidRPr="004E7D7E" w:rsidRDefault="00CC77CC" w:rsidP="00CC77CC">
            <w:pPr>
              <w:pStyle w:val="APVMATableBullet"/>
              <w:rPr>
                <w:color w:val="auto"/>
              </w:rPr>
            </w:pPr>
            <w:r w:rsidRPr="004E7D7E">
              <w:rPr>
                <w:color w:val="auto"/>
              </w:rPr>
              <w:t>cool off-slope breezes develop during the evening and overnight</w:t>
            </w:r>
          </w:p>
          <w:p w14:paraId="422A1661" w14:textId="10C75E0E" w:rsidR="00CC77CC" w:rsidRPr="004E7D7E" w:rsidRDefault="00CC77CC" w:rsidP="00CC77CC">
            <w:pPr>
              <w:pStyle w:val="APVMATableBullet"/>
              <w:rPr>
                <w:color w:val="auto"/>
              </w:rPr>
            </w:pPr>
            <w:r w:rsidRPr="004E7D7E">
              <w:rPr>
                <w:color w:val="auto"/>
              </w:rPr>
              <w:t>distant sounds become clearer and easier to hear</w:t>
            </w:r>
          </w:p>
          <w:p w14:paraId="63A9607A" w14:textId="2026B695" w:rsidR="00CC77CC" w:rsidRPr="004E7D7E" w:rsidRDefault="00CC77CC" w:rsidP="00CC77CC">
            <w:pPr>
              <w:pStyle w:val="APVMATableBullet"/>
              <w:rPr>
                <w:color w:val="auto"/>
              </w:rPr>
            </w:pPr>
            <w:r w:rsidRPr="004E7D7E">
              <w:rPr>
                <w:color w:val="auto"/>
              </w:rPr>
              <w:t>aromas become more distinct during the evening than during the day.</w:t>
            </w:r>
          </w:p>
          <w:p w14:paraId="213F9993" w14:textId="73E70EF8" w:rsidR="00CC77CC" w:rsidRPr="007300D9" w:rsidRDefault="00CC77CC" w:rsidP="00CC77CC">
            <w:pPr>
              <w:pStyle w:val="APVMATableText"/>
            </w:pPr>
            <w:r w:rsidRPr="006B4094">
              <w:t xml:space="preserve">When application occurs in an area not covered by recognised inversion monitoring weather stations, </w:t>
            </w:r>
            <w:r>
              <w:t xml:space="preserve">all </w:t>
            </w:r>
            <w:r w:rsidRPr="006B4094">
              <w:t xml:space="preserve">the </w:t>
            </w:r>
            <w:r>
              <w:t xml:space="preserve">surface temperature inversion conditions are regarded as hazardous and the </w:t>
            </w:r>
            <w:r w:rsidRPr="006B4094">
              <w:t>above definition will always apply.</w:t>
            </w:r>
          </w:p>
        </w:tc>
      </w:tr>
      <w:tr w:rsidR="00CC77CC" w14:paraId="3E84706E" w14:textId="77777777" w:rsidTr="004E7D7E">
        <w:tc>
          <w:tcPr>
            <w:tcW w:w="1111" w:type="pct"/>
          </w:tcPr>
          <w:p w14:paraId="09465E72" w14:textId="44A76F07" w:rsidR="00CC77CC" w:rsidRDefault="00CC77CC" w:rsidP="00CC77CC">
            <w:pPr>
              <w:pStyle w:val="APVMATableText"/>
            </w:pPr>
            <w:r w:rsidRPr="00185897">
              <w:t>Landscaped gardens</w:t>
            </w:r>
          </w:p>
        </w:tc>
        <w:tc>
          <w:tcPr>
            <w:tcW w:w="3889" w:type="pct"/>
          </w:tcPr>
          <w:p w14:paraId="665B2CA4" w14:textId="77777777" w:rsidR="00CC77CC" w:rsidRPr="00185897" w:rsidRDefault="00CC77CC" w:rsidP="00CC77CC">
            <w:pPr>
              <w:pStyle w:val="APVMATableText"/>
            </w:pPr>
            <w:r w:rsidRPr="00185897">
              <w:t xml:space="preserve">‘Landscaped gardens’ means any </w:t>
            </w:r>
            <w:r>
              <w:t xml:space="preserve">terrestrial </w:t>
            </w:r>
            <w:r w:rsidRPr="00185897">
              <w:t>plant species grown for ornamental purposes on private or public land, or for domestic food production on private land, with the following exception</w:t>
            </w:r>
            <w:r>
              <w:t>s</w:t>
            </w:r>
            <w:r w:rsidRPr="00185897">
              <w:t>:</w:t>
            </w:r>
          </w:p>
          <w:p w14:paraId="52CC8C42" w14:textId="77777777" w:rsidR="00CC77CC" w:rsidRPr="00964576" w:rsidRDefault="00CC77CC" w:rsidP="00CC77CC">
            <w:pPr>
              <w:pStyle w:val="APVMATableBullet"/>
              <w:rPr>
                <w:color w:val="auto"/>
              </w:rPr>
            </w:pPr>
            <w:r w:rsidRPr="00964576">
              <w:rPr>
                <w:color w:val="auto"/>
              </w:rPr>
              <w:t>species that are declared noxious or invasive to the area of application by local, state or commonwealth legislation</w:t>
            </w:r>
          </w:p>
          <w:p w14:paraId="6BA1F016" w14:textId="0C2DA369" w:rsidR="00CC77CC" w:rsidRDefault="00CC77CC" w:rsidP="00CC77CC">
            <w:pPr>
              <w:pStyle w:val="APVMATableBullet"/>
            </w:pPr>
            <w:r w:rsidRPr="00964576">
              <w:rPr>
                <w:color w:val="auto"/>
              </w:rPr>
              <w:t>plants that are not part of a garden under management at the time of pesticide application (eg flowering plants that have escaped from a home garden and have become weeds in another area).</w:t>
            </w:r>
          </w:p>
        </w:tc>
      </w:tr>
      <w:tr w:rsidR="00CC77CC" w14:paraId="70B84B97" w14:textId="77777777" w:rsidTr="004E7D7E">
        <w:tc>
          <w:tcPr>
            <w:tcW w:w="1111" w:type="pct"/>
          </w:tcPr>
          <w:p w14:paraId="6CA79EA2" w14:textId="78A3E9EC" w:rsidR="00CC77CC" w:rsidRPr="00CC77CC" w:rsidRDefault="00CC77CC" w:rsidP="00CC77CC">
            <w:pPr>
              <w:pStyle w:val="APVMATableText"/>
            </w:pPr>
            <w:r w:rsidRPr="00CC77CC">
              <w:t>Livestock areas</w:t>
            </w:r>
          </w:p>
        </w:tc>
        <w:tc>
          <w:tcPr>
            <w:tcW w:w="3889" w:type="pct"/>
          </w:tcPr>
          <w:p w14:paraId="757DA88E" w14:textId="4351FF57" w:rsidR="00CC77CC" w:rsidRPr="00CC77CC" w:rsidRDefault="00CC77CC" w:rsidP="00CC77CC">
            <w:pPr>
              <w:pStyle w:val="APVMATableText"/>
            </w:pPr>
            <w:r w:rsidRPr="00CC77CC">
              <w:t>‘Livestock areas’ are those where livestock are grazing. ‘Buffer zones’ for ‘livestock areas’ have been established to protect international trade. These buffer zones are based on the Maximum Residue Limit (MRL) Standards of significant export markets for livestock commodities.</w:t>
            </w:r>
          </w:p>
        </w:tc>
      </w:tr>
      <w:tr w:rsidR="00CC77CC" w14:paraId="4D0818EC" w14:textId="77777777" w:rsidTr="004E7D7E">
        <w:tc>
          <w:tcPr>
            <w:tcW w:w="1111" w:type="pct"/>
          </w:tcPr>
          <w:p w14:paraId="34DA2A72" w14:textId="4E6B4FB7" w:rsidR="00CC77CC" w:rsidRPr="00CC77CC" w:rsidRDefault="00CC77CC" w:rsidP="00CC77CC">
            <w:pPr>
              <w:pStyle w:val="APVMATableText"/>
            </w:pPr>
            <w:r w:rsidRPr="00CC77CC">
              <w:t>Native vegetation</w:t>
            </w:r>
          </w:p>
        </w:tc>
        <w:tc>
          <w:tcPr>
            <w:tcW w:w="3889" w:type="pct"/>
          </w:tcPr>
          <w:p w14:paraId="05DE07EF" w14:textId="77777777" w:rsidR="00CC77CC" w:rsidRPr="00CC77CC" w:rsidRDefault="00CC77CC" w:rsidP="00CC77CC">
            <w:pPr>
              <w:pStyle w:val="APVMATableText"/>
            </w:pPr>
            <w:r w:rsidRPr="00CC77CC">
              <w:t>‘Native vegetation’ means any terrestrial plant species native to Australia as defined under local, state or commonwealth legislation with the following exceptions:</w:t>
            </w:r>
          </w:p>
          <w:p w14:paraId="31E3173E" w14:textId="77777777" w:rsidR="00CC77CC" w:rsidRPr="004E7D7E" w:rsidRDefault="00CC77CC" w:rsidP="00CC77CC">
            <w:pPr>
              <w:pStyle w:val="APVMATableBullet"/>
              <w:rPr>
                <w:color w:val="auto"/>
              </w:rPr>
            </w:pPr>
            <w:r w:rsidRPr="004E7D7E">
              <w:rPr>
                <w:color w:val="auto"/>
              </w:rPr>
              <w:t>species that are declared noxious or invasive to the area of application by local, state or commonwealth legislation</w:t>
            </w:r>
          </w:p>
          <w:p w14:paraId="6FFF80EF" w14:textId="77777777" w:rsidR="00CC77CC" w:rsidRPr="004E7D7E" w:rsidRDefault="00CC77CC" w:rsidP="00CC77CC">
            <w:pPr>
              <w:pStyle w:val="APVMATableBullet"/>
              <w:rPr>
                <w:color w:val="auto"/>
              </w:rPr>
            </w:pPr>
            <w:r w:rsidRPr="004E7D7E">
              <w:rPr>
                <w:color w:val="auto"/>
              </w:rPr>
              <w:t>plants that the chemical user, or the person the chemical user is applying agricultural chemical product/s on behalf of, is legally allowed to remove under local, state or commonwealth legislation.</w:t>
            </w:r>
          </w:p>
          <w:p w14:paraId="309B3334" w14:textId="380241BE" w:rsidR="00CC77CC" w:rsidRPr="00CC77CC" w:rsidRDefault="00CC77CC" w:rsidP="00CC77CC">
            <w:pPr>
              <w:pStyle w:val="APVMATableText"/>
            </w:pPr>
            <w:r w:rsidRPr="00CC77CC">
              <w:lastRenderedPageBreak/>
              <w:t>‘Buffer zones’ for the purpose of ‘native vegetation’ may also be used as the basis for the protection of ‘agricultural crops’ and ‘landscaped gardens’. However, ‘buffer zones’ for ‘native vegetation’ are based on survival at a population or ecosystem level and they may not be sufficient if yield loss or replacement cost is the issue.</w:t>
            </w:r>
          </w:p>
        </w:tc>
      </w:tr>
      <w:tr w:rsidR="00CC77CC" w14:paraId="19E7A2F1" w14:textId="77777777" w:rsidTr="004E7D7E">
        <w:tc>
          <w:tcPr>
            <w:tcW w:w="1111" w:type="pct"/>
          </w:tcPr>
          <w:p w14:paraId="27C1C944" w14:textId="6DD99B7F" w:rsidR="00CC77CC" w:rsidRPr="00CC77CC" w:rsidRDefault="00CC77CC" w:rsidP="00CC77CC">
            <w:pPr>
              <w:pStyle w:val="APVMATableText"/>
            </w:pPr>
            <w:r w:rsidRPr="00185897">
              <w:lastRenderedPageBreak/>
              <w:t xml:space="preserve">Natural aquatic </w:t>
            </w:r>
            <w:r>
              <w:t>areas</w:t>
            </w:r>
          </w:p>
        </w:tc>
        <w:tc>
          <w:tcPr>
            <w:tcW w:w="3889" w:type="pct"/>
          </w:tcPr>
          <w:p w14:paraId="502F3A31" w14:textId="77777777" w:rsidR="00CC77CC" w:rsidRPr="00964576" w:rsidRDefault="00CC77CC" w:rsidP="00CC77CC">
            <w:pPr>
              <w:pStyle w:val="APVMATableText"/>
            </w:pPr>
            <w:r w:rsidRPr="00185897">
              <w:t xml:space="preserve">‘Natural aquatic </w:t>
            </w:r>
            <w:r>
              <w:t>areas</w:t>
            </w:r>
            <w:r w:rsidRPr="00185897">
              <w:t xml:space="preserve">’ </w:t>
            </w:r>
            <w:r>
              <w:t>are where</w:t>
            </w:r>
            <w:r w:rsidRPr="00185897">
              <w:t xml:space="preserve"> a ‘watercourse’</w:t>
            </w:r>
            <w:r>
              <w:t xml:space="preserve"> (</w:t>
            </w:r>
            <w:r w:rsidRPr="00185897">
              <w:t xml:space="preserve">as defined by the </w:t>
            </w:r>
            <w:r w:rsidRPr="00CC77CC">
              <w:rPr>
                <w:i/>
              </w:rPr>
              <w:t>Commonwealth Water A</w:t>
            </w:r>
            <w:r w:rsidRPr="00964576">
              <w:rPr>
                <w:i/>
              </w:rPr>
              <w:t>ct 2007</w:t>
            </w:r>
            <w:r w:rsidRPr="00964576">
              <w:t>) is present, with the following exceptions:</w:t>
            </w:r>
          </w:p>
          <w:p w14:paraId="3ED848BC" w14:textId="77777777" w:rsidR="00CC77CC" w:rsidRPr="004E7D7E" w:rsidRDefault="00CC77CC" w:rsidP="00CC77CC">
            <w:pPr>
              <w:pStyle w:val="APVMATableBullet"/>
              <w:rPr>
                <w:color w:val="auto"/>
              </w:rPr>
            </w:pPr>
            <w:r w:rsidRPr="004E7D7E">
              <w:rPr>
                <w:color w:val="auto"/>
              </w:rPr>
              <w:t>artificial ‘watercourses’ used exclusively for agricultural or ornamental purposes, such as irrigation channels, flood irrigation areas, farm dams, ornamental ponds, golf course dams and those used for aquacultural production</w:t>
            </w:r>
          </w:p>
          <w:p w14:paraId="0A6B3376" w14:textId="77777777" w:rsidR="00CC77CC" w:rsidRPr="004E7D7E" w:rsidRDefault="00CC77CC" w:rsidP="00CC77CC">
            <w:pPr>
              <w:pStyle w:val="APVMATableBullet"/>
              <w:rPr>
                <w:color w:val="auto"/>
              </w:rPr>
            </w:pPr>
            <w:r w:rsidRPr="004E7D7E">
              <w:rPr>
                <w:color w:val="auto"/>
              </w:rPr>
              <w:t>‘watercourses’ that are dry at the time of pesticide application</w:t>
            </w:r>
          </w:p>
          <w:p w14:paraId="4DA1DD34" w14:textId="77777777" w:rsidR="00CC77CC" w:rsidRPr="004E7D7E" w:rsidRDefault="00CC77CC" w:rsidP="00CC77CC">
            <w:pPr>
              <w:pStyle w:val="APVMATableBullet"/>
              <w:rPr>
                <w:color w:val="auto"/>
              </w:rPr>
            </w:pPr>
            <w:r w:rsidRPr="004E7D7E">
              <w:rPr>
                <w:color w:val="auto"/>
              </w:rPr>
              <w:t>‘watercourses’ that are commonly identified as ‘puddles’.</w:t>
            </w:r>
          </w:p>
          <w:p w14:paraId="5052F757" w14:textId="55AFFB97" w:rsidR="00CC77CC" w:rsidRPr="00CC77CC" w:rsidRDefault="00CC77CC" w:rsidP="00CC77CC">
            <w:pPr>
              <w:pStyle w:val="APVMATableText"/>
            </w:pPr>
            <w:r w:rsidRPr="00185897">
              <w:t>‘</w:t>
            </w:r>
            <w:r>
              <w:t>B</w:t>
            </w:r>
            <w:r w:rsidRPr="00185897">
              <w:t xml:space="preserve">uffer zones’ </w:t>
            </w:r>
            <w:r>
              <w:t xml:space="preserve">established </w:t>
            </w:r>
            <w:r w:rsidRPr="00185897">
              <w:t xml:space="preserve">for the purpose of the ‘natural aquatic </w:t>
            </w:r>
            <w:r>
              <w:t>area</w:t>
            </w:r>
            <w:r w:rsidRPr="00185897">
              <w:t xml:space="preserve">’ may also be used as the basis for the protection of ‘aquacultural production’ but as </w:t>
            </w:r>
            <w:r>
              <w:t xml:space="preserve">the </w:t>
            </w:r>
            <w:r w:rsidRPr="00185897">
              <w:t xml:space="preserve">buffer zones for ‘natural aquatic </w:t>
            </w:r>
            <w:r>
              <w:t>areas</w:t>
            </w:r>
            <w:r w:rsidRPr="00185897">
              <w:t>’ are based on survival at a population or ecosystem level</w:t>
            </w:r>
            <w:r>
              <w:t>,</w:t>
            </w:r>
            <w:r w:rsidRPr="00185897">
              <w:t xml:space="preserve"> they may not be sufficient </w:t>
            </w:r>
            <w:r>
              <w:t>if</w:t>
            </w:r>
            <w:r w:rsidRPr="00185897">
              <w:t xml:space="preserve"> yield loss or replacement cost </w:t>
            </w:r>
            <w:r>
              <w:t xml:space="preserve">within an aquaculture operation </w:t>
            </w:r>
            <w:r w:rsidRPr="00185897">
              <w:t>is the issue.</w:t>
            </w:r>
          </w:p>
        </w:tc>
      </w:tr>
      <w:tr w:rsidR="00CC77CC" w14:paraId="0A4F14CF" w14:textId="77777777" w:rsidTr="004E7D7E">
        <w:tc>
          <w:tcPr>
            <w:tcW w:w="1111" w:type="pct"/>
          </w:tcPr>
          <w:p w14:paraId="3A8F5985" w14:textId="46680A74" w:rsidR="00CC77CC" w:rsidRPr="00CC77CC" w:rsidRDefault="00CC77CC" w:rsidP="00CC77CC">
            <w:pPr>
              <w:pStyle w:val="APVMATableText"/>
            </w:pPr>
            <w:r w:rsidRPr="00CC77CC">
              <w:t>Pollinator areas</w:t>
            </w:r>
          </w:p>
        </w:tc>
        <w:tc>
          <w:tcPr>
            <w:tcW w:w="3889" w:type="pct"/>
          </w:tcPr>
          <w:p w14:paraId="286A1FB4" w14:textId="20656C73" w:rsidR="00CC77CC" w:rsidRPr="00CC77CC" w:rsidRDefault="00CC77CC" w:rsidP="00CC77CC">
            <w:pPr>
              <w:pStyle w:val="APVMATableText"/>
            </w:pPr>
            <w:r>
              <w:t>‘</w:t>
            </w:r>
            <w:r w:rsidRPr="00CC77CC">
              <w:t xml:space="preserve">Pollinator areas’ means managed bee hives. This only applies when the manager of those bee hives has provided notification regarding their location to the chemical user, or the person the chemical user is applying agricultural chemical product/s on behalf of, at least 48 hours prior to application of the agricultural chemical product/s. While notification can be made directly (in writing or verbally), the use of the </w:t>
            </w:r>
            <w:hyperlink r:id="rId113" w:history="1">
              <w:r w:rsidRPr="00CC77CC">
                <w:rPr>
                  <w:rStyle w:val="Hyperlink"/>
                </w:rPr>
                <w:t>BeeConnected website</w:t>
              </w:r>
            </w:hyperlink>
            <w:r w:rsidRPr="00CC77CC">
              <w:t xml:space="preserve"> or smartphone app is acceptable and recommended.</w:t>
            </w:r>
          </w:p>
        </w:tc>
      </w:tr>
      <w:tr w:rsidR="00574F62" w14:paraId="6D4BEE50" w14:textId="77777777" w:rsidTr="004E7D7E">
        <w:tc>
          <w:tcPr>
            <w:tcW w:w="1111" w:type="pct"/>
          </w:tcPr>
          <w:p w14:paraId="4DBBDEA6" w14:textId="0B042074" w:rsidR="00574F62" w:rsidRPr="00574F62" w:rsidRDefault="00574F62" w:rsidP="00574F62">
            <w:pPr>
              <w:pStyle w:val="APVMATableText"/>
            </w:pPr>
            <w:r w:rsidRPr="00574F62">
              <w:t>Release height</w:t>
            </w:r>
          </w:p>
        </w:tc>
        <w:tc>
          <w:tcPr>
            <w:tcW w:w="3889" w:type="pct"/>
          </w:tcPr>
          <w:p w14:paraId="3B59562E" w14:textId="385DAF9F" w:rsidR="00574F62" w:rsidRPr="00574F62" w:rsidRDefault="00574F62" w:rsidP="00574F62">
            <w:pPr>
              <w:pStyle w:val="APVMATableText"/>
            </w:pPr>
            <w:r w:rsidRPr="00574F62">
              <w:t>For the purposes of aircraft, ‘release height’ is the distance between the top of the ‘target canopy’ and the nozzles on the aircraft. Pilot safety is paramount, so the release height is only considered as being typical across the application site, not a maximum flying height. Increases in release height for short periods during application to avoid obstacles, or turn at the end of runs, are not considered as being non-compliant with the release height in a use instruction. These increases are expected and are adequately managed through principles of good agricultural practice by the aerial agricultural industry.</w:t>
            </w:r>
          </w:p>
        </w:tc>
      </w:tr>
      <w:tr w:rsidR="00574F62" w14:paraId="7C3A20A5" w14:textId="77777777" w:rsidTr="004E7D7E">
        <w:tc>
          <w:tcPr>
            <w:tcW w:w="1111" w:type="pct"/>
          </w:tcPr>
          <w:p w14:paraId="414B9F13" w14:textId="1C8D4C6B" w:rsidR="00574F62" w:rsidRPr="00574F62" w:rsidRDefault="00964576" w:rsidP="00964576">
            <w:pPr>
              <w:pStyle w:val="APVMATableText"/>
            </w:pPr>
            <w:r>
              <w:t>Relevant output of the spray d</w:t>
            </w:r>
            <w:r w:rsidR="00574F62" w:rsidRPr="00574F62">
              <w:t xml:space="preserve">rift </w:t>
            </w:r>
            <w:r>
              <w:t>m</w:t>
            </w:r>
            <w:r w:rsidR="00574F62" w:rsidRPr="00574F62">
              <w:t xml:space="preserve">anagement </w:t>
            </w:r>
            <w:r>
              <w:t>t</w:t>
            </w:r>
            <w:r w:rsidR="00574F62" w:rsidRPr="00574F62">
              <w:t>ool</w:t>
            </w:r>
          </w:p>
        </w:tc>
        <w:tc>
          <w:tcPr>
            <w:tcW w:w="3889" w:type="pct"/>
          </w:tcPr>
          <w:p w14:paraId="0D22699B" w14:textId="45341676" w:rsidR="00574F62" w:rsidRPr="00574F62" w:rsidRDefault="00574F62" w:rsidP="00964576">
            <w:pPr>
              <w:pStyle w:val="APVMATableText"/>
            </w:pPr>
            <w:r w:rsidRPr="00574F62">
              <w:t>For the purposes of use instructions (see section</w:t>
            </w:r>
            <w:r w:rsidR="00964576">
              <w:t xml:space="preserve"> 5), a ‘relevant output of the spray d</w:t>
            </w:r>
            <w:r w:rsidRPr="00574F62">
              <w:t xml:space="preserve">rift </w:t>
            </w:r>
            <w:r w:rsidR="00964576">
              <w:t>m</w:t>
            </w:r>
            <w:r w:rsidRPr="00574F62">
              <w:t xml:space="preserve">anagement </w:t>
            </w:r>
            <w:r w:rsidR="00964576">
              <w:t>t</w:t>
            </w:r>
            <w:r w:rsidRPr="00574F62">
              <w:t>ool’</w:t>
            </w:r>
            <w:r w:rsidR="00964576">
              <w:t xml:space="preserve"> refers to the output from the spray d</w:t>
            </w:r>
            <w:r w:rsidRPr="00574F62">
              <w:t xml:space="preserve">rift </w:t>
            </w:r>
            <w:r w:rsidR="00964576">
              <w:t>m</w:t>
            </w:r>
            <w:r w:rsidRPr="00574F62">
              <w:t xml:space="preserve">anagement </w:t>
            </w:r>
            <w:r w:rsidR="00964576">
              <w:t>t</w:t>
            </w:r>
            <w:r w:rsidRPr="00574F62">
              <w:t xml:space="preserve">ool following the input of information relevant to the proposed application of a specific product (or products). The specific product may be identified by the APVMA approval number printed on the product label or the product name recorded on the </w:t>
            </w:r>
            <w:hyperlink r:id="rId114" w:history="1">
              <w:r w:rsidRPr="00574F62">
                <w:rPr>
                  <w:rStyle w:val="Hyperlink"/>
                </w:rPr>
                <w:t>APVMA register</w:t>
              </w:r>
            </w:hyperlink>
            <w:r w:rsidRPr="00574F62">
              <w:t>.</w:t>
            </w:r>
          </w:p>
        </w:tc>
      </w:tr>
      <w:tr w:rsidR="00574F62" w14:paraId="2387DE8F" w14:textId="77777777" w:rsidTr="004E7D7E">
        <w:tc>
          <w:tcPr>
            <w:tcW w:w="1111" w:type="pct"/>
          </w:tcPr>
          <w:p w14:paraId="6FABB0B4" w14:textId="12FE684E" w:rsidR="00574F62" w:rsidRPr="00574F62" w:rsidRDefault="00574F62" w:rsidP="00574F62">
            <w:pPr>
              <w:pStyle w:val="APVMATableText"/>
            </w:pPr>
            <w:r w:rsidRPr="00574F62">
              <w:t>Rotor diameter</w:t>
            </w:r>
          </w:p>
        </w:tc>
        <w:tc>
          <w:tcPr>
            <w:tcW w:w="3889" w:type="pct"/>
          </w:tcPr>
          <w:p w14:paraId="28A6D6B6" w14:textId="37CB3ADC" w:rsidR="00574F62" w:rsidRPr="00574F62" w:rsidRDefault="00574F62" w:rsidP="00574F62">
            <w:pPr>
              <w:pStyle w:val="APVMATableText"/>
            </w:pPr>
            <w:r w:rsidRPr="00574F62">
              <w:t xml:space="preserve">Diameter </w:t>
            </w:r>
            <w:r w:rsidR="008353B6">
              <w:t xml:space="preserve">of </w:t>
            </w:r>
            <w:r w:rsidRPr="00574F62">
              <w:t>the rotating blades of a helicopter which generates lift.</w:t>
            </w:r>
          </w:p>
        </w:tc>
      </w:tr>
      <w:tr w:rsidR="00574F62" w14:paraId="70DFC710" w14:textId="77777777" w:rsidTr="004E7D7E">
        <w:tc>
          <w:tcPr>
            <w:tcW w:w="1111" w:type="pct"/>
          </w:tcPr>
          <w:p w14:paraId="4CD12617" w14:textId="1D284EFD" w:rsidR="00574F62" w:rsidRPr="00574F62" w:rsidRDefault="00574F62" w:rsidP="00574F62">
            <w:pPr>
              <w:pStyle w:val="APVMATableText"/>
            </w:pPr>
            <w:r w:rsidRPr="00574F62">
              <w:t>Sensitive areas</w:t>
            </w:r>
          </w:p>
        </w:tc>
        <w:tc>
          <w:tcPr>
            <w:tcW w:w="3889" w:type="pct"/>
          </w:tcPr>
          <w:p w14:paraId="0EAF29B5" w14:textId="7A4E74CC" w:rsidR="00574F62" w:rsidRPr="00574F62" w:rsidRDefault="00574F62" w:rsidP="00574F62">
            <w:pPr>
              <w:pStyle w:val="APVMATableText"/>
            </w:pPr>
            <w:r w:rsidRPr="00574F62">
              <w:t>For the purpose of spray drift management, five different type of sensitive areas are considered in establishing relevant buffer zones. These are ‘Bystander areas’, ‘Natural aquatic areas’, ‘Pollinator areas’, ‘Vegetation areas’ and ‘Livestock areas’</w:t>
            </w:r>
            <w:r w:rsidR="00964576">
              <w:t>.</w:t>
            </w:r>
          </w:p>
        </w:tc>
      </w:tr>
      <w:tr w:rsidR="00574F62" w14:paraId="3A7402A1" w14:textId="77777777" w:rsidTr="004E7D7E">
        <w:tc>
          <w:tcPr>
            <w:tcW w:w="1111" w:type="pct"/>
          </w:tcPr>
          <w:p w14:paraId="68B0F82C" w14:textId="4A72A8B1" w:rsidR="00574F62" w:rsidRPr="00574F62" w:rsidRDefault="00574F62" w:rsidP="00574F62">
            <w:pPr>
              <w:pStyle w:val="APVMATableText"/>
            </w:pPr>
            <w:r w:rsidRPr="00574F62">
              <w:t>Spray cloud</w:t>
            </w:r>
          </w:p>
        </w:tc>
        <w:tc>
          <w:tcPr>
            <w:tcW w:w="3889" w:type="pct"/>
          </w:tcPr>
          <w:p w14:paraId="682DA731" w14:textId="2BBE7C5F" w:rsidR="00574F62" w:rsidRPr="00574F62" w:rsidRDefault="00574F62" w:rsidP="00574F62">
            <w:pPr>
              <w:pStyle w:val="APVMATableText"/>
            </w:pPr>
            <w:r w:rsidRPr="00574F62">
              <w:t>‘Spray cloud’ means the volume of air that is directly adjacent to operating application equipment which contains large numbers of spray droplets in close proximity to each other. The area which the spray cloud covers will vary between types of application equipment and use practices, but is generally defined as the cloud of droplets that is visible by the naked eye shortly after being released into the atmosphere and excludes isolated droplets that are carried downwind from the application area by the wind.</w:t>
            </w:r>
          </w:p>
        </w:tc>
      </w:tr>
      <w:tr w:rsidR="00574F62" w14:paraId="79751EE3" w14:textId="77777777" w:rsidTr="004E7D7E">
        <w:tc>
          <w:tcPr>
            <w:tcW w:w="1111" w:type="pct"/>
          </w:tcPr>
          <w:p w14:paraId="7269FB0C" w14:textId="554E0A53" w:rsidR="00574F62" w:rsidRPr="00574F62" w:rsidRDefault="00574F62" w:rsidP="00574F62">
            <w:pPr>
              <w:pStyle w:val="APVMATableText"/>
            </w:pPr>
            <w:r w:rsidRPr="00574F62">
              <w:t>Spray drift</w:t>
            </w:r>
          </w:p>
        </w:tc>
        <w:tc>
          <w:tcPr>
            <w:tcW w:w="3889" w:type="pct"/>
          </w:tcPr>
          <w:p w14:paraId="66D0F5DD" w14:textId="2DEEF9EE" w:rsidR="00574F62" w:rsidRPr="00574F62" w:rsidRDefault="00574F62" w:rsidP="00574F62">
            <w:pPr>
              <w:pStyle w:val="APVMATableText"/>
            </w:pPr>
            <w:r w:rsidRPr="00574F62">
              <w:t>Spray drift is defined by the APVMA as the movement of spray droplets of a pesticide outside of the application site during, or shortly after, application. It does not encompass off-target movement of a pesticide caused by runoff, volatilisation, erosion, or any other mechanism that occurs after spray droplets reach their intended target.</w:t>
            </w:r>
          </w:p>
        </w:tc>
      </w:tr>
      <w:tr w:rsidR="00574F62" w14:paraId="57D1537E" w14:textId="77777777" w:rsidTr="004E7D7E">
        <w:tc>
          <w:tcPr>
            <w:tcW w:w="1111" w:type="pct"/>
          </w:tcPr>
          <w:p w14:paraId="34028D47" w14:textId="3E3B3F7D" w:rsidR="00574F62" w:rsidRPr="00574F62" w:rsidRDefault="00574F62" w:rsidP="00574F62">
            <w:pPr>
              <w:pStyle w:val="APVMATableText"/>
              <w:jc w:val="center"/>
            </w:pPr>
            <w:r>
              <w:lastRenderedPageBreak/>
              <w:t>Spray droplet size category</w:t>
            </w:r>
          </w:p>
        </w:tc>
        <w:tc>
          <w:tcPr>
            <w:tcW w:w="3889" w:type="pct"/>
          </w:tcPr>
          <w:p w14:paraId="01FF63B9" w14:textId="77777777" w:rsidR="00574F62" w:rsidRPr="00574F62" w:rsidRDefault="00574F62" w:rsidP="00574F62">
            <w:pPr>
              <w:pStyle w:val="APVMATableText"/>
            </w:pPr>
            <w:r w:rsidRPr="00574F62">
              <w:t>The characteristics of spray droplets produced by a certain nozzle operating at a certain pressure are described in several standards. Specifically, these standards are used by the APVMA for application by ‘boom sprayer’ or ‘aircraft’ only (ie they are not currently relevant for a ‘vertical sprayer’) and describe the following droplet size categories:</w:t>
            </w:r>
          </w:p>
          <w:p w14:paraId="3DA1645C" w14:textId="77777777" w:rsidR="00574F62" w:rsidRPr="004E7D7E" w:rsidRDefault="00574F62" w:rsidP="00964576">
            <w:pPr>
              <w:pStyle w:val="APVMATableBullet"/>
              <w:rPr>
                <w:color w:val="auto"/>
              </w:rPr>
            </w:pPr>
            <w:r w:rsidRPr="004E7D7E">
              <w:rPr>
                <w:color w:val="auto"/>
              </w:rPr>
              <w:t>FINE (F)</w:t>
            </w:r>
          </w:p>
          <w:p w14:paraId="7393E115" w14:textId="77777777" w:rsidR="00574F62" w:rsidRPr="004E7D7E" w:rsidRDefault="00574F62" w:rsidP="00964576">
            <w:pPr>
              <w:pStyle w:val="APVMATableBullet"/>
              <w:rPr>
                <w:color w:val="auto"/>
              </w:rPr>
            </w:pPr>
            <w:r w:rsidRPr="004E7D7E">
              <w:rPr>
                <w:color w:val="auto"/>
              </w:rPr>
              <w:t>MEDIUM (M)</w:t>
            </w:r>
          </w:p>
          <w:p w14:paraId="0B2ED44C" w14:textId="77777777" w:rsidR="00574F62" w:rsidRPr="004E7D7E" w:rsidRDefault="00574F62" w:rsidP="00964576">
            <w:pPr>
              <w:pStyle w:val="APVMATableBullet"/>
              <w:rPr>
                <w:color w:val="auto"/>
              </w:rPr>
            </w:pPr>
            <w:r w:rsidRPr="004E7D7E">
              <w:rPr>
                <w:color w:val="auto"/>
              </w:rPr>
              <w:t>COARSE (C)</w:t>
            </w:r>
          </w:p>
          <w:p w14:paraId="1E933038" w14:textId="77777777" w:rsidR="00574F62" w:rsidRPr="004E7D7E" w:rsidRDefault="00574F62" w:rsidP="00964576">
            <w:pPr>
              <w:pStyle w:val="APVMATableBullet"/>
              <w:rPr>
                <w:color w:val="auto"/>
              </w:rPr>
            </w:pPr>
            <w:r w:rsidRPr="004E7D7E">
              <w:rPr>
                <w:color w:val="auto"/>
              </w:rPr>
              <w:t>VERY COARSE (VC)</w:t>
            </w:r>
          </w:p>
          <w:p w14:paraId="0FAD8833" w14:textId="77777777" w:rsidR="00574F62" w:rsidRPr="004E7D7E" w:rsidRDefault="00574F62" w:rsidP="00964576">
            <w:pPr>
              <w:pStyle w:val="APVMATableBullet"/>
              <w:rPr>
                <w:color w:val="auto"/>
              </w:rPr>
            </w:pPr>
            <w:r w:rsidRPr="004E7D7E">
              <w:rPr>
                <w:color w:val="auto"/>
              </w:rPr>
              <w:t>EXTREMELY COARSE (XC)</w:t>
            </w:r>
          </w:p>
          <w:p w14:paraId="0F4EB451" w14:textId="77777777" w:rsidR="00574F62" w:rsidRPr="004E7D7E" w:rsidRDefault="00574F62" w:rsidP="00964576">
            <w:pPr>
              <w:pStyle w:val="APVMATableBullet"/>
              <w:rPr>
                <w:color w:val="auto"/>
              </w:rPr>
            </w:pPr>
            <w:r w:rsidRPr="004E7D7E">
              <w:rPr>
                <w:color w:val="auto"/>
              </w:rPr>
              <w:t>ULTRA COARSE (UC)</w:t>
            </w:r>
          </w:p>
          <w:p w14:paraId="59684C35" w14:textId="77777777" w:rsidR="00574F62" w:rsidRPr="00574F62" w:rsidRDefault="00574F62" w:rsidP="00574F62">
            <w:pPr>
              <w:pStyle w:val="APVMATableText"/>
            </w:pPr>
            <w:r w:rsidRPr="00574F62">
              <w:t>Standards also may refer to VERY FINE (VF) or smaller spray droplet sizes but because they pose significant spray drift risk potential, these categories will only be assessed in rare circumstances, based on the submission of spray drift data rather than standard assumptions.</w:t>
            </w:r>
          </w:p>
          <w:p w14:paraId="114083B8" w14:textId="77777777" w:rsidR="00574F62" w:rsidRPr="00574F62" w:rsidRDefault="00574F62" w:rsidP="00574F62">
            <w:pPr>
              <w:pStyle w:val="APVMATableText"/>
            </w:pPr>
            <w:r w:rsidRPr="00574F62">
              <w:t>Different nozzle standards are used because no undisputed international standard currently exists. Nozzle manufacturers commonly rely on the standard, which is used in the jurisdiction in which they are based.</w:t>
            </w:r>
          </w:p>
          <w:p w14:paraId="7309E3FC" w14:textId="77777777" w:rsidR="00574F62" w:rsidRPr="00574F62" w:rsidRDefault="00574F62" w:rsidP="00574F62">
            <w:pPr>
              <w:pStyle w:val="APVMATableText"/>
            </w:pPr>
            <w:r w:rsidRPr="00574F62">
              <w:t>The APVMA currently recognises the following standards for the classification of nozzles used on a ‘boom sprayer’:</w:t>
            </w:r>
          </w:p>
          <w:p w14:paraId="5D7C38F3" w14:textId="77777777" w:rsidR="00574F62" w:rsidRPr="004E7D7E" w:rsidRDefault="00574F62" w:rsidP="00574F62">
            <w:pPr>
              <w:pStyle w:val="APVMATableBullet"/>
              <w:rPr>
                <w:color w:val="auto"/>
              </w:rPr>
            </w:pPr>
            <w:r w:rsidRPr="004E7D7E">
              <w:rPr>
                <w:color w:val="auto"/>
              </w:rPr>
              <w:t>American Society of Agricultural and Biological Engineers (ASABE)</w:t>
            </w:r>
          </w:p>
          <w:p w14:paraId="3267601F" w14:textId="77777777" w:rsidR="00574F62" w:rsidRPr="009F4111" w:rsidRDefault="00574F62" w:rsidP="009F4111">
            <w:pPr>
              <w:pStyle w:val="APVMATableBullet"/>
              <w:numPr>
                <w:ilvl w:val="1"/>
                <w:numId w:val="19"/>
              </w:numPr>
              <w:ind w:left="839" w:hanging="357"/>
              <w:rPr>
                <w:color w:val="auto"/>
              </w:rPr>
            </w:pPr>
            <w:r w:rsidRPr="009F4111">
              <w:rPr>
                <w:color w:val="auto"/>
              </w:rPr>
              <w:t>ANSI/ASAE S572.1 MAR2009: Spray Nozzle Classification by Droplet Spectra</w:t>
            </w:r>
          </w:p>
          <w:p w14:paraId="42DF4660" w14:textId="77777777" w:rsidR="00574F62" w:rsidRPr="004E7D7E" w:rsidRDefault="00574F62" w:rsidP="00574F62">
            <w:pPr>
              <w:pStyle w:val="APVMATableBullet"/>
              <w:numPr>
                <w:ilvl w:val="1"/>
                <w:numId w:val="19"/>
              </w:numPr>
              <w:ind w:left="839" w:hanging="357"/>
              <w:rPr>
                <w:color w:val="auto"/>
              </w:rPr>
            </w:pPr>
            <w:r w:rsidRPr="004E7D7E">
              <w:rPr>
                <w:color w:val="auto"/>
              </w:rPr>
              <w:t>ANSI/ASAE S572.2 JUL2018: Spray Nozzle Classification by Droplet Spectra</w:t>
            </w:r>
          </w:p>
          <w:p w14:paraId="11C7267C" w14:textId="479EBC47" w:rsidR="00574F62" w:rsidRPr="004E7D7E" w:rsidRDefault="00574F62" w:rsidP="00574F62">
            <w:pPr>
              <w:pStyle w:val="APVMATableBullet"/>
              <w:numPr>
                <w:ilvl w:val="0"/>
                <w:numId w:val="1"/>
              </w:numPr>
              <w:rPr>
                <w:color w:val="auto"/>
              </w:rPr>
            </w:pPr>
            <w:r w:rsidRPr="004E7D7E">
              <w:rPr>
                <w:color w:val="auto"/>
              </w:rPr>
              <w:t>ISO 25358: Crop protection equipment—Droplet-size spectra from atomizers—Measurement and classification</w:t>
            </w:r>
          </w:p>
          <w:p w14:paraId="201C127B" w14:textId="77777777" w:rsidR="00574F62" w:rsidRPr="00574F62" w:rsidRDefault="00574F62" w:rsidP="00574F62">
            <w:pPr>
              <w:pStyle w:val="APVMATableText"/>
            </w:pPr>
            <w:r w:rsidRPr="00574F62">
              <w:t xml:space="preserve">ASABE S641, Droplet Size Classification of Aerial Application Nozzles, came into effect in May 2018 and the APVMA guidelines may in the future be updated to comply with ASABE S641 for aerial applications. </w:t>
            </w:r>
          </w:p>
          <w:p w14:paraId="60F2A5D9" w14:textId="40C45ECD" w:rsidR="00574F62" w:rsidRPr="00574F62" w:rsidRDefault="00574F62" w:rsidP="008353B6">
            <w:pPr>
              <w:pStyle w:val="APVMATableText"/>
            </w:pPr>
            <w:r w:rsidRPr="00574F62">
              <w:t>Droplet size categories are currently based on ASAE S572.</w:t>
            </w:r>
            <w:r w:rsidR="008353B6">
              <w:t>2</w:t>
            </w:r>
            <w:r w:rsidRPr="00574F62">
              <w:t xml:space="preserve"> and categories from non-recognised standards will not be used unless sufficient information is provided with an application to enable custom droplet size distributions to be established or the APVMA recognises the standard.</w:t>
            </w:r>
          </w:p>
        </w:tc>
      </w:tr>
      <w:tr w:rsidR="00574F62" w14:paraId="12B4803A" w14:textId="77777777" w:rsidTr="004E7D7E">
        <w:tc>
          <w:tcPr>
            <w:tcW w:w="1111" w:type="pct"/>
          </w:tcPr>
          <w:p w14:paraId="7A80941E" w14:textId="771F7FA6" w:rsidR="00574F62" w:rsidRPr="00574F62" w:rsidRDefault="00574F62" w:rsidP="00574F62">
            <w:pPr>
              <w:pStyle w:val="APVMATableText"/>
            </w:pPr>
            <w:r w:rsidRPr="00574F62">
              <w:t>Surface temperature inversions</w:t>
            </w:r>
          </w:p>
        </w:tc>
        <w:tc>
          <w:tcPr>
            <w:tcW w:w="3889" w:type="pct"/>
          </w:tcPr>
          <w:p w14:paraId="31BF4B32" w14:textId="7117A60D" w:rsidR="00574F62" w:rsidRPr="00574F62" w:rsidRDefault="00574F62" w:rsidP="00574F62">
            <w:pPr>
              <w:pStyle w:val="APVMATableText"/>
            </w:pPr>
            <w:r w:rsidRPr="00574F62">
              <w:t>See ‘Hazardous surface temperature inversions’</w:t>
            </w:r>
            <w:r w:rsidR="00964576">
              <w:t>.</w:t>
            </w:r>
          </w:p>
        </w:tc>
      </w:tr>
      <w:tr w:rsidR="00574F62" w14:paraId="073BBE53" w14:textId="77777777" w:rsidTr="004E7D7E">
        <w:tc>
          <w:tcPr>
            <w:tcW w:w="1111" w:type="pct"/>
          </w:tcPr>
          <w:p w14:paraId="510B6766" w14:textId="06F33B6D" w:rsidR="00574F62" w:rsidRPr="00574F62" w:rsidRDefault="00574F62" w:rsidP="00574F62">
            <w:pPr>
              <w:pStyle w:val="APVMATableText"/>
            </w:pPr>
            <w:r w:rsidRPr="00574F62">
              <w:t>Target canopy</w:t>
            </w:r>
          </w:p>
        </w:tc>
        <w:tc>
          <w:tcPr>
            <w:tcW w:w="3889" w:type="pct"/>
          </w:tcPr>
          <w:p w14:paraId="3D8A8C78" w14:textId="3C3B67F7" w:rsidR="00574F62" w:rsidRPr="00574F62" w:rsidRDefault="00574F62" w:rsidP="00574F62">
            <w:pPr>
              <w:pStyle w:val="APVMATableText"/>
            </w:pPr>
            <w:r w:rsidRPr="00574F62">
              <w:t>‘Target canopy’ refers to vegetation within the ‘application site’. The ‘target canopy’ can refer to the crop, weeds or any other vegetation within the target area, whichever is the highest.</w:t>
            </w:r>
          </w:p>
        </w:tc>
      </w:tr>
      <w:tr w:rsidR="00574F62" w14:paraId="6E9FE1B5" w14:textId="77777777" w:rsidTr="004E7D7E">
        <w:tc>
          <w:tcPr>
            <w:tcW w:w="1111" w:type="pct"/>
          </w:tcPr>
          <w:p w14:paraId="0FB71061" w14:textId="11D8B4AB" w:rsidR="00574F62" w:rsidRPr="00574F62" w:rsidRDefault="00574F62" w:rsidP="00574F62">
            <w:pPr>
              <w:pStyle w:val="APVMATableText"/>
            </w:pPr>
            <w:r w:rsidRPr="00574F62">
              <w:t>Unacceptable impact</w:t>
            </w:r>
          </w:p>
        </w:tc>
        <w:tc>
          <w:tcPr>
            <w:tcW w:w="3889" w:type="pct"/>
          </w:tcPr>
          <w:p w14:paraId="4197CA1B" w14:textId="77777777" w:rsidR="00574F62" w:rsidRPr="00574F62" w:rsidRDefault="00574F62" w:rsidP="00574F62">
            <w:pPr>
              <w:pStyle w:val="APVMATableText"/>
            </w:pPr>
            <w:r w:rsidRPr="00574F62">
              <w:t>For the purposes of native vegetation, ‘unacceptable impact’ means a loss of native vegetation that has an impact at a population or ecosystem level. For example, damage to leaves on a small percentage of plants in an area that does not cause a change in the diversity of plants in that area is not an ‘unacceptable impact’ but damage that causes a species of plant in an area to be replaced by another species is an ‘unacceptable impact’. However, it is important to note that this ultimately depends on relevant local, state or commonwealth legislation, which varies between jurisdictions.</w:t>
            </w:r>
          </w:p>
          <w:p w14:paraId="7CFC1ADF" w14:textId="77313A4F" w:rsidR="00574F62" w:rsidRPr="00574F62" w:rsidRDefault="00574F62" w:rsidP="00574F62">
            <w:pPr>
              <w:pStyle w:val="APVMATableText"/>
            </w:pPr>
            <w:r w:rsidRPr="00574F62">
              <w:t>For the purposes of ‘agricultural crops’, ‘landscaped gardens’ or ‘aquacultural production’, unacceptable impact will be determined by the policies of the relevant Control-of-Use jurisdiction.</w:t>
            </w:r>
          </w:p>
        </w:tc>
      </w:tr>
      <w:tr w:rsidR="00574F62" w14:paraId="6852AC56" w14:textId="77777777" w:rsidTr="004E7D7E">
        <w:tc>
          <w:tcPr>
            <w:tcW w:w="1111" w:type="pct"/>
          </w:tcPr>
          <w:p w14:paraId="34DF8DC0" w14:textId="4F9451ED" w:rsidR="00574F62" w:rsidRPr="00574F62" w:rsidRDefault="00574F62" w:rsidP="00574F62">
            <w:pPr>
              <w:pStyle w:val="APVMATableText"/>
            </w:pPr>
            <w:r w:rsidRPr="00574F62">
              <w:lastRenderedPageBreak/>
              <w:t>Vegetation areas</w:t>
            </w:r>
          </w:p>
        </w:tc>
        <w:tc>
          <w:tcPr>
            <w:tcW w:w="3889" w:type="pct"/>
          </w:tcPr>
          <w:p w14:paraId="7F4DD789" w14:textId="0817DB0D" w:rsidR="00574F62" w:rsidRPr="00574F62" w:rsidRDefault="00574F62" w:rsidP="00574F62">
            <w:pPr>
              <w:pStyle w:val="APVMATableText"/>
            </w:pPr>
            <w:r w:rsidRPr="00574F62">
              <w:t>‘Vegetation areas’ are where ‘native vegetation’, ‘agricultural crops’ or ‘landscaped gardens’ are present. It does not include vegetation that has been planted explicitly for purpose of a drift buffer.</w:t>
            </w:r>
          </w:p>
        </w:tc>
      </w:tr>
      <w:tr w:rsidR="00574F62" w14:paraId="017025F4" w14:textId="77777777" w:rsidTr="004E7D7E">
        <w:tc>
          <w:tcPr>
            <w:tcW w:w="1111" w:type="pct"/>
          </w:tcPr>
          <w:p w14:paraId="5E170DE2" w14:textId="5AF323FF" w:rsidR="00574F62" w:rsidRPr="00574F62" w:rsidRDefault="00574F62" w:rsidP="00574F62">
            <w:pPr>
              <w:pStyle w:val="APVMATableText"/>
            </w:pPr>
            <w:r w:rsidRPr="00574F62">
              <w:t>Vertical sprayer</w:t>
            </w:r>
          </w:p>
        </w:tc>
        <w:tc>
          <w:tcPr>
            <w:tcW w:w="3889" w:type="pct"/>
          </w:tcPr>
          <w:p w14:paraId="357C6D0C" w14:textId="3CB8CDEC" w:rsidR="00574F62" w:rsidRPr="00574F62" w:rsidRDefault="00574F62" w:rsidP="00574F62">
            <w:pPr>
              <w:pStyle w:val="APVMATableText"/>
            </w:pPr>
            <w:r w:rsidRPr="00574F62">
              <w:t>A ‘vertical sprayer’ is one that applies spray in a direction other than directly towards the ground. This excludes application equipment defined as a ‘boom sprayer’ or ‘aircraft’ or when the product is used for any use pattern not requiring a spray drift risk assessment (section 2.2).</w:t>
            </w:r>
          </w:p>
        </w:tc>
      </w:tr>
      <w:tr w:rsidR="00574F62" w14:paraId="2830B2E8" w14:textId="77777777" w:rsidTr="004E7D7E">
        <w:tc>
          <w:tcPr>
            <w:tcW w:w="1111" w:type="pct"/>
          </w:tcPr>
          <w:p w14:paraId="1ED1626C" w14:textId="3B4B6438" w:rsidR="00574F62" w:rsidRPr="00574F62" w:rsidRDefault="00574F62" w:rsidP="00574F62">
            <w:pPr>
              <w:pStyle w:val="APVMATableText"/>
            </w:pPr>
            <w:r w:rsidRPr="00574F62">
              <w:t>Watercourse</w:t>
            </w:r>
          </w:p>
        </w:tc>
        <w:tc>
          <w:tcPr>
            <w:tcW w:w="3889" w:type="pct"/>
          </w:tcPr>
          <w:p w14:paraId="56508538" w14:textId="77777777" w:rsidR="00574F62" w:rsidRPr="00574F62" w:rsidRDefault="00574F62" w:rsidP="00574F62">
            <w:pPr>
              <w:pStyle w:val="APVMATableText"/>
            </w:pPr>
            <w:r w:rsidRPr="00574F62">
              <w:t xml:space="preserve">For the purpose of ‘natural aquatic areas’, the current definition of ‘watercourse’ under the </w:t>
            </w:r>
            <w:r w:rsidRPr="00574F62">
              <w:rPr>
                <w:i/>
              </w:rPr>
              <w:t>Commonwealth Water Act 2007</w:t>
            </w:r>
            <w:r w:rsidRPr="00574F62">
              <w:t xml:space="preserve"> is a river, creek or other natural watercourse (whether modified or not) in which water is contained or flows (whether permanently or from time to time); and includes:</w:t>
            </w:r>
          </w:p>
          <w:p w14:paraId="6A139D1E" w14:textId="77777777" w:rsidR="00574F62" w:rsidRPr="004E7D7E" w:rsidRDefault="00574F62" w:rsidP="00574F62">
            <w:pPr>
              <w:pStyle w:val="APVMATableBullet"/>
              <w:rPr>
                <w:color w:val="auto"/>
              </w:rPr>
            </w:pPr>
            <w:r w:rsidRPr="004E7D7E">
              <w:rPr>
                <w:color w:val="auto"/>
              </w:rPr>
              <w:t>a dam or reservoir that collects water flowing in a watercourse</w:t>
            </w:r>
          </w:p>
          <w:p w14:paraId="0D7F77B2" w14:textId="77777777" w:rsidR="00574F62" w:rsidRPr="004E7D7E" w:rsidRDefault="00574F62" w:rsidP="00574F62">
            <w:pPr>
              <w:pStyle w:val="APVMATableBullet"/>
              <w:rPr>
                <w:color w:val="auto"/>
              </w:rPr>
            </w:pPr>
            <w:r w:rsidRPr="004E7D7E">
              <w:rPr>
                <w:color w:val="auto"/>
              </w:rPr>
              <w:t>a lake or ‘wetland’ through which water flows</w:t>
            </w:r>
          </w:p>
          <w:p w14:paraId="6E1F9B70" w14:textId="77777777" w:rsidR="00574F62" w:rsidRPr="004E7D7E" w:rsidRDefault="00574F62" w:rsidP="00574F62">
            <w:pPr>
              <w:pStyle w:val="APVMATableBullet"/>
              <w:rPr>
                <w:color w:val="auto"/>
              </w:rPr>
            </w:pPr>
            <w:r w:rsidRPr="004E7D7E">
              <w:rPr>
                <w:color w:val="auto"/>
              </w:rPr>
              <w:t>a channel into which the water of a watercourse has been diverted</w:t>
            </w:r>
          </w:p>
          <w:p w14:paraId="4D9B053B" w14:textId="77777777" w:rsidR="00574F62" w:rsidRPr="004E7D7E" w:rsidRDefault="00574F62" w:rsidP="00574F62">
            <w:pPr>
              <w:pStyle w:val="APVMATableBullet"/>
              <w:rPr>
                <w:color w:val="auto"/>
              </w:rPr>
            </w:pPr>
            <w:r w:rsidRPr="004E7D7E">
              <w:rPr>
                <w:color w:val="auto"/>
              </w:rPr>
              <w:t>part of a watercourse</w:t>
            </w:r>
          </w:p>
          <w:p w14:paraId="4F2497DA" w14:textId="77777777" w:rsidR="00574F62" w:rsidRPr="004E7D7E" w:rsidRDefault="00574F62" w:rsidP="00574F62">
            <w:pPr>
              <w:pStyle w:val="APVMATableBullet"/>
              <w:rPr>
                <w:color w:val="auto"/>
              </w:rPr>
            </w:pPr>
            <w:r w:rsidRPr="004E7D7E">
              <w:rPr>
                <w:color w:val="auto"/>
              </w:rPr>
              <w:t>an estuary through which water flows.</w:t>
            </w:r>
          </w:p>
          <w:p w14:paraId="49E263DB" w14:textId="77777777" w:rsidR="00574F62" w:rsidRPr="004E7D7E" w:rsidRDefault="00574F62" w:rsidP="00574F62">
            <w:pPr>
              <w:pStyle w:val="APVMATableText"/>
            </w:pPr>
            <w:r w:rsidRPr="004E7D7E">
              <w:t>A ‘wetland’ is an area of land where water covers the soil—all year or just at certain times of the year. They include:</w:t>
            </w:r>
          </w:p>
          <w:p w14:paraId="0D1DA459" w14:textId="77777777" w:rsidR="00574F62" w:rsidRPr="004E7D7E" w:rsidRDefault="00574F62" w:rsidP="00574F62">
            <w:pPr>
              <w:pStyle w:val="APVMATableBullet"/>
              <w:rPr>
                <w:color w:val="auto"/>
              </w:rPr>
            </w:pPr>
            <w:r w:rsidRPr="004E7D7E">
              <w:rPr>
                <w:color w:val="auto"/>
              </w:rPr>
              <w:t>swamps, marshes</w:t>
            </w:r>
          </w:p>
          <w:p w14:paraId="4536B15D" w14:textId="77777777" w:rsidR="00574F62" w:rsidRPr="004E7D7E" w:rsidRDefault="00574F62" w:rsidP="00574F62">
            <w:pPr>
              <w:pStyle w:val="APVMATableBullet"/>
              <w:rPr>
                <w:color w:val="auto"/>
              </w:rPr>
            </w:pPr>
            <w:r w:rsidRPr="004E7D7E">
              <w:rPr>
                <w:color w:val="auto"/>
              </w:rPr>
              <w:t>billabongs, lakes, lagoons</w:t>
            </w:r>
          </w:p>
          <w:p w14:paraId="5E3F1E1E" w14:textId="77777777" w:rsidR="00574F62" w:rsidRPr="004E7D7E" w:rsidRDefault="00574F62" w:rsidP="00574F62">
            <w:pPr>
              <w:pStyle w:val="APVMATableBullet"/>
              <w:rPr>
                <w:color w:val="auto"/>
              </w:rPr>
            </w:pPr>
            <w:r w:rsidRPr="004E7D7E">
              <w:rPr>
                <w:color w:val="auto"/>
              </w:rPr>
              <w:t>saltmarshes, mudflats</w:t>
            </w:r>
          </w:p>
          <w:p w14:paraId="36733CDD" w14:textId="77777777" w:rsidR="00574F62" w:rsidRPr="004E7D7E" w:rsidRDefault="00574F62" w:rsidP="00574F62">
            <w:pPr>
              <w:pStyle w:val="APVMATableBullet"/>
              <w:rPr>
                <w:color w:val="auto"/>
              </w:rPr>
            </w:pPr>
            <w:r w:rsidRPr="004E7D7E">
              <w:rPr>
                <w:color w:val="auto"/>
              </w:rPr>
              <w:t>mangroves, coral reefs</w:t>
            </w:r>
          </w:p>
          <w:p w14:paraId="7DF2CD90" w14:textId="77777777" w:rsidR="00574F62" w:rsidRPr="004E7D7E" w:rsidRDefault="00574F62" w:rsidP="00574F62">
            <w:pPr>
              <w:pStyle w:val="APVMATableBullet"/>
              <w:rPr>
                <w:color w:val="auto"/>
              </w:rPr>
            </w:pPr>
            <w:r w:rsidRPr="004E7D7E">
              <w:rPr>
                <w:color w:val="auto"/>
              </w:rPr>
              <w:t>bogs, fens, and peatlands.</w:t>
            </w:r>
          </w:p>
          <w:p w14:paraId="61B99908" w14:textId="66C50100" w:rsidR="00574F62" w:rsidRPr="00574F62" w:rsidRDefault="00574F62" w:rsidP="00574F62">
            <w:pPr>
              <w:pStyle w:val="APVMATableText"/>
            </w:pPr>
            <w:r w:rsidRPr="00574F62">
              <w:t>A ‘wetland’ may be natural or artificial and its water may be static or flowing, fresh, brackish or saline.</w:t>
            </w:r>
          </w:p>
        </w:tc>
      </w:tr>
      <w:tr w:rsidR="00574F62" w14:paraId="30B8C2D5" w14:textId="77777777" w:rsidTr="004E7D7E">
        <w:tc>
          <w:tcPr>
            <w:tcW w:w="1111" w:type="pct"/>
          </w:tcPr>
          <w:p w14:paraId="77994D50" w14:textId="094A8528" w:rsidR="00574F62" w:rsidRPr="00574F62" w:rsidRDefault="00574F62" w:rsidP="00574F62">
            <w:pPr>
              <w:pStyle w:val="APVMATableText"/>
            </w:pPr>
            <w:r w:rsidRPr="00574F62">
              <w:t>Wind speed</w:t>
            </w:r>
          </w:p>
        </w:tc>
        <w:tc>
          <w:tcPr>
            <w:tcW w:w="3889" w:type="pct"/>
          </w:tcPr>
          <w:p w14:paraId="0AE31033" w14:textId="77777777" w:rsidR="00574F62" w:rsidRPr="00574F62" w:rsidRDefault="00574F62" w:rsidP="00574F62">
            <w:pPr>
              <w:pStyle w:val="APVMATableText"/>
            </w:pPr>
            <w:r w:rsidRPr="00574F62">
              <w:t xml:space="preserve">The average wind speed at the application site during the time of application must not exceed the maximum given on the product label. The maximum wind speed (gusts) should not be more than one-third of the average wind speed above the average wind speed. </w:t>
            </w:r>
          </w:p>
          <w:p w14:paraId="4F37F4D7" w14:textId="43F11EA3" w:rsidR="00574F62" w:rsidRPr="00574F62" w:rsidRDefault="00574F62" w:rsidP="00574F62">
            <w:pPr>
              <w:pStyle w:val="APVMATableText"/>
            </w:pPr>
            <w:r w:rsidRPr="00574F62">
              <w:t>Wind speed should be measured two metres above the ground at the application site. The point where the wind speed is measure should be representative of the application area and should be free of obstructions that may impact the measurement.</w:t>
            </w:r>
          </w:p>
        </w:tc>
      </w:tr>
      <w:tr w:rsidR="00574F62" w14:paraId="74BE0EC6" w14:textId="77777777" w:rsidTr="004E7D7E">
        <w:tc>
          <w:tcPr>
            <w:tcW w:w="1111" w:type="pct"/>
          </w:tcPr>
          <w:p w14:paraId="79B3A245" w14:textId="320D4A39" w:rsidR="00574F62" w:rsidRPr="00574F62" w:rsidRDefault="00574F62" w:rsidP="00574F62">
            <w:pPr>
              <w:pStyle w:val="APVMATableText"/>
            </w:pPr>
            <w:r w:rsidRPr="00574F62">
              <w:t>Wing span</w:t>
            </w:r>
          </w:p>
        </w:tc>
        <w:tc>
          <w:tcPr>
            <w:tcW w:w="3889" w:type="pct"/>
          </w:tcPr>
          <w:p w14:paraId="7B653563" w14:textId="42E53DEE" w:rsidR="00574F62" w:rsidRPr="00574F62" w:rsidRDefault="00574F62" w:rsidP="00574F62">
            <w:pPr>
              <w:pStyle w:val="APVMATableText"/>
            </w:pPr>
            <w:r w:rsidRPr="00574F62">
              <w:t>The maximum extent across the wings of an aircraft measured from tip to tip.</w:t>
            </w:r>
          </w:p>
        </w:tc>
      </w:tr>
    </w:tbl>
    <w:p w14:paraId="3CCE355C" w14:textId="77777777" w:rsidR="002E20AC" w:rsidRDefault="002E20AC">
      <w:pPr>
        <w:pStyle w:val="NormalText"/>
        <w:tabs>
          <w:tab w:val="left" w:pos="1980"/>
        </w:tabs>
      </w:pPr>
    </w:p>
    <w:p w14:paraId="4DE1D5F3" w14:textId="77777777" w:rsidR="002E20AC" w:rsidRDefault="002E20AC">
      <w:pPr>
        <w:pStyle w:val="NormalText"/>
        <w:tabs>
          <w:tab w:val="left" w:pos="1980"/>
        </w:tabs>
        <w:ind w:left="1980" w:hanging="1980"/>
        <w:sectPr w:rsidR="002E20AC" w:rsidSect="00CB58D6">
          <w:headerReference w:type="default" r:id="rId115"/>
          <w:pgSz w:w="11906" w:h="16838" w:code="9"/>
          <w:pgMar w:top="2835" w:right="1134" w:bottom="1134" w:left="1134" w:header="1701" w:footer="680" w:gutter="0"/>
          <w:cols w:space="708"/>
          <w:docGrid w:linePitch="360"/>
        </w:sectPr>
      </w:pPr>
    </w:p>
    <w:p w14:paraId="6BD9A8B6" w14:textId="77777777" w:rsidR="009D452E" w:rsidRDefault="002E20AC" w:rsidP="00D23D6A">
      <w:pPr>
        <w:pStyle w:val="APVMAGlossaryRefH1"/>
      </w:pPr>
      <w:bookmarkStart w:id="81" w:name="_Toc231963196"/>
      <w:bookmarkStart w:id="82" w:name="_Toc414373850"/>
      <w:bookmarkStart w:id="83" w:name="_Toc14340879"/>
      <w:r>
        <w:lastRenderedPageBreak/>
        <w:t>Reference</w:t>
      </w:r>
      <w:bookmarkEnd w:id="81"/>
      <w:bookmarkEnd w:id="82"/>
      <w:bookmarkEnd w:id="83"/>
    </w:p>
    <w:p w14:paraId="78826EC0" w14:textId="010BBD05" w:rsidR="00574F62" w:rsidRPr="00574F62" w:rsidRDefault="00574F62" w:rsidP="00574F62">
      <w:pPr>
        <w:pStyle w:val="NormalText"/>
      </w:pPr>
      <w:r w:rsidRPr="00574F62">
        <w:t>Altenburger, RA, Arrhenius, ÅA, Backhaus, TA, Coors, AA, Faust, MA &amp;</w:t>
      </w:r>
      <w:r>
        <w:t xml:space="preserve"> Zitzkat, DA 2014, </w:t>
      </w:r>
      <w:r w:rsidRPr="00574F62">
        <w:t xml:space="preserve">Ecotoxicological combined effects from chemical mixtures Part 1: Relevance and adequate consideration in environmental risk assessment of plant protection products and </w:t>
      </w:r>
      <w:r>
        <w:t>biocides</w:t>
      </w:r>
      <w:r w:rsidRPr="00574F62">
        <w:t xml:space="preserve">, </w:t>
      </w:r>
      <w:r w:rsidRPr="008A4C3D">
        <w:rPr>
          <w:i/>
        </w:rPr>
        <w:t>Umweltbundesamt</w:t>
      </w:r>
      <w:r w:rsidRPr="00574F62">
        <w:t xml:space="preserve">, vol. 92/2013, xiii + 203 pp., available at </w:t>
      </w:r>
      <w:hyperlink r:id="rId116" w:history="1">
        <w:r w:rsidRPr="00574F62">
          <w:rPr>
            <w:rStyle w:val="Hyperlink"/>
          </w:rPr>
          <w:t>umweltbundesamt.de/publikationen/ecotoxicological-combined-effects-from-chemical</w:t>
        </w:r>
      </w:hyperlink>
      <w:r w:rsidRPr="00574F62">
        <w:t>.</w:t>
      </w:r>
    </w:p>
    <w:p w14:paraId="3EDFA792" w14:textId="3E3F7696" w:rsidR="00574F62" w:rsidRPr="00574F62" w:rsidRDefault="00574F62" w:rsidP="00574F62">
      <w:pPr>
        <w:pStyle w:val="NormalText"/>
      </w:pPr>
      <w:r w:rsidRPr="00574F62">
        <w:t xml:space="preserve">American Society of Agricultural and Biological Engineers (ASABE) 2018, </w:t>
      </w:r>
      <w:r w:rsidRPr="008A4C3D">
        <w:rPr>
          <w:i/>
        </w:rPr>
        <w:t>ANSI/ASAE S572.2: Spray Nozzle Classification by Droplet Spectra</w:t>
      </w:r>
      <w:r w:rsidR="008A4C3D">
        <w:t xml:space="preserve">, available at </w:t>
      </w:r>
      <w:hyperlink r:id="rId117" w:history="1">
        <w:r w:rsidR="00964576">
          <w:rPr>
            <w:rStyle w:val="Hyperlink"/>
          </w:rPr>
          <w:t>elibrary.asabe.org/abstract.asp?aid=49050&amp;t=3&amp;redir=aid=49050&amp;redir=%5bconfid=s2000%5d&amp;redirType=standards.asp&amp;redirType=standards.asp</w:t>
        </w:r>
      </w:hyperlink>
      <w:r w:rsidR="008A4C3D">
        <w:t>.</w:t>
      </w:r>
    </w:p>
    <w:p w14:paraId="252C7491" w14:textId="56017522" w:rsidR="00574F62" w:rsidRPr="00574F62" w:rsidRDefault="00574F62" w:rsidP="00574F62">
      <w:pPr>
        <w:pStyle w:val="NormalText"/>
      </w:pPr>
      <w:r w:rsidRPr="00574F62">
        <w:t xml:space="preserve">ASTM 2011 E2798-11, </w:t>
      </w:r>
      <w:r w:rsidRPr="008A4C3D">
        <w:rPr>
          <w:i/>
        </w:rPr>
        <w:t>Standard Test Method for Characterization of Performance of Pesticide Spray Drift Reduction Adjuvants for Ground Application</w:t>
      </w:r>
      <w:r w:rsidRPr="00574F62">
        <w:t xml:space="preserve">, available at </w:t>
      </w:r>
      <w:hyperlink r:id="rId118" w:history="1">
        <w:r w:rsidRPr="00574F62">
          <w:rPr>
            <w:rStyle w:val="Hyperlink"/>
          </w:rPr>
          <w:t>astm.org/Standards/E2798.htm</w:t>
        </w:r>
      </w:hyperlink>
      <w:r w:rsidR="008A4C3D">
        <w:t>.</w:t>
      </w:r>
    </w:p>
    <w:p w14:paraId="3580A110" w14:textId="10F77EA8" w:rsidR="00574F62" w:rsidRPr="00574F62" w:rsidRDefault="00574F62" w:rsidP="00574F62">
      <w:pPr>
        <w:pStyle w:val="NormalText"/>
      </w:pPr>
      <w:r w:rsidRPr="00574F62">
        <w:t xml:space="preserve">EnHealth 2012, </w:t>
      </w:r>
      <w:r w:rsidRPr="008A4C3D">
        <w:rPr>
          <w:i/>
        </w:rPr>
        <w:t>Australian Exposure Factor Guide (2012)</w:t>
      </w:r>
      <w:r w:rsidRPr="00574F62">
        <w:t xml:space="preserve">, Environmental Health Standing Committee (enHealth) of the Department of Health, Canberra, available at </w:t>
      </w:r>
      <w:hyperlink r:id="rId119" w:history="1">
        <w:r w:rsidRPr="00574F62">
          <w:rPr>
            <w:rStyle w:val="Hyperlink"/>
          </w:rPr>
          <w:t>health.gov.au/internet/main/publishing.nsf/Content/health-pubhlth-publicat-environ.htm</w:t>
        </w:r>
      </w:hyperlink>
      <w:r w:rsidRPr="00574F62">
        <w:t xml:space="preserve">. </w:t>
      </w:r>
    </w:p>
    <w:p w14:paraId="22AFBA1B" w14:textId="7F61FA09" w:rsidR="00574F62" w:rsidRPr="00574F62" w:rsidRDefault="00574F62" w:rsidP="00574F62">
      <w:pPr>
        <w:pStyle w:val="NormalText"/>
      </w:pPr>
      <w:r w:rsidRPr="00574F62">
        <w:t xml:space="preserve">Hewitt, AJ 2008, Droplet size spectra classification categories in aerial application scenarios, </w:t>
      </w:r>
      <w:r w:rsidRPr="008A4C3D">
        <w:rPr>
          <w:i/>
        </w:rPr>
        <w:t>Crop Protection</w:t>
      </w:r>
      <w:r w:rsidRPr="00574F62">
        <w:t xml:space="preserve">, vol. 27, pp. 1284–8, available at </w:t>
      </w:r>
      <w:hyperlink r:id="rId120" w:history="1">
        <w:r w:rsidRPr="00574F62">
          <w:rPr>
            <w:rStyle w:val="Hyperlink"/>
          </w:rPr>
          <w:t>sciencedirect.com/science/article/pii/S0261219408000689?via%3Dihub</w:t>
        </w:r>
      </w:hyperlink>
      <w:r w:rsidRPr="00574F62">
        <w:t>.</w:t>
      </w:r>
    </w:p>
    <w:p w14:paraId="76C025C9" w14:textId="7BDDDC37" w:rsidR="00AE348B" w:rsidRPr="00574F62" w:rsidRDefault="00AE348B" w:rsidP="00AE348B">
      <w:pPr>
        <w:pStyle w:val="NormalText"/>
      </w:pPr>
      <w:r w:rsidRPr="00AE348B">
        <w:t xml:space="preserve">OECD 1998, </w:t>
      </w:r>
      <w:r w:rsidRPr="00B94F98">
        <w:rPr>
          <w:i/>
        </w:rPr>
        <w:t>Test No. 214: Honeybees, Acute Contact Toxicity Test,</w:t>
      </w:r>
      <w:r w:rsidRPr="00AE348B">
        <w:t xml:space="preserve"> OECD Guidelines for the Testing of Chemicals, Section 2, OECD Publishing, Paris,</w:t>
      </w:r>
      <w:r w:rsidR="009E4AA1">
        <w:t xml:space="preserve"> available at</w:t>
      </w:r>
      <w:r w:rsidRPr="00AE348B">
        <w:t xml:space="preserve"> </w:t>
      </w:r>
      <w:hyperlink r:id="rId121" w:history="1">
        <w:r w:rsidR="009E4AA1" w:rsidRPr="002B5211">
          <w:rPr>
            <w:rStyle w:val="Hyperlink"/>
          </w:rPr>
          <w:t>doi.org/10.1787/9789264070189-en</w:t>
        </w:r>
      </w:hyperlink>
      <w:r w:rsidRPr="00AE348B">
        <w:t>.</w:t>
      </w:r>
    </w:p>
    <w:p w14:paraId="2E55E6B7" w14:textId="7EC96481" w:rsidR="00574F62" w:rsidRPr="00574F62" w:rsidRDefault="00574F62" w:rsidP="00574F62">
      <w:pPr>
        <w:pStyle w:val="NormalText"/>
      </w:pPr>
      <w:r w:rsidRPr="00574F62">
        <w:t xml:space="preserve">OECD 2003, </w:t>
      </w:r>
      <w:r w:rsidRPr="008A4C3D">
        <w:rPr>
          <w:i/>
        </w:rPr>
        <w:t>Descriptions of selected key generic terms used in a chemical hazard/risk assessment, Series on Testing and Assessment</w:t>
      </w:r>
      <w:r w:rsidRPr="00574F62">
        <w:t xml:space="preserve">, No. 44, Organisation for Economic Co-operation and Development, Paris, France, available at </w:t>
      </w:r>
      <w:hyperlink r:id="rId122" w:history="1">
        <w:r w:rsidRPr="00574F62">
          <w:rPr>
            <w:rStyle w:val="Hyperlink"/>
          </w:rPr>
          <w:t>oecd.org/chemicalsafety/pesticides-biocides/seriesontestingandassessment.htm</w:t>
        </w:r>
      </w:hyperlink>
      <w:r w:rsidR="008A4C3D">
        <w:t>.</w:t>
      </w:r>
      <w:r w:rsidRPr="00574F62">
        <w:t xml:space="preserve">Rosin, P &amp; Rammler, E 1933, ‘The laws governing the fineness of powdered coal’, </w:t>
      </w:r>
      <w:r w:rsidRPr="008A4C3D">
        <w:rPr>
          <w:i/>
        </w:rPr>
        <w:t>Journal of the Institute of Fuel</w:t>
      </w:r>
      <w:r w:rsidRPr="00574F62">
        <w:t>, vol. 7, pp. 29–36.</w:t>
      </w:r>
    </w:p>
    <w:p w14:paraId="3080BBF8" w14:textId="0A0490BD" w:rsidR="00574F62" w:rsidRPr="00574F62" w:rsidRDefault="00574F62" w:rsidP="00574F62">
      <w:pPr>
        <w:pStyle w:val="NormalText"/>
      </w:pPr>
      <w:r w:rsidRPr="00574F62">
        <w:t xml:space="preserve">Southcombe, ESE, Miller, PCH, Ganzelmeier, H, Van De Zande, JC, Miralles, A, Hewitt, AJ 1997, </w:t>
      </w:r>
      <w:r w:rsidRPr="008A4C3D">
        <w:rPr>
          <w:i/>
        </w:rPr>
        <w:t>The International (BCPC) Spray Classification System Including a Drift Potential Factor</w:t>
      </w:r>
      <w:r w:rsidRPr="00574F62">
        <w:t>. Pr</w:t>
      </w:r>
      <w:r w:rsidR="008A4C3D">
        <w:t>oc. BCPC Conf.—Weeds, pp. 371–</w:t>
      </w:r>
      <w:r w:rsidRPr="00574F62">
        <w:t xml:space="preserve">80, available at </w:t>
      </w:r>
      <w:hyperlink r:id="rId123" w:history="1">
        <w:r w:rsidRPr="00574F62">
          <w:rPr>
            <w:rStyle w:val="Hyperlink"/>
          </w:rPr>
          <w:t>dropdata.net/bcpc_ewg/ESES_noz.pdf</w:t>
        </w:r>
      </w:hyperlink>
      <w:r w:rsidR="008A4C3D">
        <w:t>.</w:t>
      </w:r>
    </w:p>
    <w:p w14:paraId="55B7E97E" w14:textId="3DEA358E" w:rsidR="00574F62" w:rsidRPr="00574F62" w:rsidRDefault="00574F62" w:rsidP="00574F62">
      <w:pPr>
        <w:pStyle w:val="NormalText"/>
      </w:pPr>
      <w:r w:rsidRPr="00574F62">
        <w:t xml:space="preserve">Teske, ME, Miller, PCH, Thistle, HW &amp; Birchfield, NB 2009, ‘Initial development and validation of a mechanistic spray drift model for ground boom sprayers’, </w:t>
      </w:r>
      <w:r w:rsidRPr="008A4C3D">
        <w:rPr>
          <w:i/>
        </w:rPr>
        <w:t>Transactions of the ASABE</w:t>
      </w:r>
      <w:r w:rsidRPr="00574F62">
        <w:t>, vol. 52, pp. 1089</w:t>
      </w:r>
      <w:r w:rsidR="008A4C3D">
        <w:t>–</w:t>
      </w:r>
      <w:r w:rsidRPr="00574F62">
        <w:t>97.</w:t>
      </w:r>
    </w:p>
    <w:p w14:paraId="0B855CCB" w14:textId="77777777" w:rsidR="00574F62" w:rsidRPr="00574F62" w:rsidRDefault="00574F62" w:rsidP="00574F62">
      <w:pPr>
        <w:pStyle w:val="NormalText"/>
      </w:pPr>
      <w:r w:rsidRPr="00574F62">
        <w:t xml:space="preserve">Teske, ME &amp; Thistle, HW 2000, ‘Droplet size scaling of agricultural spray material by dimensional analysis’, </w:t>
      </w:r>
      <w:r w:rsidRPr="008A4C3D">
        <w:rPr>
          <w:i/>
        </w:rPr>
        <w:t>Atomisation and Sprays</w:t>
      </w:r>
      <w:r w:rsidRPr="00574F62">
        <w:t>, vol. 10, pp. 147–58.</w:t>
      </w:r>
    </w:p>
    <w:p w14:paraId="16459F4E" w14:textId="0D5F8A35" w:rsidR="00574F62" w:rsidRPr="00574F62" w:rsidRDefault="00574F62" w:rsidP="00574F62">
      <w:pPr>
        <w:pStyle w:val="NormalText"/>
      </w:pPr>
      <w:r w:rsidRPr="00574F62">
        <w:t xml:space="preserve">US EPA 1997, </w:t>
      </w:r>
      <w:r w:rsidRPr="00C0797E">
        <w:rPr>
          <w:i/>
        </w:rPr>
        <w:t>Standard Operating Procedure (SOPs) for Residential Exposure Assessments</w:t>
      </w:r>
      <w:r w:rsidRPr="00574F62">
        <w:t xml:space="preserve">, United States Environmental Protection Agency, Washington D.C., United States, available at </w:t>
      </w:r>
      <w:hyperlink r:id="rId124" w:history="1">
        <w:r w:rsidRPr="00574F62">
          <w:rPr>
            <w:rStyle w:val="Hyperlink"/>
          </w:rPr>
          <w:t>epa.gov/pesticides/trac/science/index.htm</w:t>
        </w:r>
      </w:hyperlink>
      <w:r w:rsidR="00C0797E">
        <w:t>.</w:t>
      </w:r>
    </w:p>
    <w:p w14:paraId="07FD38B9" w14:textId="217C0A92" w:rsidR="00574F62" w:rsidRPr="00574F62" w:rsidRDefault="00574F62" w:rsidP="00574F62">
      <w:pPr>
        <w:pStyle w:val="NormalText"/>
      </w:pPr>
      <w:r w:rsidRPr="00574F62">
        <w:t xml:space="preserve">US EPA 2014, </w:t>
      </w:r>
      <w:r w:rsidRPr="00C0797E">
        <w:rPr>
          <w:i/>
        </w:rPr>
        <w:t>Residential Exposure Assessment Standard Operating Procedures Addenda 1: Consideration of Spray Drift</w:t>
      </w:r>
      <w:r w:rsidRPr="00574F62">
        <w:t xml:space="preserve">, United States Environmental Protection Agency, Washington D.C., United States, available at </w:t>
      </w:r>
      <w:hyperlink r:id="rId125" w:anchor="!documentDetail;D=EPA-HQ-OPP-2013-0676-0003" w:history="1">
        <w:r w:rsidRPr="00574F62">
          <w:rPr>
            <w:rStyle w:val="Hyperlink"/>
          </w:rPr>
          <w:t>regulations.gov/#!documentDetail;D=EPA-HQ-OPP-2013-0676-0003</w:t>
        </w:r>
      </w:hyperlink>
      <w:r w:rsidR="00C0797E">
        <w:t>.</w:t>
      </w:r>
    </w:p>
    <w:p w14:paraId="1875CC54" w14:textId="180203FE" w:rsidR="00574F62" w:rsidRPr="00574F62" w:rsidRDefault="00574F62" w:rsidP="00574F62">
      <w:pPr>
        <w:pStyle w:val="NormalText"/>
      </w:pPr>
      <w:r w:rsidRPr="00574F62">
        <w:lastRenderedPageBreak/>
        <w:t xml:space="preserve">US EPA, Health Canada PMRA &amp; California Department of Pesticide Regulation 2014, </w:t>
      </w:r>
      <w:r w:rsidRPr="00C0797E">
        <w:rPr>
          <w:i/>
        </w:rPr>
        <w:t>Guidance for Assessing Pesticide Risks to Bees</w:t>
      </w:r>
      <w:r w:rsidRPr="00574F62">
        <w:t xml:space="preserve">, United States Environmental Protection Agency, Washington D.C., United States, available at </w:t>
      </w:r>
      <w:hyperlink r:id="rId126" w:history="1">
        <w:r w:rsidRPr="00574F62">
          <w:rPr>
            <w:rStyle w:val="Hyperlink"/>
          </w:rPr>
          <w:t>epa.gov/pollinator-protection/pollinator-risk-assessment-guidance</w:t>
        </w:r>
      </w:hyperlink>
      <w:r w:rsidR="00C0797E">
        <w:t>.</w:t>
      </w:r>
    </w:p>
    <w:p w14:paraId="7A2C720D" w14:textId="46F59DD3" w:rsidR="00574F62" w:rsidRPr="00574F62" w:rsidRDefault="00574F62" w:rsidP="00574F62">
      <w:pPr>
        <w:pStyle w:val="NormalText"/>
      </w:pPr>
      <w:r w:rsidRPr="00574F62">
        <w:t xml:space="preserve">Victorian Government 2012, </w:t>
      </w:r>
      <w:r w:rsidRPr="00C0797E">
        <w:rPr>
          <w:i/>
        </w:rPr>
        <w:t>Water rates used in horticulture</w:t>
      </w:r>
      <w:r w:rsidRPr="00574F62">
        <w:t xml:space="preserve">, former Department of Primary Industries, Melbourne, available at </w:t>
      </w:r>
      <w:hyperlink r:id="rId127" w:history="1">
        <w:r w:rsidRPr="00574F62">
          <w:rPr>
            <w:rStyle w:val="Hyperlink"/>
          </w:rPr>
          <w:t>agriculture.vic.gov.au/agriculture/farm-management/chemical-use/publications/water-rates-used-in-horticulture</w:t>
        </w:r>
      </w:hyperlink>
      <w:r w:rsidR="00C0797E">
        <w:t>.</w:t>
      </w:r>
    </w:p>
    <w:p w14:paraId="16205E20" w14:textId="57B48B28" w:rsidR="00574F62" w:rsidRPr="00574F62" w:rsidRDefault="00574F62" w:rsidP="00574F62">
      <w:pPr>
        <w:pStyle w:val="NormalText"/>
      </w:pPr>
      <w:r w:rsidRPr="00574F62">
        <w:t xml:space="preserve">WHO 2009, </w:t>
      </w:r>
      <w:r w:rsidRPr="00C0797E">
        <w:rPr>
          <w:i/>
        </w:rPr>
        <w:t>Principles and Methods for the Risk Assessment of Chemicals in Food</w:t>
      </w:r>
      <w:r w:rsidRPr="00574F62">
        <w:t xml:space="preserve">, Environmental Health Criteria 240, available at </w:t>
      </w:r>
      <w:hyperlink r:id="rId128" w:history="1">
        <w:r w:rsidRPr="00574F62">
          <w:rPr>
            <w:rStyle w:val="Hyperlink"/>
          </w:rPr>
          <w:t>who.int/foodsafety/publications/chemical-food/en/</w:t>
        </w:r>
      </w:hyperlink>
      <w:r w:rsidRPr="00574F62">
        <w:t>.</w:t>
      </w:r>
    </w:p>
    <w:sectPr w:rsidR="00574F62" w:rsidRPr="00574F62" w:rsidSect="00CB58D6">
      <w:headerReference w:type="default" r:id="rId129"/>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388319" w14:textId="77777777" w:rsidR="008516F4" w:rsidRDefault="008516F4">
      <w:r>
        <w:separator/>
      </w:r>
    </w:p>
    <w:p w14:paraId="3F0A0909" w14:textId="77777777" w:rsidR="008516F4" w:rsidRDefault="008516F4"/>
    <w:p w14:paraId="7F096586" w14:textId="77777777" w:rsidR="008516F4" w:rsidRDefault="008516F4"/>
  </w:endnote>
  <w:endnote w:type="continuationSeparator" w:id="0">
    <w:p w14:paraId="669DF21F" w14:textId="77777777" w:rsidR="008516F4" w:rsidRDefault="008516F4">
      <w:r>
        <w:continuationSeparator/>
      </w:r>
    </w:p>
    <w:p w14:paraId="545E819A" w14:textId="77777777" w:rsidR="008516F4" w:rsidRDefault="008516F4"/>
    <w:p w14:paraId="489ED1D4" w14:textId="77777777" w:rsidR="008516F4" w:rsidRDefault="008516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E9A17" w14:textId="77777777" w:rsidR="00AE348B" w:rsidRPr="00E073D4" w:rsidRDefault="00AE348B" w:rsidP="00E073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F6147" w14:textId="5B67FFFC" w:rsidR="00AE348B" w:rsidRPr="00570AEC" w:rsidRDefault="00AE348B" w:rsidP="00570A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E9E1C0" w14:textId="77777777" w:rsidR="008516F4" w:rsidRDefault="008516F4">
      <w:r>
        <w:separator/>
      </w:r>
    </w:p>
  </w:footnote>
  <w:footnote w:type="continuationSeparator" w:id="0">
    <w:p w14:paraId="38D1D317" w14:textId="77777777" w:rsidR="008516F4" w:rsidRDefault="008516F4">
      <w:pPr>
        <w:spacing w:line="180" w:lineRule="exact"/>
        <w:rPr>
          <w:sz w:val="16"/>
        </w:rPr>
      </w:pPr>
      <w:r>
        <w:rPr>
          <w:sz w:val="16"/>
        </w:rPr>
        <w:continuationSeparator/>
      </w:r>
    </w:p>
    <w:p w14:paraId="649BF5D1" w14:textId="77777777" w:rsidR="008516F4" w:rsidRDefault="008516F4"/>
    <w:p w14:paraId="4E32324F" w14:textId="77777777" w:rsidR="008516F4" w:rsidRDefault="008516F4"/>
  </w:footnote>
  <w:footnote w:type="continuationNotice" w:id="1">
    <w:p w14:paraId="60DD02AC" w14:textId="77777777" w:rsidR="008516F4" w:rsidRDefault="008516F4"/>
    <w:p w14:paraId="19BC6A83" w14:textId="77777777" w:rsidR="008516F4" w:rsidRDefault="008516F4"/>
    <w:p w14:paraId="6C4ED7E3" w14:textId="77777777" w:rsidR="008516F4" w:rsidRDefault="008516F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5CB52" w14:textId="01DE7F58" w:rsidR="00AE348B" w:rsidRDefault="00AE348B" w:rsidP="009D452E">
    <w:pPr>
      <w:pStyle w:val="APVMAEvenHeader"/>
      <w:pBdr>
        <w:bottom w:val="single" w:sz="4" w:space="2" w:color="auto"/>
      </w:pBd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DC6E8A">
      <w:rPr>
        <w:rStyle w:val="PageNumber"/>
        <w:b/>
        <w:caps w:val="0"/>
        <w:noProof/>
        <w:szCs w:val="24"/>
      </w:rPr>
      <w:t>6</w:t>
    </w:r>
    <w:r>
      <w:rPr>
        <w:rStyle w:val="PageNumber"/>
        <w:b/>
        <w:caps w:val="0"/>
        <w:szCs w:val="24"/>
      </w:rPr>
      <w:fldChar w:fldCharType="end"/>
    </w:r>
    <w:r>
      <w:tab/>
      <w:t>Spray drift risk assessment manual—stage one</w:t>
    </w: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903EC" w14:textId="77777777" w:rsidR="00AE348B" w:rsidRDefault="00AE348B">
    <w:pPr>
      <w:pStyle w:val="APVMAOddHeader"/>
    </w:pPr>
    <w:r w:rsidRPr="00CF0A8F">
      <w:tab/>
      <w:t>SPRAY DRIFT RISK ASSESSMENT TOOL (SDRAT)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454836">
      <w:rPr>
        <w:rStyle w:val="PageNumber"/>
        <w:rFonts w:cs="Times New Roman"/>
        <w:b/>
        <w:bCs w:val="0"/>
        <w:caps w:val="0"/>
        <w:noProof/>
        <w:szCs w:val="24"/>
      </w:rPr>
      <w:t>41</w:t>
    </w:r>
    <w:r>
      <w:rPr>
        <w:rStyle w:val="PageNumber"/>
        <w:rFonts w:cs="Times New Roman"/>
        <w:b/>
        <w:bCs w:val="0"/>
        <w:caps w:val="0"/>
        <w:szCs w:val="24"/>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19969" w14:textId="77777777" w:rsidR="00AE348B" w:rsidRDefault="00AE348B">
    <w:pPr>
      <w:pStyle w:val="APVMAOddHeader"/>
    </w:pPr>
    <w:r w:rsidRPr="00CC5D55">
      <w:tab/>
      <w:t>SPRAY DRIFT MANAGEMENT TOOL (SDMT)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454836">
      <w:rPr>
        <w:rStyle w:val="PageNumber"/>
        <w:rFonts w:cs="Times New Roman"/>
        <w:b/>
        <w:bCs w:val="0"/>
        <w:caps w:val="0"/>
        <w:noProof/>
        <w:szCs w:val="24"/>
      </w:rPr>
      <w:t>47</w:t>
    </w:r>
    <w:r>
      <w:rPr>
        <w:rStyle w:val="PageNumber"/>
        <w:rFonts w:cs="Times New Roman"/>
        <w:b/>
        <w:bCs w:val="0"/>
        <w:caps w:val="0"/>
        <w:szCs w:val="24"/>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ACD0F" w14:textId="3DE93AFB" w:rsidR="00F807AA" w:rsidRDefault="00F807AA">
    <w:pPr>
      <w:pStyle w:val="APVMAOddHeader"/>
    </w:pPr>
    <w:r w:rsidRPr="00CC5D55">
      <w:tab/>
    </w:r>
    <w:r>
      <w:t>Case studies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454836">
      <w:rPr>
        <w:rStyle w:val="PageNumber"/>
        <w:rFonts w:cs="Times New Roman"/>
        <w:b/>
        <w:bCs w:val="0"/>
        <w:caps w:val="0"/>
        <w:noProof/>
        <w:szCs w:val="24"/>
      </w:rPr>
      <w:t>51</w:t>
    </w:r>
    <w:r>
      <w:rPr>
        <w:rStyle w:val="PageNumber"/>
        <w:rFonts w:cs="Times New Roman"/>
        <w:b/>
        <w:bCs w:val="0"/>
        <w:caps w:val="0"/>
        <w:szCs w:val="24"/>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E159A" w14:textId="77777777" w:rsidR="00AE348B" w:rsidRDefault="00AE348B">
    <w:pPr>
      <w:pStyle w:val="APVMAOddHeader"/>
    </w:pPr>
    <w:r>
      <w:tab/>
      <w:t>Appendixes</w:t>
    </w:r>
    <w:r>
      <w:tab/>
    </w:r>
    <w:r w:rsidRPr="00D67788">
      <w:rPr>
        <w:rStyle w:val="PageNumber"/>
        <w:rFonts w:cs="Times New Roman"/>
        <w:b/>
        <w:bCs w:val="0"/>
        <w:caps w:val="0"/>
        <w:color w:val="53284F"/>
        <w:szCs w:val="24"/>
      </w:rPr>
      <w:fldChar w:fldCharType="begin"/>
    </w:r>
    <w:r w:rsidRPr="00D67788">
      <w:rPr>
        <w:rStyle w:val="PageNumber"/>
        <w:rFonts w:cs="Times New Roman"/>
        <w:b/>
        <w:bCs w:val="0"/>
        <w:caps w:val="0"/>
        <w:color w:val="53284F"/>
        <w:szCs w:val="24"/>
      </w:rPr>
      <w:instrText xml:space="preserve"> PAGE </w:instrText>
    </w:r>
    <w:r w:rsidRPr="00D67788">
      <w:rPr>
        <w:rStyle w:val="PageNumber"/>
        <w:rFonts w:cs="Times New Roman"/>
        <w:b/>
        <w:bCs w:val="0"/>
        <w:caps w:val="0"/>
        <w:color w:val="53284F"/>
        <w:szCs w:val="24"/>
      </w:rPr>
      <w:fldChar w:fldCharType="separate"/>
    </w:r>
    <w:r w:rsidR="00454836">
      <w:rPr>
        <w:rStyle w:val="PageNumber"/>
        <w:rFonts w:cs="Times New Roman"/>
        <w:b/>
        <w:bCs w:val="0"/>
        <w:caps w:val="0"/>
        <w:noProof/>
        <w:color w:val="53284F"/>
        <w:szCs w:val="24"/>
      </w:rPr>
      <w:t>55</w:t>
    </w:r>
    <w:r w:rsidRPr="00D67788">
      <w:rPr>
        <w:rStyle w:val="PageNumber"/>
        <w:rFonts w:cs="Times New Roman"/>
        <w:b/>
        <w:bCs w:val="0"/>
        <w:caps w:val="0"/>
        <w:color w:val="53284F"/>
        <w:szCs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921AC" w14:textId="278A83C5" w:rsidR="00AE348B" w:rsidRDefault="00AE348B">
    <w:pPr>
      <w:pStyle w:val="APVMAEvenHeade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454836">
      <w:rPr>
        <w:rStyle w:val="PageNumber"/>
        <w:b/>
        <w:caps w:val="0"/>
        <w:noProof/>
        <w:szCs w:val="24"/>
      </w:rPr>
      <w:t>64</w:t>
    </w:r>
    <w:r>
      <w:rPr>
        <w:rStyle w:val="PageNumber"/>
        <w:b/>
        <w:caps w:val="0"/>
        <w:szCs w:val="24"/>
      </w:rPr>
      <w:fldChar w:fldCharType="end"/>
    </w:r>
    <w:r>
      <w:tab/>
      <w:t>spray drift risk assessment manual</w:t>
    </w:r>
    <w:r w:rsidR="00F807AA">
      <w:t>—stage one</w:t>
    </w:r>
    <w:r>
      <w:tab/>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85C9F" w14:textId="77777777" w:rsidR="00AE348B" w:rsidRDefault="00AE348B">
    <w:pPr>
      <w:pStyle w:val="APVMAOddHeader"/>
    </w:pPr>
    <w:r>
      <w:tab/>
      <w:t>appendixes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454836">
      <w:rPr>
        <w:rStyle w:val="PageNumber"/>
        <w:rFonts w:cs="Times New Roman"/>
        <w:b/>
        <w:bCs w:val="0"/>
        <w:caps w:val="0"/>
        <w:noProof/>
        <w:szCs w:val="24"/>
      </w:rPr>
      <w:t>57</w:t>
    </w:r>
    <w:r>
      <w:rPr>
        <w:rStyle w:val="PageNumber"/>
        <w:rFonts w:cs="Times New Roman"/>
        <w:b/>
        <w:bCs w:val="0"/>
        <w:caps w:val="0"/>
        <w:szCs w:val="24"/>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6C083" w14:textId="77777777" w:rsidR="00AE348B" w:rsidRDefault="00AE348B">
    <w:pPr>
      <w:pStyle w:val="APVMAOddHeader"/>
    </w:pPr>
    <w:r>
      <w:tab/>
      <w:t>Glossary</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454836">
      <w:rPr>
        <w:rStyle w:val="PageNumber"/>
        <w:rFonts w:cs="Times New Roman"/>
        <w:b/>
        <w:bCs w:val="0"/>
        <w:caps w:val="0"/>
        <w:noProof/>
        <w:szCs w:val="24"/>
      </w:rPr>
      <w:t>63</w:t>
    </w:r>
    <w:r>
      <w:rPr>
        <w:rStyle w:val="PageNumber"/>
        <w:rFonts w:cs="Times New Roman"/>
        <w:b/>
        <w:bCs w:val="0"/>
        <w:caps w:val="0"/>
        <w:szCs w:val="24"/>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24033" w14:textId="77777777" w:rsidR="00AE348B" w:rsidRDefault="00AE348B">
    <w:pPr>
      <w:pStyle w:val="APVMAOddHeader"/>
    </w:pPr>
    <w:r>
      <w:tab/>
      <w:t>References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454836">
      <w:rPr>
        <w:rStyle w:val="PageNumber"/>
        <w:rFonts w:cs="Times New Roman"/>
        <w:b/>
        <w:bCs w:val="0"/>
        <w:caps w:val="0"/>
        <w:noProof/>
        <w:szCs w:val="24"/>
      </w:rPr>
      <w:t>65</w:t>
    </w:r>
    <w:r>
      <w:rPr>
        <w:rStyle w:val="PageNumber"/>
        <w:rFonts w:cs="Times New Roman"/>
        <w:b/>
        <w:bCs w:val="0"/>
        <w:caps w:val="0"/>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B5BFF" w14:textId="77777777" w:rsidR="00AE348B" w:rsidRDefault="00AE348B">
    <w:pPr>
      <w:pStyle w:val="APVMAOddHeader"/>
    </w:pPr>
    <w:r>
      <w:tab/>
      <w:t>Contents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DC6E8A">
      <w:rPr>
        <w:rStyle w:val="PageNumber"/>
        <w:rFonts w:cs="Times New Roman"/>
        <w:b/>
        <w:bCs w:val="0"/>
        <w:caps w:val="0"/>
        <w:noProof/>
        <w:szCs w:val="24"/>
      </w:rPr>
      <w:t>v</w:t>
    </w:r>
    <w:r>
      <w:rPr>
        <w:rStyle w:val="PageNumber"/>
        <w:rFonts w:cs="Times New Roman"/>
        <w:b/>
        <w:bCs w:val="0"/>
        <w:caps w:val="0"/>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C9AB5C" w14:textId="19DE9FDF" w:rsidR="00AE348B" w:rsidRDefault="00AE348B" w:rsidP="00AB659C">
    <w:pPr>
      <w:pStyle w:val="APVMAOddHeader"/>
    </w:pPr>
    <w:r>
      <w:tab/>
      <w:t>background</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454836">
      <w:rPr>
        <w:rStyle w:val="PageNumber"/>
        <w:rFonts w:cs="Times New Roman"/>
        <w:b/>
        <w:bCs w:val="0"/>
        <w:caps w:val="0"/>
        <w:noProof/>
        <w:szCs w:val="24"/>
      </w:rPr>
      <w:t>7</w:t>
    </w:r>
    <w:r>
      <w:rPr>
        <w:rStyle w:val="PageNumber"/>
        <w:rFonts w:cs="Times New Roman"/>
        <w:b/>
        <w:bCs w:val="0"/>
        <w:caps w:val="0"/>
        <w:szCs w:val="24"/>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8EDED" w14:textId="6CF33D8B" w:rsidR="00AE348B" w:rsidRDefault="00AE348B" w:rsidP="00AB659C">
    <w:pPr>
      <w:pStyle w:val="APVMAOddHeader"/>
    </w:pPr>
    <w:r>
      <w:tab/>
      <w:t>general information</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454836">
      <w:rPr>
        <w:rStyle w:val="PageNumber"/>
        <w:rFonts w:cs="Times New Roman"/>
        <w:b/>
        <w:bCs w:val="0"/>
        <w:caps w:val="0"/>
        <w:noProof/>
        <w:szCs w:val="24"/>
      </w:rPr>
      <w:t>9</w:t>
    </w:r>
    <w:r>
      <w:rPr>
        <w:rStyle w:val="PageNumber"/>
        <w:rFonts w:cs="Times New Roman"/>
        <w:b/>
        <w:bCs w:val="0"/>
        <w:caps w:val="0"/>
        <w:szCs w:val="24"/>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2E301" w14:textId="618FDB9E" w:rsidR="00AE348B" w:rsidRDefault="00AE348B">
    <w:pPr>
      <w:pStyle w:val="APVMAOddHeader"/>
    </w:pPr>
    <w:r>
      <w:tab/>
      <w:t>spray drift risk assessment overview</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454836">
      <w:rPr>
        <w:rStyle w:val="PageNumber"/>
        <w:rFonts w:cs="Times New Roman"/>
        <w:b/>
        <w:bCs w:val="0"/>
        <w:caps w:val="0"/>
        <w:noProof/>
        <w:szCs w:val="24"/>
      </w:rPr>
      <w:t>15</w:t>
    </w:r>
    <w:r>
      <w:rPr>
        <w:rStyle w:val="PageNumber"/>
        <w:rFonts w:cs="Times New Roman"/>
        <w:b/>
        <w:bCs w:val="0"/>
        <w:caps w:val="0"/>
        <w:szCs w:val="24"/>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6FB3B" w14:textId="576BAFC2" w:rsidR="00AE348B" w:rsidRDefault="00AE348B">
    <w:pPr>
      <w:pStyle w:val="APVMAOddHeader"/>
    </w:pPr>
    <w:r>
      <w:tab/>
      <w:t>regulatory acceptable levels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454836">
      <w:rPr>
        <w:rStyle w:val="PageNumber"/>
        <w:rFonts w:cs="Times New Roman"/>
        <w:b/>
        <w:bCs w:val="0"/>
        <w:caps w:val="0"/>
        <w:noProof/>
        <w:szCs w:val="24"/>
      </w:rPr>
      <w:t>21</w:t>
    </w:r>
    <w:r>
      <w:rPr>
        <w:rStyle w:val="PageNumber"/>
        <w:rFonts w:cs="Times New Roman"/>
        <w:b/>
        <w:bCs w:val="0"/>
        <w:caps w:val="0"/>
        <w:szCs w:val="24"/>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0B5E1" w14:textId="6C8D466B" w:rsidR="00AE348B" w:rsidRDefault="00AE348B">
    <w:pPr>
      <w:pStyle w:val="APVMAOddHeader"/>
    </w:pPr>
    <w:r>
      <w:tab/>
      <w:t>deposition curves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454836">
      <w:rPr>
        <w:rStyle w:val="PageNumber"/>
        <w:rFonts w:cs="Times New Roman"/>
        <w:b/>
        <w:bCs w:val="0"/>
        <w:caps w:val="0"/>
        <w:noProof/>
        <w:szCs w:val="24"/>
      </w:rPr>
      <w:t>29</w:t>
    </w:r>
    <w:r>
      <w:rPr>
        <w:rStyle w:val="PageNumber"/>
        <w:rFonts w:cs="Times New Roman"/>
        <w:b/>
        <w:bCs w:val="0"/>
        <w:caps w:val="0"/>
        <w:szCs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D0C61" w14:textId="77777777" w:rsidR="00AE348B" w:rsidRDefault="00AE348B">
    <w:pPr>
      <w:pStyle w:val="APVMAOddHeader"/>
    </w:pPr>
    <w:r w:rsidRPr="00300180">
      <w:tab/>
      <w:t>USE INSTRUCTIONS</w:t>
    </w:r>
    <w:r>
      <w:tab/>
    </w:r>
    <w:r>
      <w:rPr>
        <w:rStyle w:val="PageNumber"/>
        <w:rFonts w:cs="Times New Roman"/>
        <w:b/>
        <w:bCs w:val="0"/>
        <w:caps w:val="0"/>
        <w:szCs w:val="24"/>
      </w:rPr>
      <w:fldChar w:fldCharType="begin"/>
    </w:r>
    <w:r>
      <w:rPr>
        <w:rStyle w:val="PageNumber"/>
        <w:rFonts w:cs="Times New Roman"/>
        <w:bCs w:val="0"/>
        <w:caps w:val="0"/>
        <w:szCs w:val="24"/>
      </w:rPr>
      <w:instrText xml:space="preserve"> PAGE </w:instrText>
    </w:r>
    <w:r>
      <w:rPr>
        <w:rStyle w:val="PageNumber"/>
        <w:rFonts w:cs="Times New Roman"/>
        <w:b/>
        <w:bCs w:val="0"/>
        <w:caps w:val="0"/>
        <w:szCs w:val="24"/>
      </w:rPr>
      <w:fldChar w:fldCharType="separate"/>
    </w:r>
    <w:r w:rsidR="00F807AA">
      <w:rPr>
        <w:rStyle w:val="PageNumber"/>
        <w:rFonts w:cs="Times New Roman"/>
        <w:bCs w:val="0"/>
        <w:caps w:val="0"/>
        <w:noProof/>
        <w:szCs w:val="24"/>
      </w:rPr>
      <w:t>37</w:t>
    </w:r>
    <w:r>
      <w:rPr>
        <w:rStyle w:val="PageNumber"/>
        <w:rFonts w:cs="Times New Roman"/>
        <w:b/>
        <w:bCs w:val="0"/>
        <w:caps w:val="0"/>
        <w:szCs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B2C80" w14:textId="77777777" w:rsidR="00AE348B" w:rsidRDefault="00AE348B">
    <w:pPr>
      <w:pStyle w:val="APVMAOddHeader"/>
    </w:pPr>
    <w:r w:rsidRPr="00300180">
      <w:tab/>
      <w:t>USE INSTRUCTIONS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454836">
      <w:rPr>
        <w:rStyle w:val="PageNumber"/>
        <w:rFonts w:cs="Times New Roman"/>
        <w:b/>
        <w:bCs w:val="0"/>
        <w:caps w:val="0"/>
        <w:noProof/>
        <w:szCs w:val="24"/>
      </w:rPr>
      <w:t>39</w:t>
    </w:r>
    <w:r>
      <w:rPr>
        <w:rStyle w:val="PageNumber"/>
        <w:rFonts w:cs="Times New Roman"/>
        <w:b/>
        <w:bCs w:val="0"/>
        <w:caps w:val="0"/>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D87BF7"/>
    <w:multiLevelType w:val="hybridMultilevel"/>
    <w:tmpl w:val="26921894"/>
    <w:lvl w:ilvl="0" w:tplc="47B2F4A0">
      <w:start w:val="1"/>
      <w:numFmt w:val="bullet"/>
      <w:lvlText w:val="-"/>
      <w:lvlJc w:val="left"/>
      <w:pPr>
        <w:ind w:left="839" w:hanging="118"/>
      </w:pPr>
      <w:rPr>
        <w:rFonts w:ascii="Calibri" w:eastAsia="Calibri" w:hAnsi="Calibri" w:hint="default"/>
        <w:w w:val="100"/>
        <w:sz w:val="22"/>
        <w:szCs w:val="22"/>
      </w:rPr>
    </w:lvl>
    <w:lvl w:ilvl="1" w:tplc="258CEF20">
      <w:start w:val="1"/>
      <w:numFmt w:val="bullet"/>
      <w:lvlText w:val="•"/>
      <w:lvlJc w:val="left"/>
      <w:pPr>
        <w:ind w:left="1810" w:hanging="118"/>
      </w:pPr>
      <w:rPr>
        <w:rFonts w:hint="default"/>
      </w:rPr>
    </w:lvl>
    <w:lvl w:ilvl="2" w:tplc="50CC0B50">
      <w:start w:val="1"/>
      <w:numFmt w:val="bullet"/>
      <w:lvlText w:val="•"/>
      <w:lvlJc w:val="left"/>
      <w:pPr>
        <w:ind w:left="2781" w:hanging="118"/>
      </w:pPr>
      <w:rPr>
        <w:rFonts w:hint="default"/>
      </w:rPr>
    </w:lvl>
    <w:lvl w:ilvl="3" w:tplc="368E576C">
      <w:start w:val="1"/>
      <w:numFmt w:val="bullet"/>
      <w:lvlText w:val="•"/>
      <w:lvlJc w:val="left"/>
      <w:pPr>
        <w:ind w:left="3751" w:hanging="118"/>
      </w:pPr>
      <w:rPr>
        <w:rFonts w:hint="default"/>
      </w:rPr>
    </w:lvl>
    <w:lvl w:ilvl="4" w:tplc="4434F82E">
      <w:start w:val="1"/>
      <w:numFmt w:val="bullet"/>
      <w:lvlText w:val="•"/>
      <w:lvlJc w:val="left"/>
      <w:pPr>
        <w:ind w:left="4722" w:hanging="118"/>
      </w:pPr>
      <w:rPr>
        <w:rFonts w:hint="default"/>
      </w:rPr>
    </w:lvl>
    <w:lvl w:ilvl="5" w:tplc="B972F576">
      <w:start w:val="1"/>
      <w:numFmt w:val="bullet"/>
      <w:lvlText w:val="•"/>
      <w:lvlJc w:val="left"/>
      <w:pPr>
        <w:ind w:left="5693" w:hanging="118"/>
      </w:pPr>
      <w:rPr>
        <w:rFonts w:hint="default"/>
      </w:rPr>
    </w:lvl>
    <w:lvl w:ilvl="6" w:tplc="35043010">
      <w:start w:val="1"/>
      <w:numFmt w:val="bullet"/>
      <w:lvlText w:val="•"/>
      <w:lvlJc w:val="left"/>
      <w:pPr>
        <w:ind w:left="6663" w:hanging="118"/>
      </w:pPr>
      <w:rPr>
        <w:rFonts w:hint="default"/>
      </w:rPr>
    </w:lvl>
    <w:lvl w:ilvl="7" w:tplc="51A6B1D0">
      <w:start w:val="1"/>
      <w:numFmt w:val="bullet"/>
      <w:lvlText w:val="•"/>
      <w:lvlJc w:val="left"/>
      <w:pPr>
        <w:ind w:left="7634" w:hanging="118"/>
      </w:pPr>
      <w:rPr>
        <w:rFonts w:hint="default"/>
      </w:rPr>
    </w:lvl>
    <w:lvl w:ilvl="8" w:tplc="1EA4F726">
      <w:start w:val="1"/>
      <w:numFmt w:val="bullet"/>
      <w:lvlText w:val="•"/>
      <w:lvlJc w:val="left"/>
      <w:pPr>
        <w:ind w:left="8605" w:hanging="118"/>
      </w:pPr>
      <w:rPr>
        <w:rFonts w:hint="default"/>
      </w:rPr>
    </w:lvl>
  </w:abstractNum>
  <w:abstractNum w:abstractNumId="5"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9E0550"/>
    <w:multiLevelType w:val="hybridMultilevel"/>
    <w:tmpl w:val="11AAFF7E"/>
    <w:lvl w:ilvl="0" w:tplc="9942F5D4">
      <w:numFmt w:val="bullet"/>
      <w:lvlText w:val="-"/>
      <w:lvlJc w:val="left"/>
      <w:pPr>
        <w:ind w:left="700" w:hanging="360"/>
      </w:pPr>
      <w:rPr>
        <w:rFonts w:ascii="Franklin Gothic Demi" w:eastAsia="Times New Roman" w:hAnsi="Franklin Gothic Demi" w:cs="Arial" w:hint="default"/>
        <w:b w:val="0"/>
        <w:i w:val="0"/>
        <w:caps w:val="0"/>
        <w:strike w:val="0"/>
        <w:dstrike w:val="0"/>
        <w:vanish w:val="0"/>
        <w:color w:val="353735"/>
        <w:sz w:val="36"/>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2C4F4B"/>
    <w:multiLevelType w:val="hybridMultilevel"/>
    <w:tmpl w:val="B5507712"/>
    <w:lvl w:ilvl="0" w:tplc="8124D34C">
      <w:start w:val="7"/>
      <w:numFmt w:val="bullet"/>
      <w:lvlText w:val="–"/>
      <w:lvlJc w:val="left"/>
      <w:pPr>
        <w:ind w:left="630" w:hanging="360"/>
      </w:pPr>
      <w:rPr>
        <w:rFonts w:ascii="Arial" w:eastAsia="Times New Roman" w:hAnsi="Arial" w:cs="Arial" w:hint="default"/>
      </w:rPr>
    </w:lvl>
    <w:lvl w:ilvl="1" w:tplc="0C090003" w:tentative="1">
      <w:start w:val="1"/>
      <w:numFmt w:val="bullet"/>
      <w:lvlText w:val="o"/>
      <w:lvlJc w:val="left"/>
      <w:pPr>
        <w:ind w:left="1350" w:hanging="360"/>
      </w:pPr>
      <w:rPr>
        <w:rFonts w:ascii="Courier New" w:hAnsi="Courier New" w:cs="Courier New" w:hint="default"/>
      </w:rPr>
    </w:lvl>
    <w:lvl w:ilvl="2" w:tplc="0C090005" w:tentative="1">
      <w:start w:val="1"/>
      <w:numFmt w:val="bullet"/>
      <w:lvlText w:val=""/>
      <w:lvlJc w:val="left"/>
      <w:pPr>
        <w:ind w:left="2070" w:hanging="360"/>
      </w:pPr>
      <w:rPr>
        <w:rFonts w:ascii="Wingdings" w:hAnsi="Wingdings" w:hint="default"/>
      </w:rPr>
    </w:lvl>
    <w:lvl w:ilvl="3" w:tplc="0C090001" w:tentative="1">
      <w:start w:val="1"/>
      <w:numFmt w:val="bullet"/>
      <w:lvlText w:val=""/>
      <w:lvlJc w:val="left"/>
      <w:pPr>
        <w:ind w:left="2790" w:hanging="360"/>
      </w:pPr>
      <w:rPr>
        <w:rFonts w:ascii="Symbol" w:hAnsi="Symbol" w:hint="default"/>
      </w:rPr>
    </w:lvl>
    <w:lvl w:ilvl="4" w:tplc="0C090003" w:tentative="1">
      <w:start w:val="1"/>
      <w:numFmt w:val="bullet"/>
      <w:lvlText w:val="o"/>
      <w:lvlJc w:val="left"/>
      <w:pPr>
        <w:ind w:left="3510" w:hanging="360"/>
      </w:pPr>
      <w:rPr>
        <w:rFonts w:ascii="Courier New" w:hAnsi="Courier New" w:cs="Courier New" w:hint="default"/>
      </w:rPr>
    </w:lvl>
    <w:lvl w:ilvl="5" w:tplc="0C090005" w:tentative="1">
      <w:start w:val="1"/>
      <w:numFmt w:val="bullet"/>
      <w:lvlText w:val=""/>
      <w:lvlJc w:val="left"/>
      <w:pPr>
        <w:ind w:left="4230" w:hanging="360"/>
      </w:pPr>
      <w:rPr>
        <w:rFonts w:ascii="Wingdings" w:hAnsi="Wingdings" w:hint="default"/>
      </w:rPr>
    </w:lvl>
    <w:lvl w:ilvl="6" w:tplc="0C090001" w:tentative="1">
      <w:start w:val="1"/>
      <w:numFmt w:val="bullet"/>
      <w:lvlText w:val=""/>
      <w:lvlJc w:val="left"/>
      <w:pPr>
        <w:ind w:left="4950" w:hanging="360"/>
      </w:pPr>
      <w:rPr>
        <w:rFonts w:ascii="Symbol" w:hAnsi="Symbol" w:hint="default"/>
      </w:rPr>
    </w:lvl>
    <w:lvl w:ilvl="7" w:tplc="0C090003" w:tentative="1">
      <w:start w:val="1"/>
      <w:numFmt w:val="bullet"/>
      <w:lvlText w:val="o"/>
      <w:lvlJc w:val="left"/>
      <w:pPr>
        <w:ind w:left="5670" w:hanging="360"/>
      </w:pPr>
      <w:rPr>
        <w:rFonts w:ascii="Courier New" w:hAnsi="Courier New" w:cs="Courier New" w:hint="default"/>
      </w:rPr>
    </w:lvl>
    <w:lvl w:ilvl="8" w:tplc="0C090005" w:tentative="1">
      <w:start w:val="1"/>
      <w:numFmt w:val="bullet"/>
      <w:lvlText w:val=""/>
      <w:lvlJc w:val="left"/>
      <w:pPr>
        <w:ind w:left="6390" w:hanging="360"/>
      </w:pPr>
      <w:rPr>
        <w:rFonts w:ascii="Wingdings" w:hAnsi="Wingdings" w:hint="default"/>
      </w:rPr>
    </w:lvl>
  </w:abstractNum>
  <w:abstractNum w:abstractNumId="12" w15:restartNumberingAfterBreak="0">
    <w:nsid w:val="5B12141E"/>
    <w:multiLevelType w:val="multilevel"/>
    <w:tmpl w:val="51104B64"/>
    <w:lvl w:ilvl="0">
      <w:start w:val="1"/>
      <w:numFmt w:val="decimal"/>
      <w:pStyle w:val="Heading1"/>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pStyle w:val="Heading2"/>
      <w:lvlText w:val="%1.%2"/>
      <w:lvlJc w:val="left"/>
      <w:pPr>
        <w:tabs>
          <w:tab w:val="num" w:pos="1220"/>
        </w:tabs>
        <w:ind w:left="1220" w:hanging="680"/>
      </w:pPr>
      <w:rPr>
        <w:rFonts w:ascii="Trebuchet MS" w:hAnsi="Trebuchet MS" w:hint="default"/>
        <w:b/>
        <w:i w:val="0"/>
        <w:sz w:val="28"/>
        <w:szCs w:val="22"/>
      </w:rPr>
    </w:lvl>
    <w:lvl w:ilvl="2">
      <w:start w:val="1"/>
      <w:numFmt w:val="none"/>
      <w:pStyle w:val="Heading3"/>
      <w:lvlText w:val=""/>
      <w:lvlJc w:val="left"/>
      <w:pPr>
        <w:tabs>
          <w:tab w:val="num" w:pos="0"/>
        </w:tabs>
        <w:ind w:left="0" w:firstLine="0"/>
      </w:pPr>
      <w:rPr>
        <w:rFonts w:hint="default"/>
        <w:sz w:val="20"/>
      </w:rPr>
    </w:lvl>
    <w:lvl w:ilvl="3">
      <w:start w:val="1"/>
      <w:numFmt w:val="none"/>
      <w:lvlRestart w:val="0"/>
      <w:pStyle w:val="Heading4"/>
      <w:lvlText w:val=""/>
      <w:lvlJc w:val="left"/>
      <w:pPr>
        <w:tabs>
          <w:tab w:val="num" w:pos="0"/>
        </w:tabs>
        <w:ind w:left="0" w:firstLine="0"/>
      </w:pPr>
      <w:rPr>
        <w:rFonts w:hint="default"/>
      </w:rPr>
    </w:lvl>
    <w:lvl w:ilvl="4">
      <w:start w:val="1"/>
      <w:numFmt w:val="none"/>
      <w:lvlRestart w:val="0"/>
      <w:pStyle w:val="Heading5"/>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13" w15:restartNumberingAfterBreak="0">
    <w:nsid w:val="5FF46B5A"/>
    <w:multiLevelType w:val="hybridMultilevel"/>
    <w:tmpl w:val="3EFA8CF2"/>
    <w:lvl w:ilvl="0" w:tplc="9942F5D4">
      <w:numFmt w:val="bullet"/>
      <w:lvlText w:val="-"/>
      <w:lvlJc w:val="left"/>
      <w:pPr>
        <w:ind w:left="700" w:hanging="360"/>
      </w:pPr>
      <w:rPr>
        <w:rFonts w:ascii="Franklin Gothic Demi" w:eastAsia="Times New Roman" w:hAnsi="Franklin Gothic Demi" w:cs="Arial" w:hint="default"/>
        <w:b w:val="0"/>
        <w:i w:val="0"/>
        <w:caps w:val="0"/>
        <w:strike w:val="0"/>
        <w:dstrike w:val="0"/>
        <w:vanish w:val="0"/>
        <w:color w:val="353735"/>
        <w:sz w:val="36"/>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num w:numId="1">
    <w:abstractNumId w:val="10"/>
  </w:num>
  <w:num w:numId="2">
    <w:abstractNumId w:val="10"/>
  </w:num>
  <w:num w:numId="3">
    <w:abstractNumId w:val="7"/>
  </w:num>
  <w:num w:numId="4">
    <w:abstractNumId w:val="8"/>
  </w:num>
  <w:num w:numId="5">
    <w:abstractNumId w:val="7"/>
  </w:num>
  <w:num w:numId="6">
    <w:abstractNumId w:val="12"/>
  </w:num>
  <w:num w:numId="7">
    <w:abstractNumId w:val="9"/>
  </w:num>
  <w:num w:numId="8">
    <w:abstractNumId w:val="1"/>
  </w:num>
  <w:num w:numId="9">
    <w:abstractNumId w:val="0"/>
  </w:num>
  <w:num w:numId="10">
    <w:abstractNumId w:val="3"/>
  </w:num>
  <w:num w:numId="11">
    <w:abstractNumId w:val="5"/>
  </w:num>
  <w:num w:numId="12">
    <w:abstractNumId w:val="12"/>
  </w:num>
  <w:num w:numId="13">
    <w:abstractNumId w:val="12"/>
  </w:num>
  <w:num w:numId="14">
    <w:abstractNumId w:val="7"/>
  </w:num>
  <w:num w:numId="15">
    <w:abstractNumId w:val="1"/>
  </w:num>
  <w:num w:numId="16">
    <w:abstractNumId w:val="8"/>
  </w:num>
  <w:num w:numId="17">
    <w:abstractNumId w:val="0"/>
  </w:num>
  <w:num w:numId="18">
    <w:abstractNumId w:val="3"/>
  </w:num>
  <w:num w:numId="19">
    <w:abstractNumId w:val="10"/>
  </w:num>
  <w:num w:numId="20">
    <w:abstractNumId w:val="14"/>
  </w:num>
  <w:num w:numId="21">
    <w:abstractNumId w:val="2"/>
  </w:num>
  <w:num w:numId="22">
    <w:abstractNumId w:val="12"/>
  </w:num>
  <w:num w:numId="23">
    <w:abstractNumId w:val="12"/>
  </w:num>
  <w:num w:numId="24">
    <w:abstractNumId w:val="12"/>
  </w:num>
  <w:num w:numId="25">
    <w:abstractNumId w:val="12"/>
  </w:num>
  <w:num w:numId="26">
    <w:abstractNumId w:val="12"/>
  </w:num>
  <w:num w:numId="27">
    <w:abstractNumId w:val="13"/>
  </w:num>
  <w:num w:numId="28">
    <w:abstractNumId w:val="6"/>
  </w:num>
  <w:num w:numId="29">
    <w:abstractNumId w:val="4"/>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AU" w:vendorID="6" w:dllVersion="2" w:checkStyle="1"/>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567"/>
  <w:evenAndOddHeaders/>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69C"/>
    <w:rsid w:val="00004F9C"/>
    <w:rsid w:val="000252E1"/>
    <w:rsid w:val="00037DBD"/>
    <w:rsid w:val="00067828"/>
    <w:rsid w:val="000765C1"/>
    <w:rsid w:val="0008350E"/>
    <w:rsid w:val="00096163"/>
    <w:rsid w:val="000A7EF6"/>
    <w:rsid w:val="000C2C1B"/>
    <w:rsid w:val="000D045A"/>
    <w:rsid w:val="000D49ED"/>
    <w:rsid w:val="000E372E"/>
    <w:rsid w:val="00120E00"/>
    <w:rsid w:val="0014520A"/>
    <w:rsid w:val="00146613"/>
    <w:rsid w:val="001534D8"/>
    <w:rsid w:val="00160D80"/>
    <w:rsid w:val="00167BB3"/>
    <w:rsid w:val="00174E15"/>
    <w:rsid w:val="00184190"/>
    <w:rsid w:val="00193533"/>
    <w:rsid w:val="001A611D"/>
    <w:rsid w:val="001B335C"/>
    <w:rsid w:val="001C6607"/>
    <w:rsid w:val="001D3257"/>
    <w:rsid w:val="0026493F"/>
    <w:rsid w:val="00280720"/>
    <w:rsid w:val="00282A32"/>
    <w:rsid w:val="0028353B"/>
    <w:rsid w:val="0029069C"/>
    <w:rsid w:val="002910E0"/>
    <w:rsid w:val="0029421E"/>
    <w:rsid w:val="002976BA"/>
    <w:rsid w:val="002A642E"/>
    <w:rsid w:val="002A69DD"/>
    <w:rsid w:val="002B01E3"/>
    <w:rsid w:val="002B5703"/>
    <w:rsid w:val="002C51DD"/>
    <w:rsid w:val="002D7779"/>
    <w:rsid w:val="002E09D0"/>
    <w:rsid w:val="002E20AC"/>
    <w:rsid w:val="002E4D78"/>
    <w:rsid w:val="002F4591"/>
    <w:rsid w:val="0030255E"/>
    <w:rsid w:val="0031487D"/>
    <w:rsid w:val="00315DDB"/>
    <w:rsid w:val="00316105"/>
    <w:rsid w:val="00321107"/>
    <w:rsid w:val="00347883"/>
    <w:rsid w:val="003506C5"/>
    <w:rsid w:val="00354C92"/>
    <w:rsid w:val="003665A6"/>
    <w:rsid w:val="00371051"/>
    <w:rsid w:val="00381544"/>
    <w:rsid w:val="003854D1"/>
    <w:rsid w:val="00393E2F"/>
    <w:rsid w:val="003A558F"/>
    <w:rsid w:val="003B610D"/>
    <w:rsid w:val="003C0891"/>
    <w:rsid w:val="003F5C4E"/>
    <w:rsid w:val="004003C9"/>
    <w:rsid w:val="004070E1"/>
    <w:rsid w:val="0041228F"/>
    <w:rsid w:val="0041559F"/>
    <w:rsid w:val="004279CA"/>
    <w:rsid w:val="0043717A"/>
    <w:rsid w:val="00444045"/>
    <w:rsid w:val="00454836"/>
    <w:rsid w:val="00455400"/>
    <w:rsid w:val="00460E9D"/>
    <w:rsid w:val="004616C8"/>
    <w:rsid w:val="00461D26"/>
    <w:rsid w:val="00470304"/>
    <w:rsid w:val="00473575"/>
    <w:rsid w:val="0049603E"/>
    <w:rsid w:val="00496115"/>
    <w:rsid w:val="004D2C4F"/>
    <w:rsid w:val="004E7D7E"/>
    <w:rsid w:val="004F5273"/>
    <w:rsid w:val="005064D5"/>
    <w:rsid w:val="0052090E"/>
    <w:rsid w:val="00520963"/>
    <w:rsid w:val="00522E27"/>
    <w:rsid w:val="00547DF2"/>
    <w:rsid w:val="005527B9"/>
    <w:rsid w:val="0055303D"/>
    <w:rsid w:val="00556804"/>
    <w:rsid w:val="00560E83"/>
    <w:rsid w:val="00563297"/>
    <w:rsid w:val="00566590"/>
    <w:rsid w:val="00567FF6"/>
    <w:rsid w:val="00570AEC"/>
    <w:rsid w:val="00572131"/>
    <w:rsid w:val="00574F62"/>
    <w:rsid w:val="005B3AFA"/>
    <w:rsid w:val="005D1A47"/>
    <w:rsid w:val="005D2891"/>
    <w:rsid w:val="005E32A8"/>
    <w:rsid w:val="005E4ABF"/>
    <w:rsid w:val="00605A9B"/>
    <w:rsid w:val="006110AE"/>
    <w:rsid w:val="0062466B"/>
    <w:rsid w:val="0062578C"/>
    <w:rsid w:val="00643052"/>
    <w:rsid w:val="00657A28"/>
    <w:rsid w:val="006628D0"/>
    <w:rsid w:val="006A2C90"/>
    <w:rsid w:val="006B5C31"/>
    <w:rsid w:val="006C08BC"/>
    <w:rsid w:val="006C789C"/>
    <w:rsid w:val="006D1041"/>
    <w:rsid w:val="006E2753"/>
    <w:rsid w:val="006E33F7"/>
    <w:rsid w:val="006E41DE"/>
    <w:rsid w:val="00700C27"/>
    <w:rsid w:val="00702B7D"/>
    <w:rsid w:val="007242E3"/>
    <w:rsid w:val="007275CF"/>
    <w:rsid w:val="007300D9"/>
    <w:rsid w:val="00734103"/>
    <w:rsid w:val="00751891"/>
    <w:rsid w:val="00770B96"/>
    <w:rsid w:val="00783246"/>
    <w:rsid w:val="00794B71"/>
    <w:rsid w:val="0079772A"/>
    <w:rsid w:val="007E13F3"/>
    <w:rsid w:val="007F0146"/>
    <w:rsid w:val="008029D3"/>
    <w:rsid w:val="0080521C"/>
    <w:rsid w:val="00812A30"/>
    <w:rsid w:val="0082225E"/>
    <w:rsid w:val="00832D38"/>
    <w:rsid w:val="008353B6"/>
    <w:rsid w:val="008362F6"/>
    <w:rsid w:val="008366A3"/>
    <w:rsid w:val="00847050"/>
    <w:rsid w:val="008516F4"/>
    <w:rsid w:val="008527C4"/>
    <w:rsid w:val="0085509F"/>
    <w:rsid w:val="00860B66"/>
    <w:rsid w:val="00862E63"/>
    <w:rsid w:val="00892292"/>
    <w:rsid w:val="008A4C3D"/>
    <w:rsid w:val="008A6B0A"/>
    <w:rsid w:val="008C5C0D"/>
    <w:rsid w:val="008C6B9D"/>
    <w:rsid w:val="008F14C4"/>
    <w:rsid w:val="00953980"/>
    <w:rsid w:val="0095647E"/>
    <w:rsid w:val="00964576"/>
    <w:rsid w:val="00972247"/>
    <w:rsid w:val="009A4448"/>
    <w:rsid w:val="009A7614"/>
    <w:rsid w:val="009B60F8"/>
    <w:rsid w:val="009B6ACE"/>
    <w:rsid w:val="009C6DB3"/>
    <w:rsid w:val="009D0E59"/>
    <w:rsid w:val="009D2F23"/>
    <w:rsid w:val="009D452E"/>
    <w:rsid w:val="009E3A0A"/>
    <w:rsid w:val="009E4AA1"/>
    <w:rsid w:val="009F16FF"/>
    <w:rsid w:val="009F4111"/>
    <w:rsid w:val="00A05DBB"/>
    <w:rsid w:val="00A06F93"/>
    <w:rsid w:val="00A23729"/>
    <w:rsid w:val="00A2448D"/>
    <w:rsid w:val="00A47BA4"/>
    <w:rsid w:val="00A6283D"/>
    <w:rsid w:val="00A70DFB"/>
    <w:rsid w:val="00A76E59"/>
    <w:rsid w:val="00A77CE7"/>
    <w:rsid w:val="00A87101"/>
    <w:rsid w:val="00AA42D4"/>
    <w:rsid w:val="00AB659C"/>
    <w:rsid w:val="00AB67AD"/>
    <w:rsid w:val="00AD0A95"/>
    <w:rsid w:val="00AE348B"/>
    <w:rsid w:val="00AF232A"/>
    <w:rsid w:val="00AF3793"/>
    <w:rsid w:val="00B15647"/>
    <w:rsid w:val="00B27675"/>
    <w:rsid w:val="00B50074"/>
    <w:rsid w:val="00B9159B"/>
    <w:rsid w:val="00BB0CEC"/>
    <w:rsid w:val="00BB6361"/>
    <w:rsid w:val="00BC5423"/>
    <w:rsid w:val="00BD021C"/>
    <w:rsid w:val="00BD0FBB"/>
    <w:rsid w:val="00BD2289"/>
    <w:rsid w:val="00BD55DB"/>
    <w:rsid w:val="00BD70E8"/>
    <w:rsid w:val="00C032BE"/>
    <w:rsid w:val="00C0797E"/>
    <w:rsid w:val="00C24AA9"/>
    <w:rsid w:val="00C41B31"/>
    <w:rsid w:val="00C53C96"/>
    <w:rsid w:val="00C73D24"/>
    <w:rsid w:val="00C95323"/>
    <w:rsid w:val="00C9656F"/>
    <w:rsid w:val="00CA17DC"/>
    <w:rsid w:val="00CB58D6"/>
    <w:rsid w:val="00CC77CC"/>
    <w:rsid w:val="00CD0126"/>
    <w:rsid w:val="00CD5A03"/>
    <w:rsid w:val="00CD6650"/>
    <w:rsid w:val="00CD6ABC"/>
    <w:rsid w:val="00CE456A"/>
    <w:rsid w:val="00D1015C"/>
    <w:rsid w:val="00D10F59"/>
    <w:rsid w:val="00D23D6A"/>
    <w:rsid w:val="00D4143D"/>
    <w:rsid w:val="00D505AD"/>
    <w:rsid w:val="00D57528"/>
    <w:rsid w:val="00D6004F"/>
    <w:rsid w:val="00D67788"/>
    <w:rsid w:val="00D874AA"/>
    <w:rsid w:val="00D9318E"/>
    <w:rsid w:val="00D942C8"/>
    <w:rsid w:val="00DA5C1B"/>
    <w:rsid w:val="00DB3BF5"/>
    <w:rsid w:val="00DC0550"/>
    <w:rsid w:val="00DC6B7C"/>
    <w:rsid w:val="00DC6E8A"/>
    <w:rsid w:val="00DE170C"/>
    <w:rsid w:val="00DE4D2F"/>
    <w:rsid w:val="00DF4760"/>
    <w:rsid w:val="00E073D4"/>
    <w:rsid w:val="00E2193B"/>
    <w:rsid w:val="00E318E3"/>
    <w:rsid w:val="00E35DE7"/>
    <w:rsid w:val="00E41FED"/>
    <w:rsid w:val="00E46DD9"/>
    <w:rsid w:val="00E53EE5"/>
    <w:rsid w:val="00E6159D"/>
    <w:rsid w:val="00E70840"/>
    <w:rsid w:val="00E8429D"/>
    <w:rsid w:val="00E97570"/>
    <w:rsid w:val="00EA511C"/>
    <w:rsid w:val="00EA64F5"/>
    <w:rsid w:val="00EB576C"/>
    <w:rsid w:val="00EE297E"/>
    <w:rsid w:val="00EE5B09"/>
    <w:rsid w:val="00F30BDA"/>
    <w:rsid w:val="00F31789"/>
    <w:rsid w:val="00F407CE"/>
    <w:rsid w:val="00F51AA7"/>
    <w:rsid w:val="00F56C76"/>
    <w:rsid w:val="00F6733A"/>
    <w:rsid w:val="00F807AA"/>
    <w:rsid w:val="00F84C2C"/>
    <w:rsid w:val="00F92A4A"/>
    <w:rsid w:val="00FA3BF3"/>
    <w:rsid w:val="00FA6429"/>
    <w:rsid w:val="00FC09D2"/>
    <w:rsid w:val="00FC198C"/>
    <w:rsid w:val="00FD344F"/>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0C34E"/>
  <w15:chartTrackingRefBased/>
  <w15:docId w15:val="{A972D2F4-AC50-4C77-83A6-E28BBF422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uiPriority="0" w:qFormat="1"/>
    <w:lsdException w:name="heading 3" w:uiPriority="3"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rsid w:val="002F4591"/>
    <w:pPr>
      <w:spacing w:line="240" w:lineRule="atLeast"/>
    </w:pPr>
    <w:rPr>
      <w:rFonts w:ascii="Arial" w:hAnsi="Arial"/>
      <w:szCs w:val="24"/>
      <w:lang w:eastAsia="en-US"/>
    </w:rPr>
  </w:style>
  <w:style w:type="paragraph" w:styleId="Heading1">
    <w:name w:val="heading 1"/>
    <w:aliases w:val="APVMA_H1"/>
    <w:basedOn w:val="NormalText"/>
    <w:next w:val="NormalText"/>
    <w:qFormat/>
    <w:rsid w:val="00F92A4A"/>
    <w:pPr>
      <w:keepNext/>
      <w:keepLines/>
      <w:pageBreakBefore/>
      <w:numPr>
        <w:numId w:val="26"/>
      </w:numPr>
      <w:spacing w:before="0" w:after="80" w:line="360" w:lineRule="exact"/>
      <w:outlineLvl w:val="0"/>
    </w:pPr>
    <w:rPr>
      <w:rFonts w:ascii="Franklin Gothic Medium" w:hAnsi="Franklin Gothic Medium"/>
      <w:caps/>
      <w:color w:val="53284F" w:themeColor="accent5"/>
      <w:sz w:val="32"/>
      <w:szCs w:val="32"/>
    </w:rPr>
  </w:style>
  <w:style w:type="paragraph" w:styleId="Heading2">
    <w:name w:val="heading 2"/>
    <w:aliases w:val="APVMA_H2"/>
    <w:basedOn w:val="Heading1"/>
    <w:next w:val="Normal"/>
    <w:qFormat/>
    <w:rsid w:val="00F92A4A"/>
    <w:pPr>
      <w:pageBreakBefore w:val="0"/>
      <w:numPr>
        <w:ilvl w:val="1"/>
      </w:numPr>
      <w:tabs>
        <w:tab w:val="num" w:pos="907"/>
      </w:tabs>
      <w:spacing w:before="400" w:after="0" w:line="320" w:lineRule="exact"/>
      <w:ind w:left="680"/>
      <w:outlineLvl w:val="1"/>
    </w:pPr>
    <w:rPr>
      <w:caps w:val="0"/>
      <w:kern w:val="0"/>
      <w:sz w:val="28"/>
      <w:szCs w:val="28"/>
    </w:rPr>
  </w:style>
  <w:style w:type="paragraph" w:styleId="Heading3">
    <w:name w:val="heading 3"/>
    <w:aliases w:val="APVMA_H3"/>
    <w:basedOn w:val="Heading2"/>
    <w:next w:val="NormalText"/>
    <w:uiPriority w:val="3"/>
    <w:qFormat/>
    <w:rsid w:val="0041559F"/>
    <w:pPr>
      <w:numPr>
        <w:ilvl w:val="2"/>
      </w:numPr>
      <w:spacing w:before="320" w:line="280" w:lineRule="exact"/>
      <w:outlineLvl w:val="2"/>
    </w:pPr>
    <w:rPr>
      <w:sz w:val="24"/>
      <w:szCs w:val="26"/>
    </w:rPr>
  </w:style>
  <w:style w:type="paragraph" w:styleId="Heading4">
    <w:name w:val="heading 4"/>
    <w:aliases w:val="APVMA_H4"/>
    <w:basedOn w:val="Heading3"/>
    <w:next w:val="NormalText"/>
    <w:uiPriority w:val="4"/>
    <w:pPr>
      <w:numPr>
        <w:ilvl w:val="3"/>
      </w:numPr>
      <w:spacing w:before="280" w:line="260" w:lineRule="exact"/>
      <w:outlineLvl w:val="3"/>
    </w:pPr>
    <w:rPr>
      <w:i/>
      <w:sz w:val="22"/>
      <w:szCs w:val="28"/>
    </w:rPr>
  </w:style>
  <w:style w:type="paragraph" w:styleId="Heading5">
    <w:name w:val="heading 5"/>
    <w:aliases w:val="APVMA_H5"/>
    <w:basedOn w:val="Heading4"/>
    <w:next w:val="NormalText"/>
    <w:uiPriority w:val="4"/>
    <w:pPr>
      <w:numPr>
        <w:ilvl w:val="4"/>
      </w:numPr>
      <w:spacing w:before="260"/>
      <w:outlineLvl w:val="4"/>
    </w:pPr>
    <w:rPr>
      <w:i w:val="0"/>
      <w:caps/>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99"/>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C95323"/>
    <w:pPr>
      <w:pBdr>
        <w:top w:val="single" w:sz="4" w:space="1" w:color="auto"/>
      </w:pBdr>
      <w:tabs>
        <w:tab w:val="right" w:pos="9639"/>
      </w:tabs>
      <w:spacing w:before="180" w:after="60"/>
      <w:ind w:left="454" w:hanging="454"/>
    </w:pPr>
    <w:rPr>
      <w:rFonts w:ascii="Trebuchet MS" w:hAnsi="Trebuchet MS"/>
      <w:b/>
      <w:bCs/>
      <w:caps/>
      <w:noProof/>
      <w:color w:val="53284F"/>
      <w:szCs w:val="30"/>
    </w:rPr>
  </w:style>
  <w:style w:type="paragraph" w:styleId="FootnoteText">
    <w:name w:val="footnote text"/>
    <w:aliases w:val="APVMA_Footnote"/>
    <w:basedOn w:val="NormalText"/>
    <w:uiPriority w:val="4"/>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79772A"/>
    <w:pPr>
      <w:numPr>
        <w:numId w:val="19"/>
      </w:numPr>
      <w:spacing w:after="60"/>
    </w:pPr>
    <w:rPr>
      <w:color w:val="353735" w:themeColor="text1"/>
    </w:rPr>
  </w:style>
  <w:style w:type="paragraph" w:customStyle="1" w:styleId="APVMATableText">
    <w:name w:val="APVMA_TableText"/>
    <w:basedOn w:val="NormalText"/>
    <w:uiPriority w:val="4"/>
    <w:qFormat/>
    <w:pPr>
      <w:spacing w:before="120" w:after="120" w:line="210" w:lineRule="exact"/>
    </w:pPr>
    <w:rPr>
      <w:spacing w:val="6"/>
      <w:sz w:val="17"/>
    </w:rPr>
  </w:style>
  <w:style w:type="paragraph" w:customStyle="1" w:styleId="APVMATableHead">
    <w:name w:val="APVMA_TableHead"/>
    <w:basedOn w:val="APVMATableText"/>
    <w:uiPriority w:val="4"/>
    <w:qFormat/>
    <w:rsid w:val="00C53C96"/>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99"/>
    <w:semiHidden/>
    <w:rPr>
      <w:sz w:val="16"/>
      <w:szCs w:val="16"/>
    </w:rPr>
  </w:style>
  <w:style w:type="paragraph" w:customStyle="1" w:styleId="APVMAEvenHeader">
    <w:name w:val="APVMA_Even_Header"/>
    <w:basedOn w:val="APVMAOddHeader"/>
    <w:uiPriority w:val="4"/>
    <w:rsid w:val="00BD2289"/>
    <w:pPr>
      <w:tabs>
        <w:tab w:val="clear" w:pos="9072"/>
        <w:tab w:val="left" w:pos="567"/>
      </w:tabs>
      <w:ind w:left="567" w:hanging="567"/>
    </w:pPr>
  </w:style>
  <w:style w:type="paragraph" w:customStyle="1" w:styleId="Bullet1">
    <w:name w:val="Bullet1"/>
    <w:basedOn w:val="NormalText"/>
    <w:uiPriority w:val="4"/>
    <w:qFormat/>
    <w:rsid w:val="006E33F7"/>
    <w:pPr>
      <w:numPr>
        <w:numId w:val="14"/>
      </w:numPr>
      <w:spacing w:before="120" w:after="120"/>
    </w:pPr>
  </w:style>
  <w:style w:type="paragraph" w:customStyle="1" w:styleId="APVMATableHeadRight">
    <w:name w:val="APVMA_TableHead_Right"/>
    <w:basedOn w:val="APVMATableHead"/>
    <w:uiPriority w:val="4"/>
    <w:rsid w:val="00C53C96"/>
    <w:pPr>
      <w:jc w:val="right"/>
    </w:pPr>
  </w:style>
  <w:style w:type="paragraph" w:customStyle="1" w:styleId="Bullet2">
    <w:name w:val="Bullet2"/>
    <w:basedOn w:val="Bullet1"/>
    <w:uiPriority w:val="4"/>
    <w:qFormat/>
    <w:rsid w:val="006E33F7"/>
    <w:pPr>
      <w:numPr>
        <w:numId w:val="8"/>
      </w:numPr>
      <w:spacing w:before="60"/>
    </w:pPr>
  </w:style>
  <w:style w:type="character" w:styleId="FootnoteReference">
    <w:name w:val="footnote reference"/>
    <w:uiPriority w:val="4"/>
    <w:semiHidden/>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uiPriority w:val="4"/>
    <w:pPr>
      <w:jc w:val="right"/>
    </w:pPr>
  </w:style>
  <w:style w:type="paragraph" w:styleId="Caption">
    <w:name w:val="caption"/>
    <w:aliases w:val="APVMA_Caption"/>
    <w:basedOn w:val="Normal"/>
    <w:next w:val="NormalText"/>
    <w:uiPriority w:val="4"/>
    <w:rsid w:val="00BD021C"/>
    <w:pPr>
      <w:keepNext/>
      <w:keepLines/>
      <w:tabs>
        <w:tab w:val="left" w:pos="907"/>
      </w:tabs>
      <w:spacing w:before="240" w:after="120" w:line="280" w:lineRule="exact"/>
      <w:ind w:left="907" w:hanging="907"/>
    </w:pPr>
    <w:rPr>
      <w:rFonts w:ascii="Franklin Gothic Medium" w:hAnsi="Franklin Gothic Medium"/>
      <w:color w:val="53284F"/>
    </w:rPr>
  </w:style>
  <w:style w:type="paragraph" w:styleId="TOAHeading">
    <w:name w:val="toa heading"/>
    <w:aliases w:val="APVMA_TOC heading"/>
    <w:basedOn w:val="Heading1"/>
    <w:next w:val="TOC1"/>
    <w:uiPriority w:val="4"/>
    <w:semiHidden/>
    <w:pPr>
      <w:pageBreakBefore w:val="0"/>
      <w:numPr>
        <w:numId w:val="0"/>
      </w:numPr>
      <w:outlineLvl w:val="9"/>
    </w:pPr>
    <w:rPr>
      <w:bCs/>
      <w:szCs w:val="20"/>
    </w:rPr>
  </w:style>
  <w:style w:type="paragraph" w:customStyle="1" w:styleId="APVMATableSubHead">
    <w:name w:val="APVMA_Table_SubHead"/>
    <w:basedOn w:val="APVMATableHead"/>
    <w:uiPriority w:val="4"/>
    <w:rsid w:val="00BD2289"/>
    <w:rPr>
      <w:color w:val="53284F"/>
    </w:rPr>
  </w:style>
  <w:style w:type="paragraph" w:styleId="TableofFigures">
    <w:name w:val="table of figures"/>
    <w:aliases w:val="APVMA_ToF"/>
    <w:basedOn w:val="TOC3"/>
    <w:uiPriority w:val="99"/>
    <w:pPr>
      <w:ind w:left="851" w:hanging="851"/>
    </w:pPr>
  </w:style>
  <w:style w:type="paragraph" w:customStyle="1" w:styleId="APVMAOddHeader">
    <w:name w:val="APVMA_Odd_Header"/>
    <w:basedOn w:val="NormalText"/>
    <w:uiPriority w:val="4"/>
    <w:rsid w:val="00BD2289"/>
    <w:pPr>
      <w:pBdr>
        <w:bottom w:val="single" w:sz="4" w:space="1" w:color="auto"/>
      </w:pBdr>
      <w:tabs>
        <w:tab w:val="right" w:pos="9072"/>
        <w:tab w:val="right" w:pos="9638"/>
      </w:tabs>
      <w:spacing w:before="0" w:after="0" w:line="200" w:lineRule="exact"/>
    </w:pPr>
    <w:rPr>
      <w:b/>
      <w:bCs/>
      <w:caps/>
      <w:color w:val="53284F"/>
      <w:sz w:val="18"/>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sz w:val="16"/>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pPr>
      <w:numPr>
        <w:numId w:val="0"/>
      </w:numPr>
    </w:pPr>
    <w:rPr>
      <w:bCs/>
      <w:szCs w:val="30"/>
    </w:rPr>
  </w:style>
  <w:style w:type="paragraph" w:customStyle="1" w:styleId="APVMAPreliminariesH2">
    <w:name w:val="APVMA_Preliminaries_H2"/>
    <w:basedOn w:val="Heading2"/>
    <w:next w:val="NormalText"/>
    <w:uiPriority w:val="4"/>
    <w:rsid w:val="00AB659C"/>
    <w:pPr>
      <w:numPr>
        <w:ilvl w:val="0"/>
        <w:numId w:val="0"/>
      </w:numPr>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17"/>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Bullet2"/>
    <w:uiPriority w:val="4"/>
    <w:pPr>
      <w:numPr>
        <w:numId w:val="16"/>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APVMASuperscript">
    <w:name w:val="APVMA_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99"/>
    <w:semiHidden/>
    <w:rsid w:val="002906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B9159B"/>
    <w:pPr>
      <w:spacing w:before="0" w:line="240" w:lineRule="auto"/>
    </w:pPr>
    <w:rPr>
      <w:b/>
      <w:bCs/>
    </w:rPr>
  </w:style>
  <w:style w:type="character" w:customStyle="1" w:styleId="CommentSubjectChar">
    <w:name w:val="Comment Subject Char"/>
    <w:basedOn w:val="CommentTextChar"/>
    <w:link w:val="CommentSubject"/>
    <w:uiPriority w:val="99"/>
    <w:semiHidden/>
    <w:rsid w:val="00B9159B"/>
    <w:rPr>
      <w:rFonts w:ascii="Arial" w:hAnsi="Arial"/>
      <w:b/>
      <w:bCs/>
      <w:lang w:eastAsia="en-US"/>
    </w:rPr>
  </w:style>
  <w:style w:type="paragraph" w:styleId="Revision">
    <w:name w:val="Revision"/>
    <w:hidden/>
    <w:uiPriority w:val="99"/>
    <w:semiHidden/>
    <w:rsid w:val="00EA64F5"/>
    <w:rPr>
      <w:rFonts w:ascii="Arial" w:hAnsi="Arial"/>
      <w:szCs w:val="24"/>
      <w:lang w:eastAsia="en-US"/>
    </w:rPr>
  </w:style>
  <w:style w:type="paragraph" w:customStyle="1" w:styleId="RGNormalText">
    <w:name w:val="RG Normal Text"/>
    <w:basedOn w:val="Normal"/>
    <w:uiPriority w:val="8"/>
    <w:qFormat/>
    <w:rsid w:val="00EA64F5"/>
    <w:pPr>
      <w:suppressAutoHyphens/>
      <w:spacing w:before="120" w:after="120" w:line="280" w:lineRule="exact"/>
    </w:pPr>
    <w:rPr>
      <w:rFonts w:cs="Arial"/>
      <w:u w:color="000000"/>
      <w:lang w:eastAsia="en-AU"/>
    </w:rPr>
  </w:style>
  <w:style w:type="paragraph" w:customStyle="1" w:styleId="RGTableText">
    <w:name w:val="RG Table Text"/>
    <w:basedOn w:val="Normal"/>
    <w:uiPriority w:val="7"/>
    <w:qFormat/>
    <w:rsid w:val="00547DF2"/>
    <w:pPr>
      <w:suppressAutoHyphens/>
      <w:spacing w:before="120" w:after="120" w:line="210" w:lineRule="exact"/>
    </w:pPr>
    <w:rPr>
      <w:rFonts w:cs="Arial"/>
      <w:spacing w:val="6"/>
      <w:sz w:val="17"/>
      <w:u w:color="000000"/>
    </w:rPr>
  </w:style>
  <w:style w:type="table" w:styleId="TableGrid">
    <w:name w:val="Table Grid"/>
    <w:basedOn w:val="TableNormal"/>
    <w:uiPriority w:val="59"/>
    <w:rsid w:val="00496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A2C90"/>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apvma.gov.au/node/10916" TargetMode="External" Id="rId26" /><Relationship Type="http://schemas.openxmlformats.org/officeDocument/2006/relationships/hyperlink" Target="https://elibrary.asabe.org/abstract.asp?aid=49050&amp;t=3&amp;redir=aid=49050&amp;redir=%5bconfid=s2000%5d&amp;redirType=standards.asp&amp;redirType=standards.asp" TargetMode="External" Id="rId117" /><Relationship Type="http://schemas.openxmlformats.org/officeDocument/2006/relationships/image" Target="media/image5.jpeg" Id="rId21" /><Relationship Type="http://schemas.openxmlformats.org/officeDocument/2006/relationships/header" Target="header5.xml" Id="rId42" /><Relationship Type="http://schemas.openxmlformats.org/officeDocument/2006/relationships/hyperlink" Target="http://apvma.gov.au/node/1027" TargetMode="External" Id="rId47" /><Relationship Type="http://schemas.openxmlformats.org/officeDocument/2006/relationships/hyperlink" Target="http://www.nwppa.net.au" TargetMode="External" Id="rId63" /><Relationship Type="http://schemas.openxmlformats.org/officeDocument/2006/relationships/image" Target="media/image10.png" Id="rId68" /><Relationship Type="http://schemas.openxmlformats.org/officeDocument/2006/relationships/hyperlink" Target="https://apvma.gov.au/node/39701" TargetMode="External" Id="rId84" /><Relationship Type="http://schemas.openxmlformats.org/officeDocument/2006/relationships/image" Target="media/image15.png" Id="rId89" /><Relationship Type="http://schemas.openxmlformats.org/officeDocument/2006/relationships/header" Target="header15.xml" Id="rId112" /><Relationship Type="http://schemas.openxmlformats.org/officeDocument/2006/relationships/hyperlink" Target="mailto:communications@apvma.gov.au" TargetMode="External" Id="rId16" /><Relationship Type="http://schemas.openxmlformats.org/officeDocument/2006/relationships/footer" Target="footer2.xml" Id="rId107" /><Relationship Type="http://schemas.openxmlformats.org/officeDocument/2006/relationships/image" Target="media/image3.png" Id="rId11" /><Relationship Type="http://schemas.openxmlformats.org/officeDocument/2006/relationships/hyperlink" Target="http://apvma.gov.au/node/15506" TargetMode="External" Id="rId32" /><Relationship Type="http://schemas.openxmlformats.org/officeDocument/2006/relationships/diagramColors" Target="diagrams/colors1.xml" Id="rId37" /><Relationship Type="http://schemas.openxmlformats.org/officeDocument/2006/relationships/hyperlink" Target="https://apvma.gov.au/node/27556" TargetMode="External" Id="rId53" /><Relationship Type="http://schemas.openxmlformats.org/officeDocument/2006/relationships/hyperlink" Target="http://www.makingmorefromsheep.com.au/_literature_14526/Module_8_-_Turn_Pasture_into_Product" TargetMode="External" Id="rId58" /><Relationship Type="http://schemas.openxmlformats.org/officeDocument/2006/relationships/image" Target="media/image12.png" Id="rId74" /><Relationship Type="http://schemas.openxmlformats.org/officeDocument/2006/relationships/header" Target="header7.xml" Id="rId79" /><Relationship Type="http://schemas.openxmlformats.org/officeDocument/2006/relationships/header" Target="header11.xml" Id="rId102" /><Relationship Type="http://schemas.openxmlformats.org/officeDocument/2006/relationships/hyperlink" Target="http://dropdata.net/bcpc_ewg/ESES_noz.pdf" TargetMode="External" Id="rId123" /><Relationship Type="http://schemas.openxmlformats.org/officeDocument/2006/relationships/hyperlink" Target="http://www.who.int/foodsafety/publications/chemical-food/en/" TargetMode="External" Id="rId128" /><Relationship Type="http://schemas.openxmlformats.org/officeDocument/2006/relationships/settings" Target="settings.xml" Id="rId5" /><Relationship Type="http://schemas.openxmlformats.org/officeDocument/2006/relationships/hyperlink" Target="http://www.nwppa.net.au" TargetMode="External" Id="rId90" /><Relationship Type="http://schemas.openxmlformats.org/officeDocument/2006/relationships/hyperlink" Target="http://apvma.gov.au/node/962" TargetMode="External" Id="rId95" /><Relationship Type="http://schemas.openxmlformats.org/officeDocument/2006/relationships/header" Target="header2.xml" Id="rId19" /><Relationship Type="http://schemas.openxmlformats.org/officeDocument/2006/relationships/hyperlink" Target="http://www.creativecommons.org/licenses/by/3.0/au/legalcode" TargetMode="External" Id="rId14" /><Relationship Type="http://schemas.openxmlformats.org/officeDocument/2006/relationships/header" Target="header3.xml" Id="rId22" /><Relationship Type="http://schemas.openxmlformats.org/officeDocument/2006/relationships/hyperlink" Target="http://www.comlaw.gov.au/Series/C2004A04723" TargetMode="External" Id="rId27" /><Relationship Type="http://schemas.openxmlformats.org/officeDocument/2006/relationships/hyperlink" Target="http://www.comlaw.gov.au/Series/C2004A04723" TargetMode="External" Id="rId30" /><Relationship Type="http://schemas.openxmlformats.org/officeDocument/2006/relationships/diagramLayout" Target="diagrams/layout1.xml" Id="rId35" /><Relationship Type="http://schemas.openxmlformats.org/officeDocument/2006/relationships/hyperlink" Target="http://apvma.gov.au/node/43" TargetMode="External" Id="rId43" /><Relationship Type="http://schemas.openxmlformats.org/officeDocument/2006/relationships/hyperlink" Target="http://apvma.gov.au/node/1017" TargetMode="External" Id="rId48" /><Relationship Type="http://schemas.openxmlformats.org/officeDocument/2006/relationships/hyperlink" Target="http://apvma.gov.au/node/805" TargetMode="External" Id="rId56" /><Relationship Type="http://schemas.openxmlformats.org/officeDocument/2006/relationships/hyperlink" Target="https://apvma.gov.au/node/39721" TargetMode="External" Id="rId64" /><Relationship Type="http://schemas.openxmlformats.org/officeDocument/2006/relationships/hyperlink" Target="https://apvma.gov.au/node/39731" TargetMode="External" Id="rId69" /><Relationship Type="http://schemas.openxmlformats.org/officeDocument/2006/relationships/hyperlink" Target="http://www.epa.gov/pesticide-science-and-assessing-pesticide-risks/models-pesticide-risk-assessment" TargetMode="External" Id="rId77" /><Relationship Type="http://schemas.openxmlformats.org/officeDocument/2006/relationships/hyperlink" Target="https://apvma.gov.au/node/28091" TargetMode="External" Id="rId100" /><Relationship Type="http://schemas.openxmlformats.org/officeDocument/2006/relationships/header" Target="header12.xml" Id="rId105" /><Relationship Type="http://schemas.openxmlformats.org/officeDocument/2006/relationships/hyperlink" Target="http://beeconnected.org.au" TargetMode="External" Id="rId113" /><Relationship Type="http://schemas.openxmlformats.org/officeDocument/2006/relationships/hyperlink" Target="http://www.astm.org/Standards/E2798.htm" TargetMode="External" Id="rId118" /><Relationship Type="http://schemas.openxmlformats.org/officeDocument/2006/relationships/hyperlink" Target="http://www.epa.gov/pollinator-protection/pollinator-risk-assessment-guidance" TargetMode="External" Id="rId126" /><Relationship Type="http://schemas.openxmlformats.org/officeDocument/2006/relationships/endnotes" Target="endnotes.xml" Id="rId8" /><Relationship Type="http://schemas.openxmlformats.org/officeDocument/2006/relationships/hyperlink" Target="http://www.epa.gov/pesticides/science/residential-exposure-sop.html" TargetMode="External" Id="rId51" /><Relationship Type="http://schemas.openxmlformats.org/officeDocument/2006/relationships/hyperlink" Target="https://apvma.gov.au/node/39736" TargetMode="External" Id="rId72" /><Relationship Type="http://schemas.openxmlformats.org/officeDocument/2006/relationships/hyperlink" Target="https://apvma.gov.au/node/934" TargetMode="External" Id="rId80" /><Relationship Type="http://schemas.openxmlformats.org/officeDocument/2006/relationships/header" Target="header10.xml" Id="rId85" /><Relationship Type="http://schemas.openxmlformats.org/officeDocument/2006/relationships/hyperlink" Target="http://apvma.gov.au/node/633" TargetMode="External" Id="rId93" /><Relationship Type="http://schemas.openxmlformats.org/officeDocument/2006/relationships/hyperlink" Target="https://www.comlaw.gov.au/Series/C2004A04723" TargetMode="External" Id="rId98" /><Relationship Type="http://schemas.openxmlformats.org/officeDocument/2006/relationships/hyperlink" Target="https://doi.org/10.1787/9789264070189-en" TargetMode="External" Id="rId121" /><Relationship Type="http://schemas.openxmlformats.org/officeDocument/2006/relationships/numbering" Target="numbering.xml" Id="rId3" /><Relationship Type="http://schemas.openxmlformats.org/officeDocument/2006/relationships/image" Target="media/image4.png" Id="rId12" /><Relationship Type="http://schemas.openxmlformats.org/officeDocument/2006/relationships/hyperlink" Target="http://www.apvma.gov.au" TargetMode="External" Id="rId17" /><Relationship Type="http://schemas.openxmlformats.org/officeDocument/2006/relationships/hyperlink" Target="http://apvma.gov.au/node/611" TargetMode="External" Id="rId25" /><Relationship Type="http://schemas.openxmlformats.org/officeDocument/2006/relationships/image" Target="media/image6.png" Id="rId33" /><Relationship Type="http://schemas.microsoft.com/office/2007/relationships/diagramDrawing" Target="diagrams/drawing1.xml" Id="rId38" /><Relationship Type="http://schemas.openxmlformats.org/officeDocument/2006/relationships/hyperlink" Target="http://apvma.gov.au/node/805" TargetMode="External" Id="rId46" /><Relationship Type="http://schemas.openxmlformats.org/officeDocument/2006/relationships/hyperlink" Target="http://www.mla.com.au/mbfp/Pasture-utilisation" TargetMode="External" Id="rId59" /><Relationship Type="http://schemas.openxmlformats.org/officeDocument/2006/relationships/hyperlink" Target="http://www.jki.bund.de/no_cache/en/startseite/institute/anwendungstechnik/abdrift-eckwerte.html" TargetMode="External" Id="rId67" /><Relationship Type="http://schemas.openxmlformats.org/officeDocument/2006/relationships/hyperlink" Target="http://www.apvma.gov.au/spraydrift" TargetMode="External" Id="rId103" /><Relationship Type="http://schemas.openxmlformats.org/officeDocument/2006/relationships/image" Target="media/image16.png" Id="rId108" /><Relationship Type="http://schemas.openxmlformats.org/officeDocument/2006/relationships/hyperlink" Target="http://www.umweltbundesamt.de/publikationen/ecotoxicological-combined-effects-from-chemical" TargetMode="External" Id="rId116" /><Relationship Type="http://schemas.openxmlformats.org/officeDocument/2006/relationships/hyperlink" Target="http://www.epa.gov/pesticides/trac/science/index.htm" TargetMode="External" Id="rId124" /><Relationship Type="http://schemas.openxmlformats.org/officeDocument/2006/relationships/header" Target="header17.xml" Id="rId129" /><Relationship Type="http://schemas.openxmlformats.org/officeDocument/2006/relationships/footer" Target="footer1.xml" Id="rId20" /><Relationship Type="http://schemas.openxmlformats.org/officeDocument/2006/relationships/hyperlink" Target="http://www.comlaw.gov.au/Series/C2004A04723" TargetMode="External" Id="rId41" /><Relationship Type="http://schemas.openxmlformats.org/officeDocument/2006/relationships/hyperlink" Target="http://www.aph.gov.au/Parliamentary_Business/Committees/Senate/Rural_and_Regional_Affairs_and_Transport/Beekeeping" TargetMode="External" Id="rId54" /><Relationship Type="http://schemas.openxmlformats.org/officeDocument/2006/relationships/hyperlink" Target="https://apvma.gov.au/node/28086" TargetMode="External" Id="rId62" /><Relationship Type="http://schemas.openxmlformats.org/officeDocument/2006/relationships/hyperlink" Target="https://apvma.gov.au/node/39731" TargetMode="External" Id="rId70" /><Relationship Type="http://schemas.openxmlformats.org/officeDocument/2006/relationships/hyperlink" Target="https://apvma.gov.au/node/38656" TargetMode="External" Id="rId75" /><Relationship Type="http://schemas.openxmlformats.org/officeDocument/2006/relationships/header" Target="header9.xml" Id="rId83" /><Relationship Type="http://schemas.openxmlformats.org/officeDocument/2006/relationships/image" Target="media/image14.png" Id="rId88" /><Relationship Type="http://schemas.openxmlformats.org/officeDocument/2006/relationships/hyperlink" Target="https://apvma.gov.au/node/38656" TargetMode="External" Id="rId91" /><Relationship Type="http://schemas.openxmlformats.org/officeDocument/2006/relationships/hyperlink" Target="http://apvma.gov.au/node/581" TargetMode="External" Id="rId96" /><Relationship Type="http://schemas.openxmlformats.org/officeDocument/2006/relationships/header" Target="header14.xml" Id="rId111" /><Relationship Type="http://schemas.openxmlformats.org/officeDocument/2006/relationships/webSettings" Target="webSettings.xml" Id="rId6" /><Relationship Type="http://schemas.openxmlformats.org/officeDocument/2006/relationships/hyperlink" Target="http://www.dpmc.gov.au/pmc/publication/commonwealth-coat-arms-information-and-guidelines)." TargetMode="External" Id="rId15" /><Relationship Type="http://schemas.openxmlformats.org/officeDocument/2006/relationships/hyperlink" Target="http://apvma.gov.au/node/6" TargetMode="External" Id="rId23" /><Relationship Type="http://schemas.openxmlformats.org/officeDocument/2006/relationships/hyperlink" Target="http://www.comlaw.gov.au/Series/C2004A04723" TargetMode="External" Id="rId28" /><Relationship Type="http://schemas.openxmlformats.org/officeDocument/2006/relationships/diagramQuickStyle" Target="diagrams/quickStyle1.xml" Id="rId36" /><Relationship Type="http://schemas.openxmlformats.org/officeDocument/2006/relationships/hyperlink" Target="http://apvma.gov.au/node/1036" TargetMode="External" Id="rId49" /><Relationship Type="http://schemas.openxmlformats.org/officeDocument/2006/relationships/hyperlink" Target="http://apvma.gov.au/node/1017" TargetMode="External" Id="rId57" /><Relationship Type="http://schemas.openxmlformats.org/officeDocument/2006/relationships/header" Target="header13.xml" Id="rId106" /><Relationship Type="http://schemas.openxmlformats.org/officeDocument/2006/relationships/hyperlink" Target="https://portal.apvma.gov.au/pubcris" TargetMode="External" Id="rId114" /><Relationship Type="http://schemas.openxmlformats.org/officeDocument/2006/relationships/hyperlink" Target="http://www.health.gov.au/internet/main/publishing.nsf/Content/health-pubhlth-publicat-environ.htm" TargetMode="External" Id="rId119" /><Relationship Type="http://schemas.openxmlformats.org/officeDocument/2006/relationships/hyperlink" Target="http://agriculture.vic.gov.au/agriculture/farm-management/chemical-use/publications/water-rates-used-in-horticulture" TargetMode="External" Id="rId127" /><Relationship Type="http://schemas.openxmlformats.org/officeDocument/2006/relationships/image" Target="media/image2.jpg" Id="rId10" /><Relationship Type="http://schemas.openxmlformats.org/officeDocument/2006/relationships/header" Target="header4.xml" Id="rId31" /><Relationship Type="http://schemas.openxmlformats.org/officeDocument/2006/relationships/hyperlink" Target="http://apvma.gov.au/node/633" TargetMode="External" Id="rId44" /><Relationship Type="http://schemas.openxmlformats.org/officeDocument/2006/relationships/hyperlink" Target="http://apvma.gov.au/node/805" TargetMode="External" Id="rId52" /><Relationship Type="http://schemas.openxmlformats.org/officeDocument/2006/relationships/header" Target="header6.xml" Id="rId60" /><Relationship Type="http://schemas.openxmlformats.org/officeDocument/2006/relationships/hyperlink" Target="https://apvma.gov.au/node/39721" TargetMode="External" Id="rId65" /><Relationship Type="http://schemas.openxmlformats.org/officeDocument/2006/relationships/image" Target="media/image11.png" Id="rId73" /><Relationship Type="http://schemas.openxmlformats.org/officeDocument/2006/relationships/hyperlink" Target="https://apvma.gov.au/node/39711" TargetMode="External" Id="rId78" /><Relationship Type="http://schemas.openxmlformats.org/officeDocument/2006/relationships/header" Target="header8.xml" Id="rId81" /><Relationship Type="http://schemas.openxmlformats.org/officeDocument/2006/relationships/hyperlink" Target="https://apvma.gov.au/node/39706" TargetMode="External" Id="rId86" /><Relationship Type="http://schemas.openxmlformats.org/officeDocument/2006/relationships/hyperlink" Target="http://apvma.gov.au/node/625" TargetMode="External" Id="rId94" /><Relationship Type="http://schemas.openxmlformats.org/officeDocument/2006/relationships/hyperlink" Target="http://apvma.gov.au/node/6" TargetMode="External" Id="rId99" /><Relationship Type="http://schemas.openxmlformats.org/officeDocument/2006/relationships/hyperlink" Target="http://www.jki.bund.de/no_cache/en/startseite/institute/anwendungstechnik/abdrift-eckwerte.html" TargetMode="External" Id="rId101" /><Relationship Type="http://schemas.openxmlformats.org/officeDocument/2006/relationships/hyperlink" Target="http://www.oecd.org/chemicalsafety/pesticides-biocides/seriesontestingandassessment.htm" TargetMode="External" Id="rId122" /><Relationship Type="http://schemas.openxmlformats.org/officeDocument/2006/relationships/fontTable" Target="fontTable.xml" Id="rId13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www.creativecommons.org/licenses/by/3.0/au/deed.en" TargetMode="External" Id="rId13" /><Relationship Type="http://schemas.openxmlformats.org/officeDocument/2006/relationships/header" Target="header1.xml" Id="rId18" /><Relationship Type="http://schemas.openxmlformats.org/officeDocument/2006/relationships/image" Target="media/image7.png" Id="rId39" /><Relationship Type="http://schemas.openxmlformats.org/officeDocument/2006/relationships/image" Target="media/image17.png" Id="rId109" /><Relationship Type="http://schemas.openxmlformats.org/officeDocument/2006/relationships/diagramData" Target="diagrams/data1.xml" Id="rId34" /><Relationship Type="http://schemas.openxmlformats.org/officeDocument/2006/relationships/hyperlink" Target="http://apvma.gov.au/node/14186" TargetMode="External" Id="rId50" /><Relationship Type="http://schemas.openxmlformats.org/officeDocument/2006/relationships/hyperlink" Target="https://www.oecd-ilibrary.org/environment/test-no-214-honeybees-acute-contact-toxicity-test_9789264070189-en" TargetMode="External" Id="rId55" /><Relationship Type="http://schemas.openxmlformats.org/officeDocument/2006/relationships/hyperlink" Target="http://www.epa.gov/pesticide-science-and-assessing-pesticide-risks/models-pesticide-risk-assessment" TargetMode="External" Id="rId76" /><Relationship Type="http://schemas.openxmlformats.org/officeDocument/2006/relationships/hyperlink" Target="http://apvma.gov.au/node/44" TargetMode="External" Id="rId97" /><Relationship Type="http://schemas.openxmlformats.org/officeDocument/2006/relationships/hyperlink" Target="http://www.apvma.gov.au/spraydrift" TargetMode="External" Id="rId104" /><Relationship Type="http://schemas.openxmlformats.org/officeDocument/2006/relationships/hyperlink" Target="https://www.sciencedirect.com/science/article/pii/S0261219408000689?via%3Dihub" TargetMode="External" Id="rId120" /><Relationship Type="http://schemas.openxmlformats.org/officeDocument/2006/relationships/hyperlink" Target="http://www.regulations.gov/" TargetMode="External" Id="rId125" /><Relationship Type="http://schemas.openxmlformats.org/officeDocument/2006/relationships/footnotes" Target="footnotes.xml" Id="rId7" /><Relationship Type="http://schemas.openxmlformats.org/officeDocument/2006/relationships/hyperlink" Target="https://apvma.gov.au/node/39736" TargetMode="External" Id="rId71" /><Relationship Type="http://schemas.openxmlformats.org/officeDocument/2006/relationships/hyperlink" Target="https://apvma.gov.au/node/38656" TargetMode="External" Id="rId92" /><Relationship Type="http://schemas.openxmlformats.org/officeDocument/2006/relationships/customXml" Target="../customXml/item2.xml" Id="rId2" /><Relationship Type="http://schemas.openxmlformats.org/officeDocument/2006/relationships/hyperlink" Target="http://apvma.gov.au/node/625" TargetMode="External" Id="rId29" /><Relationship Type="http://schemas.openxmlformats.org/officeDocument/2006/relationships/hyperlink" Target="http://apvma.gov.au/node/6" TargetMode="External" Id="rId24" /><Relationship Type="http://schemas.openxmlformats.org/officeDocument/2006/relationships/image" Target="media/image8.png" Id="rId40" /><Relationship Type="http://schemas.openxmlformats.org/officeDocument/2006/relationships/hyperlink" Target="http://apvma.gov.au/node/1144" TargetMode="External" Id="rId45" /><Relationship Type="http://schemas.openxmlformats.org/officeDocument/2006/relationships/image" Target="media/image9.png" Id="rId66" /><Relationship Type="http://schemas.openxmlformats.org/officeDocument/2006/relationships/image" Target="media/image13.png" Id="rId87" /><Relationship Type="http://schemas.openxmlformats.org/officeDocument/2006/relationships/image" Target="media/image18.png" Id="rId110" /><Relationship Type="http://schemas.openxmlformats.org/officeDocument/2006/relationships/header" Target="header16.xml" Id="rId115" /><Relationship Type="http://schemas.openxmlformats.org/officeDocument/2006/relationships/theme" Target="theme/theme1.xml" Id="rId131" /><Relationship Type="http://schemas.openxmlformats.org/officeDocument/2006/relationships/hyperlink" Target="https://apvma.gov.au/node/38656" TargetMode="External" Id="rId61" /><Relationship Type="http://schemas.openxmlformats.org/officeDocument/2006/relationships/hyperlink" Target="https://apvma.gov.au/node/38656" TargetMode="External" Id="rId82" /><Relationship Type="http://schemas.openxmlformats.org/officeDocument/2006/relationships/customXml" Target="/customXML/item3.xml" Id="R0b4fb146bf8f4700"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Publications%20Template%20(7).dotx"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62C2A91-1FAA-4B2E-8902-C5B899CA1A69}" type="doc">
      <dgm:prSet loTypeId="urn:microsoft.com/office/officeart/2005/8/layout/funnel1" loCatId="relationship" qsTypeId="urn:microsoft.com/office/officeart/2005/8/quickstyle/simple1" qsCatId="simple" csTypeId="urn:microsoft.com/office/officeart/2005/8/colors/colorful1" csCatId="colorful" phldr="1"/>
      <dgm:spPr/>
      <dgm:t>
        <a:bodyPr/>
        <a:lstStyle/>
        <a:p>
          <a:endParaRPr lang="en-AU"/>
        </a:p>
      </dgm:t>
    </dgm:pt>
    <dgm:pt modelId="{78E8CEA4-8D0E-456A-BD7E-501394234FAB}">
      <dgm:prSet phldrT="[Text]">
        <dgm:style>
          <a:lnRef idx="3">
            <a:schemeClr val="lt1"/>
          </a:lnRef>
          <a:fillRef idx="1">
            <a:schemeClr val="accent2"/>
          </a:fillRef>
          <a:effectRef idx="1">
            <a:schemeClr val="accent2"/>
          </a:effectRef>
          <a:fontRef idx="minor">
            <a:schemeClr val="lt1"/>
          </a:fontRef>
        </dgm:style>
      </dgm:prSet>
      <dgm:spPr>
        <a:xfrm>
          <a:off x="2844990" y="202425"/>
          <a:ext cx="900112" cy="900112"/>
        </a:xfrm>
        <a:ln/>
      </dgm:spPr>
      <dgm:t>
        <a:bodyPr/>
        <a:lstStyle/>
        <a:p>
          <a:r>
            <a:rPr lang="en-AU">
              <a:solidFill>
                <a:schemeClr val="bg1">
                  <a:lumMod val="20000"/>
                  <a:lumOff val="80000"/>
                </a:schemeClr>
              </a:solidFill>
              <a:latin typeface="Calibri" panose="020F0502020204030204"/>
              <a:ea typeface="+mn-ea"/>
              <a:cs typeface="+mn-cs"/>
            </a:rPr>
            <a:t>Regulatory Acceptable Levels (RALs)</a:t>
          </a:r>
        </a:p>
      </dgm:t>
    </dgm:pt>
    <dgm:pt modelId="{B84EAAFD-B658-45B8-97A3-025B84F0FBA3}" type="parTrans" cxnId="{7287C7A2-8987-4E3F-8D90-9C67FAA9C7F9}">
      <dgm:prSet/>
      <dgm:spPr/>
      <dgm:t>
        <a:bodyPr/>
        <a:lstStyle/>
        <a:p>
          <a:endParaRPr lang="en-AU"/>
        </a:p>
      </dgm:t>
    </dgm:pt>
    <dgm:pt modelId="{86E477BB-971F-4589-8657-9631AB1C9200}" type="sibTrans" cxnId="{7287C7A2-8987-4E3F-8D90-9C67FAA9C7F9}">
      <dgm:prSet/>
      <dgm:spPr/>
      <dgm:t>
        <a:bodyPr/>
        <a:lstStyle/>
        <a:p>
          <a:endParaRPr lang="en-AU"/>
        </a:p>
      </dgm:t>
    </dgm:pt>
    <dgm:pt modelId="{07CEE496-72D1-438C-B6BF-661F7C696658}">
      <dgm:prSet phldrT="[Text]">
        <dgm:style>
          <a:lnRef idx="3">
            <a:schemeClr val="lt1"/>
          </a:lnRef>
          <a:fillRef idx="1">
            <a:schemeClr val="accent2"/>
          </a:fillRef>
          <a:effectRef idx="1">
            <a:schemeClr val="accent2"/>
          </a:effectRef>
          <a:fontRef idx="minor">
            <a:schemeClr val="lt1"/>
          </a:fontRef>
        </dgm:style>
      </dgm:prSet>
      <dgm:spPr>
        <a:xfrm>
          <a:off x="1924875" y="420052"/>
          <a:ext cx="900112" cy="900112"/>
        </a:xfrm>
        <a:ln/>
      </dgm:spPr>
      <dgm:t>
        <a:bodyPr/>
        <a:lstStyle/>
        <a:p>
          <a:r>
            <a:rPr lang="en-AU">
              <a:solidFill>
                <a:schemeClr val="bg1">
                  <a:lumMod val="20000"/>
                  <a:lumOff val="80000"/>
                </a:schemeClr>
              </a:solidFill>
              <a:latin typeface="Calibri" panose="020F0502020204030204"/>
              <a:ea typeface="+mn-ea"/>
              <a:cs typeface="+mn-cs"/>
            </a:rPr>
            <a:t>Proposed label use instructions</a:t>
          </a:r>
        </a:p>
      </dgm:t>
    </dgm:pt>
    <dgm:pt modelId="{49331D0C-BC84-4D68-A1AF-6871B73C153A}" type="parTrans" cxnId="{B5AD39B9-746C-408C-878B-9D1F7EFCD753}">
      <dgm:prSet/>
      <dgm:spPr/>
      <dgm:t>
        <a:bodyPr/>
        <a:lstStyle/>
        <a:p>
          <a:endParaRPr lang="en-AU"/>
        </a:p>
      </dgm:t>
    </dgm:pt>
    <dgm:pt modelId="{9602240F-4975-4184-894E-160088E12008}" type="sibTrans" cxnId="{B5AD39B9-746C-408C-878B-9D1F7EFCD753}">
      <dgm:prSet/>
      <dgm:spPr/>
      <dgm:t>
        <a:bodyPr/>
        <a:lstStyle/>
        <a:p>
          <a:endParaRPr lang="en-AU"/>
        </a:p>
      </dgm:t>
    </dgm:pt>
    <dgm:pt modelId="{255606FD-31BE-4FA0-AEDC-28D88A84393B}">
      <dgm:prSet phldrT="[Text]">
        <dgm:style>
          <a:lnRef idx="3">
            <a:schemeClr val="lt1"/>
          </a:lnRef>
          <a:fillRef idx="1">
            <a:schemeClr val="accent2"/>
          </a:fillRef>
          <a:effectRef idx="1">
            <a:schemeClr val="accent2"/>
          </a:effectRef>
          <a:fontRef idx="minor">
            <a:schemeClr val="lt1"/>
          </a:fontRef>
        </dgm:style>
      </dgm:prSet>
      <dgm:spPr>
        <a:xfrm>
          <a:off x="2568955" y="1095336"/>
          <a:ext cx="900112" cy="900112"/>
        </a:xfrm>
        <a:ln/>
      </dgm:spPr>
      <dgm:t>
        <a:bodyPr/>
        <a:lstStyle/>
        <a:p>
          <a:r>
            <a:rPr lang="en-AU">
              <a:solidFill>
                <a:schemeClr val="bg1">
                  <a:lumMod val="20000"/>
                  <a:lumOff val="80000"/>
                </a:schemeClr>
              </a:solidFill>
              <a:latin typeface="Calibri" panose="020F0502020204030204"/>
              <a:ea typeface="+mn-ea"/>
              <a:cs typeface="+mn-cs"/>
            </a:rPr>
            <a:t>Deposition curves</a:t>
          </a:r>
        </a:p>
      </dgm:t>
    </dgm:pt>
    <dgm:pt modelId="{FB8922F4-E039-4359-AE14-E83CBAC72A39}" type="parTrans" cxnId="{ABA659A7-6B16-408A-9D2A-64721C22D309}">
      <dgm:prSet/>
      <dgm:spPr/>
      <dgm:t>
        <a:bodyPr/>
        <a:lstStyle/>
        <a:p>
          <a:endParaRPr lang="en-AU"/>
        </a:p>
      </dgm:t>
    </dgm:pt>
    <dgm:pt modelId="{8E26173E-7848-488A-A803-3A6A0C45DD9F}" type="sibTrans" cxnId="{ABA659A7-6B16-408A-9D2A-64721C22D309}">
      <dgm:prSet/>
      <dgm:spPr/>
      <dgm:t>
        <a:bodyPr/>
        <a:lstStyle/>
        <a:p>
          <a:endParaRPr lang="en-AU"/>
        </a:p>
      </dgm:t>
    </dgm:pt>
    <dgm:pt modelId="{A2EF91F1-B826-4198-A1CD-A5443BF7B192}">
      <dgm:prSet phldrT="[Text]"/>
      <dgm:spPr>
        <a:xfrm>
          <a:off x="1724849" y="2580322"/>
          <a:ext cx="2400300" cy="600075"/>
        </a:xfrm>
        <a:noFill/>
        <a:ln>
          <a:noFill/>
        </a:ln>
        <a:effectLst/>
      </dgm:spPr>
      <dgm:t>
        <a:bodyPr/>
        <a:lstStyle/>
        <a:p>
          <a:r>
            <a:rPr lang="en-AU">
              <a:solidFill>
                <a:srgbClr val="353735">
                  <a:hueOff val="0"/>
                  <a:satOff val="0"/>
                  <a:lumOff val="0"/>
                  <a:alphaOff val="0"/>
                </a:srgbClr>
              </a:solidFill>
              <a:latin typeface="Calibri" panose="020F0502020204030204"/>
              <a:ea typeface="+mn-ea"/>
              <a:cs typeface="+mn-cs"/>
            </a:rPr>
            <a:t>Buffer zone</a:t>
          </a:r>
        </a:p>
      </dgm:t>
    </dgm:pt>
    <dgm:pt modelId="{488B64D2-640E-4D6D-8885-EFD42FE980F5}" type="parTrans" cxnId="{25C621A2-F29D-48AD-82FB-04A8E432D6A2}">
      <dgm:prSet/>
      <dgm:spPr/>
      <dgm:t>
        <a:bodyPr/>
        <a:lstStyle/>
        <a:p>
          <a:endParaRPr lang="en-AU"/>
        </a:p>
      </dgm:t>
    </dgm:pt>
    <dgm:pt modelId="{6A73CBE6-55DB-4C2F-A509-E9B5382D68A2}" type="sibTrans" cxnId="{25C621A2-F29D-48AD-82FB-04A8E432D6A2}">
      <dgm:prSet/>
      <dgm:spPr/>
      <dgm:t>
        <a:bodyPr/>
        <a:lstStyle/>
        <a:p>
          <a:endParaRPr lang="en-AU"/>
        </a:p>
      </dgm:t>
    </dgm:pt>
    <dgm:pt modelId="{DB15BA03-2EA9-49C5-9E9B-956769557826}" type="pres">
      <dgm:prSet presAssocID="{262C2A91-1FAA-4B2E-8902-C5B899CA1A69}" presName="Name0" presStyleCnt="0">
        <dgm:presLayoutVars>
          <dgm:chMax val="4"/>
          <dgm:resizeHandles val="exact"/>
        </dgm:presLayoutVars>
      </dgm:prSet>
      <dgm:spPr/>
      <dgm:t>
        <a:bodyPr/>
        <a:lstStyle/>
        <a:p>
          <a:endParaRPr lang="en-AU"/>
        </a:p>
      </dgm:t>
    </dgm:pt>
    <dgm:pt modelId="{D0F62DEF-C7BC-4718-B252-DA57AEC911CF}" type="pres">
      <dgm:prSet presAssocID="{262C2A91-1FAA-4B2E-8902-C5B899CA1A69}" presName="ellipse" presStyleLbl="trBgShp" presStyleIdx="0" presStyleCnt="1" custLinFactNeighborX="-2584" custLinFactNeighborY="-3189"/>
      <dgm:spPr>
        <a:xfrm>
          <a:off x="1630838" y="130016"/>
          <a:ext cx="2580322" cy="896112"/>
        </a:xfrm>
        <a:prstGeom prst="ellipse">
          <a:avLst/>
        </a:prstGeom>
        <a:solidFill>
          <a:srgbClr val="B9C9D0">
            <a:tint val="50000"/>
            <a:alpha val="40000"/>
            <a:hueOff val="0"/>
            <a:satOff val="0"/>
            <a:lumOff val="0"/>
            <a:alphaOff val="0"/>
          </a:srgbClr>
        </a:solidFill>
        <a:ln>
          <a:noFill/>
        </a:ln>
        <a:effectLst/>
      </dgm:spPr>
      <dgm:t>
        <a:bodyPr/>
        <a:lstStyle/>
        <a:p>
          <a:endParaRPr lang="en-AU"/>
        </a:p>
      </dgm:t>
    </dgm:pt>
    <dgm:pt modelId="{33CFA2DB-D73B-4EED-99C2-F36B77E10F02}" type="pres">
      <dgm:prSet presAssocID="{262C2A91-1FAA-4B2E-8902-C5B899CA1A69}" presName="arrow1" presStyleLbl="fgShp" presStyleIdx="0" presStyleCnt="1"/>
      <dgm:spPr>
        <a:xfrm>
          <a:off x="2674968" y="2324290"/>
          <a:ext cx="500062" cy="320040"/>
        </a:xfrm>
        <a:prstGeom prst="downArrow">
          <a:avLst/>
        </a:prstGeom>
        <a:solidFill>
          <a:srgbClr val="53682B">
            <a:tint val="40000"/>
            <a:hueOff val="0"/>
            <a:satOff val="0"/>
            <a:lumOff val="0"/>
            <a:alphaOff val="0"/>
          </a:srgbClr>
        </a:solidFill>
        <a:ln w="12700" cap="flat" cmpd="sng" algn="ctr">
          <a:solidFill>
            <a:srgbClr val="EAAB00">
              <a:hueOff val="0"/>
              <a:satOff val="0"/>
              <a:lumOff val="0"/>
              <a:alphaOff val="0"/>
            </a:srgbClr>
          </a:solidFill>
          <a:prstDash val="solid"/>
          <a:miter lim="800000"/>
        </a:ln>
        <a:effectLst/>
      </dgm:spPr>
      <dgm:t>
        <a:bodyPr/>
        <a:lstStyle/>
        <a:p>
          <a:endParaRPr lang="en-AU"/>
        </a:p>
      </dgm:t>
    </dgm:pt>
    <dgm:pt modelId="{2D10A75A-2359-4D71-945C-127A79BCDFBB}" type="pres">
      <dgm:prSet presAssocID="{262C2A91-1FAA-4B2E-8902-C5B899CA1A69}" presName="rectangle" presStyleLbl="revTx" presStyleIdx="0" presStyleCnt="1">
        <dgm:presLayoutVars>
          <dgm:bulletEnabled val="1"/>
        </dgm:presLayoutVars>
      </dgm:prSet>
      <dgm:spPr>
        <a:prstGeom prst="rect">
          <a:avLst/>
        </a:prstGeom>
      </dgm:spPr>
      <dgm:t>
        <a:bodyPr/>
        <a:lstStyle/>
        <a:p>
          <a:endParaRPr lang="en-AU"/>
        </a:p>
      </dgm:t>
    </dgm:pt>
    <dgm:pt modelId="{1D7CCE2C-7397-4537-B25A-617505A27CAA}" type="pres">
      <dgm:prSet presAssocID="{07CEE496-72D1-438C-B6BF-661F7C696658}" presName="item1" presStyleLbl="node1" presStyleIdx="0" presStyleCnt="3">
        <dgm:presLayoutVars>
          <dgm:bulletEnabled val="1"/>
        </dgm:presLayoutVars>
      </dgm:prSet>
      <dgm:spPr>
        <a:prstGeom prst="ellipse">
          <a:avLst/>
        </a:prstGeom>
      </dgm:spPr>
      <dgm:t>
        <a:bodyPr/>
        <a:lstStyle/>
        <a:p>
          <a:endParaRPr lang="en-AU"/>
        </a:p>
      </dgm:t>
    </dgm:pt>
    <dgm:pt modelId="{0631C31F-8300-4B35-8F5B-637B3D14DBA7}" type="pres">
      <dgm:prSet presAssocID="{255606FD-31BE-4FA0-AEDC-28D88A84393B}" presName="item2" presStyleLbl="node1" presStyleIdx="1" presStyleCnt="3" custLinFactNeighborX="7407" custLinFactNeighborY="-25397">
        <dgm:presLayoutVars>
          <dgm:bulletEnabled val="1"/>
        </dgm:presLayoutVars>
      </dgm:prSet>
      <dgm:spPr>
        <a:prstGeom prst="ellipse">
          <a:avLst/>
        </a:prstGeom>
      </dgm:spPr>
      <dgm:t>
        <a:bodyPr/>
        <a:lstStyle/>
        <a:p>
          <a:endParaRPr lang="en-AU"/>
        </a:p>
      </dgm:t>
    </dgm:pt>
    <dgm:pt modelId="{847E7F0A-15AB-45AE-93FE-C38D2AF5C0F2}" type="pres">
      <dgm:prSet presAssocID="{A2EF91F1-B826-4198-A1CD-A5443BF7B192}" presName="item3" presStyleLbl="node1" presStyleIdx="2" presStyleCnt="3" custLinFactNeighborX="17989">
        <dgm:presLayoutVars>
          <dgm:bulletEnabled val="1"/>
        </dgm:presLayoutVars>
      </dgm:prSet>
      <dgm:spPr>
        <a:prstGeom prst="ellipse">
          <a:avLst/>
        </a:prstGeom>
      </dgm:spPr>
      <dgm:t>
        <a:bodyPr/>
        <a:lstStyle/>
        <a:p>
          <a:endParaRPr lang="en-AU"/>
        </a:p>
      </dgm:t>
    </dgm:pt>
    <dgm:pt modelId="{809B8479-0544-4E55-A5E6-F2AE0ADA8DA3}" type="pres">
      <dgm:prSet presAssocID="{262C2A91-1FAA-4B2E-8902-C5B899CA1A69}" presName="funnel" presStyleLbl="trAlignAcc1" presStyleIdx="0" presStyleCnt="1" custLinFactNeighborX="1020" custLinFactNeighborY="-893"/>
      <dgm:spPr>
        <a:xfrm>
          <a:off x="1534346" y="39044"/>
          <a:ext cx="2800350" cy="2240280"/>
        </a:xfrm>
        <a:prstGeom prst="funnel">
          <a:avLst/>
        </a:prstGeom>
        <a:solidFill>
          <a:srgbClr val="EAAB00">
            <a:alpha val="40000"/>
            <a:hueOff val="0"/>
            <a:satOff val="0"/>
            <a:lumOff val="0"/>
            <a:alphaOff val="0"/>
          </a:srgbClr>
        </a:solidFill>
        <a:ln w="6350" cap="flat" cmpd="sng" algn="ctr">
          <a:solidFill>
            <a:srgbClr val="B9C9D0">
              <a:hueOff val="0"/>
              <a:satOff val="0"/>
              <a:lumOff val="0"/>
              <a:alphaOff val="0"/>
            </a:srgbClr>
          </a:solidFill>
          <a:prstDash val="solid"/>
          <a:miter lim="800000"/>
        </a:ln>
        <a:effectLst/>
      </dgm:spPr>
      <dgm:t>
        <a:bodyPr/>
        <a:lstStyle/>
        <a:p>
          <a:endParaRPr lang="en-AU"/>
        </a:p>
      </dgm:t>
    </dgm:pt>
  </dgm:ptLst>
  <dgm:cxnLst>
    <dgm:cxn modelId="{25C621A2-F29D-48AD-82FB-04A8E432D6A2}" srcId="{262C2A91-1FAA-4B2E-8902-C5B899CA1A69}" destId="{A2EF91F1-B826-4198-A1CD-A5443BF7B192}" srcOrd="3" destOrd="0" parTransId="{488B64D2-640E-4D6D-8885-EFD42FE980F5}" sibTransId="{6A73CBE6-55DB-4C2F-A509-E9B5382D68A2}"/>
    <dgm:cxn modelId="{7287C7A2-8987-4E3F-8D90-9C67FAA9C7F9}" srcId="{262C2A91-1FAA-4B2E-8902-C5B899CA1A69}" destId="{78E8CEA4-8D0E-456A-BD7E-501394234FAB}" srcOrd="0" destOrd="0" parTransId="{B84EAAFD-B658-45B8-97A3-025B84F0FBA3}" sibTransId="{86E477BB-971F-4589-8657-9631AB1C9200}"/>
    <dgm:cxn modelId="{48C74867-F94F-4575-B7EE-127229CE8627}" type="presOf" srcId="{255606FD-31BE-4FA0-AEDC-28D88A84393B}" destId="{1D7CCE2C-7397-4537-B25A-617505A27CAA}" srcOrd="0" destOrd="0" presId="urn:microsoft.com/office/officeart/2005/8/layout/funnel1"/>
    <dgm:cxn modelId="{28155CDB-AA84-4D2E-9211-596750327564}" type="presOf" srcId="{A2EF91F1-B826-4198-A1CD-A5443BF7B192}" destId="{2D10A75A-2359-4D71-945C-127A79BCDFBB}" srcOrd="0" destOrd="0" presId="urn:microsoft.com/office/officeart/2005/8/layout/funnel1"/>
    <dgm:cxn modelId="{ABA659A7-6B16-408A-9D2A-64721C22D309}" srcId="{262C2A91-1FAA-4B2E-8902-C5B899CA1A69}" destId="{255606FD-31BE-4FA0-AEDC-28D88A84393B}" srcOrd="2" destOrd="0" parTransId="{FB8922F4-E039-4359-AE14-E83CBAC72A39}" sibTransId="{8E26173E-7848-488A-A803-3A6A0C45DD9F}"/>
    <dgm:cxn modelId="{B5AD39B9-746C-408C-878B-9D1F7EFCD753}" srcId="{262C2A91-1FAA-4B2E-8902-C5B899CA1A69}" destId="{07CEE496-72D1-438C-B6BF-661F7C696658}" srcOrd="1" destOrd="0" parTransId="{49331D0C-BC84-4D68-A1AF-6871B73C153A}" sibTransId="{9602240F-4975-4184-894E-160088E12008}"/>
    <dgm:cxn modelId="{E487DCE5-3428-4AF9-B17B-4DDE170762FA}" type="presOf" srcId="{78E8CEA4-8D0E-456A-BD7E-501394234FAB}" destId="{847E7F0A-15AB-45AE-93FE-C38D2AF5C0F2}" srcOrd="0" destOrd="0" presId="urn:microsoft.com/office/officeart/2005/8/layout/funnel1"/>
    <dgm:cxn modelId="{1F6FCF29-9681-4DC4-A2EC-DD8F4535B5C0}" type="presOf" srcId="{262C2A91-1FAA-4B2E-8902-C5B899CA1A69}" destId="{DB15BA03-2EA9-49C5-9E9B-956769557826}" srcOrd="0" destOrd="0" presId="urn:microsoft.com/office/officeart/2005/8/layout/funnel1"/>
    <dgm:cxn modelId="{C0FE4085-73A7-409E-BE2C-410E63EF694A}" type="presOf" srcId="{07CEE496-72D1-438C-B6BF-661F7C696658}" destId="{0631C31F-8300-4B35-8F5B-637B3D14DBA7}" srcOrd="0" destOrd="0" presId="urn:microsoft.com/office/officeart/2005/8/layout/funnel1"/>
    <dgm:cxn modelId="{5AC5EB99-D4DB-47D2-8CE4-CA602D45C637}" type="presParOf" srcId="{DB15BA03-2EA9-49C5-9E9B-956769557826}" destId="{D0F62DEF-C7BC-4718-B252-DA57AEC911CF}" srcOrd="0" destOrd="0" presId="urn:microsoft.com/office/officeart/2005/8/layout/funnel1"/>
    <dgm:cxn modelId="{828A78A9-55C2-4971-A320-5C08D4EFCEF4}" type="presParOf" srcId="{DB15BA03-2EA9-49C5-9E9B-956769557826}" destId="{33CFA2DB-D73B-4EED-99C2-F36B77E10F02}" srcOrd="1" destOrd="0" presId="urn:microsoft.com/office/officeart/2005/8/layout/funnel1"/>
    <dgm:cxn modelId="{0661F799-F652-4DA8-9219-FB311FA162EF}" type="presParOf" srcId="{DB15BA03-2EA9-49C5-9E9B-956769557826}" destId="{2D10A75A-2359-4D71-945C-127A79BCDFBB}" srcOrd="2" destOrd="0" presId="urn:microsoft.com/office/officeart/2005/8/layout/funnel1"/>
    <dgm:cxn modelId="{AC74A684-591F-404E-B29C-09AA09FD6CE0}" type="presParOf" srcId="{DB15BA03-2EA9-49C5-9E9B-956769557826}" destId="{1D7CCE2C-7397-4537-B25A-617505A27CAA}" srcOrd="3" destOrd="0" presId="urn:microsoft.com/office/officeart/2005/8/layout/funnel1"/>
    <dgm:cxn modelId="{D7C9DFF9-E282-4E17-9683-922A7675A600}" type="presParOf" srcId="{DB15BA03-2EA9-49C5-9E9B-956769557826}" destId="{0631C31F-8300-4B35-8F5B-637B3D14DBA7}" srcOrd="4" destOrd="0" presId="urn:microsoft.com/office/officeart/2005/8/layout/funnel1"/>
    <dgm:cxn modelId="{5B98804A-0EA6-4E5C-8A12-13B752CBF980}" type="presParOf" srcId="{DB15BA03-2EA9-49C5-9E9B-956769557826}" destId="{847E7F0A-15AB-45AE-93FE-C38D2AF5C0F2}" srcOrd="5" destOrd="0" presId="urn:microsoft.com/office/officeart/2005/8/layout/funnel1"/>
    <dgm:cxn modelId="{28D9C507-9EDE-4D7D-8169-7A4F609B4EB2}" type="presParOf" srcId="{DB15BA03-2EA9-49C5-9E9B-956769557826}" destId="{809B8479-0544-4E55-A5E6-F2AE0ADA8DA3}" srcOrd="6" destOrd="0" presId="urn:microsoft.com/office/officeart/2005/8/layout/funnel1"/>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F62DEF-C7BC-4718-B252-DA57AEC911CF}">
      <dsp:nvSpPr>
        <dsp:cNvPr id="0" name=""/>
        <dsp:cNvSpPr/>
      </dsp:nvSpPr>
      <dsp:spPr>
        <a:xfrm>
          <a:off x="1564162" y="101439"/>
          <a:ext cx="2580322" cy="896112"/>
        </a:xfrm>
        <a:prstGeom prst="ellipse">
          <a:avLst/>
        </a:prstGeom>
        <a:solidFill>
          <a:srgbClr val="B9C9D0">
            <a:tint val="50000"/>
            <a:alpha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33CFA2DB-D73B-4EED-99C2-F36B77E10F02}">
      <dsp:nvSpPr>
        <dsp:cNvPr id="0" name=""/>
        <dsp:cNvSpPr/>
      </dsp:nvSpPr>
      <dsp:spPr>
        <a:xfrm>
          <a:off x="2674968" y="2324290"/>
          <a:ext cx="500062" cy="320040"/>
        </a:xfrm>
        <a:prstGeom prst="downArrow">
          <a:avLst/>
        </a:prstGeom>
        <a:solidFill>
          <a:srgbClr val="53682B">
            <a:tint val="40000"/>
            <a:hueOff val="0"/>
            <a:satOff val="0"/>
            <a:lumOff val="0"/>
            <a:alphaOff val="0"/>
          </a:srgbClr>
        </a:solidFill>
        <a:ln w="12700" cap="flat" cmpd="sng" algn="ctr">
          <a:solidFill>
            <a:srgbClr val="EAAB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2D10A75A-2359-4D71-945C-127A79BCDFBB}">
      <dsp:nvSpPr>
        <dsp:cNvPr id="0" name=""/>
        <dsp:cNvSpPr/>
      </dsp:nvSpPr>
      <dsp:spPr>
        <a:xfrm>
          <a:off x="1724849" y="2580322"/>
          <a:ext cx="2400300" cy="6000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49352" tIns="149352" rIns="149352" bIns="149352" numCol="1" spcCol="1270" anchor="ctr" anchorCtr="0">
          <a:noAutofit/>
        </a:bodyPr>
        <a:lstStyle/>
        <a:p>
          <a:pPr lvl="0" algn="ctr" defTabSz="933450">
            <a:lnSpc>
              <a:spcPct val="90000"/>
            </a:lnSpc>
            <a:spcBef>
              <a:spcPct val="0"/>
            </a:spcBef>
            <a:spcAft>
              <a:spcPct val="35000"/>
            </a:spcAft>
          </a:pPr>
          <a:r>
            <a:rPr lang="en-AU" sz="2100" kern="1200">
              <a:solidFill>
                <a:srgbClr val="353735">
                  <a:hueOff val="0"/>
                  <a:satOff val="0"/>
                  <a:lumOff val="0"/>
                  <a:alphaOff val="0"/>
                </a:srgbClr>
              </a:solidFill>
              <a:latin typeface="Calibri" panose="020F0502020204030204"/>
              <a:ea typeface="+mn-ea"/>
              <a:cs typeface="+mn-cs"/>
            </a:rPr>
            <a:t>Buffer zone</a:t>
          </a:r>
        </a:p>
      </dsp:txBody>
      <dsp:txXfrm>
        <a:off x="1724849" y="2580322"/>
        <a:ext cx="2400300" cy="600075"/>
      </dsp:txXfrm>
    </dsp:sp>
    <dsp:sp modelId="{1D7CCE2C-7397-4537-B25A-617505A27CAA}">
      <dsp:nvSpPr>
        <dsp:cNvPr id="0" name=""/>
        <dsp:cNvSpPr/>
      </dsp:nvSpPr>
      <dsp:spPr>
        <a:xfrm>
          <a:off x="2568955" y="1095336"/>
          <a:ext cx="900112" cy="900112"/>
        </a:xfrm>
        <a:prstGeom prst="ellipse">
          <a:avLst/>
        </a:prstGeom>
        <a:solidFill>
          <a:schemeClr val="accent2"/>
        </a:solidFill>
        <a:ln w="19050" cap="flat" cmpd="sng" algn="ctr">
          <a:solidFill>
            <a:schemeClr val="lt1"/>
          </a:solidFill>
          <a:prstDash val="solid"/>
          <a:miter lim="800000"/>
        </a:ln>
        <a:effectLst/>
      </dsp:spPr>
      <dsp:style>
        <a:lnRef idx="3">
          <a:schemeClr val="lt1"/>
        </a:lnRef>
        <a:fillRef idx="1">
          <a:schemeClr val="accent2"/>
        </a:fillRef>
        <a:effectRef idx="1">
          <a:schemeClr val="accent2"/>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AU" sz="1000" kern="1200">
              <a:solidFill>
                <a:schemeClr val="bg1">
                  <a:lumMod val="20000"/>
                  <a:lumOff val="80000"/>
                </a:schemeClr>
              </a:solidFill>
              <a:latin typeface="Calibri" panose="020F0502020204030204"/>
              <a:ea typeface="+mn-ea"/>
              <a:cs typeface="+mn-cs"/>
            </a:rPr>
            <a:t>Deposition curves</a:t>
          </a:r>
        </a:p>
      </dsp:txBody>
      <dsp:txXfrm>
        <a:off x="2700773" y="1227154"/>
        <a:ext cx="636476" cy="636476"/>
      </dsp:txXfrm>
    </dsp:sp>
    <dsp:sp modelId="{0631C31F-8300-4B35-8F5B-637B3D14DBA7}">
      <dsp:nvSpPr>
        <dsp:cNvPr id="0" name=""/>
        <dsp:cNvSpPr/>
      </dsp:nvSpPr>
      <dsp:spPr>
        <a:xfrm>
          <a:off x="1991546" y="191450"/>
          <a:ext cx="900112" cy="900112"/>
        </a:xfrm>
        <a:prstGeom prst="ellipse">
          <a:avLst/>
        </a:prstGeom>
        <a:solidFill>
          <a:schemeClr val="accent2"/>
        </a:solidFill>
        <a:ln w="19050" cap="flat" cmpd="sng" algn="ctr">
          <a:solidFill>
            <a:schemeClr val="lt1"/>
          </a:solidFill>
          <a:prstDash val="solid"/>
          <a:miter lim="800000"/>
        </a:ln>
        <a:effectLst/>
      </dsp:spPr>
      <dsp:style>
        <a:lnRef idx="3">
          <a:schemeClr val="lt1"/>
        </a:lnRef>
        <a:fillRef idx="1">
          <a:schemeClr val="accent2"/>
        </a:fillRef>
        <a:effectRef idx="1">
          <a:schemeClr val="accent2"/>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AU" sz="1000" kern="1200">
              <a:solidFill>
                <a:schemeClr val="bg1">
                  <a:lumMod val="20000"/>
                  <a:lumOff val="80000"/>
                </a:schemeClr>
              </a:solidFill>
              <a:latin typeface="Calibri" panose="020F0502020204030204"/>
              <a:ea typeface="+mn-ea"/>
              <a:cs typeface="+mn-cs"/>
            </a:rPr>
            <a:t>Proposed label use instructions</a:t>
          </a:r>
        </a:p>
      </dsp:txBody>
      <dsp:txXfrm>
        <a:off x="2123364" y="323268"/>
        <a:ext cx="636476" cy="636476"/>
      </dsp:txXfrm>
    </dsp:sp>
    <dsp:sp modelId="{847E7F0A-15AB-45AE-93FE-C38D2AF5C0F2}">
      <dsp:nvSpPr>
        <dsp:cNvPr id="0" name=""/>
        <dsp:cNvSpPr/>
      </dsp:nvSpPr>
      <dsp:spPr>
        <a:xfrm>
          <a:off x="3006911" y="202425"/>
          <a:ext cx="900112" cy="900112"/>
        </a:xfrm>
        <a:prstGeom prst="ellipse">
          <a:avLst/>
        </a:prstGeom>
        <a:solidFill>
          <a:schemeClr val="accent2"/>
        </a:solidFill>
        <a:ln w="19050" cap="flat" cmpd="sng" algn="ctr">
          <a:solidFill>
            <a:schemeClr val="lt1"/>
          </a:solidFill>
          <a:prstDash val="solid"/>
          <a:miter lim="800000"/>
        </a:ln>
        <a:effectLst/>
      </dsp:spPr>
      <dsp:style>
        <a:lnRef idx="3">
          <a:schemeClr val="lt1"/>
        </a:lnRef>
        <a:fillRef idx="1">
          <a:schemeClr val="accent2"/>
        </a:fillRef>
        <a:effectRef idx="1">
          <a:schemeClr val="accent2"/>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AU" sz="1000" kern="1200">
              <a:solidFill>
                <a:schemeClr val="bg1">
                  <a:lumMod val="20000"/>
                  <a:lumOff val="80000"/>
                </a:schemeClr>
              </a:solidFill>
              <a:latin typeface="Calibri" panose="020F0502020204030204"/>
              <a:ea typeface="+mn-ea"/>
              <a:cs typeface="+mn-cs"/>
            </a:rPr>
            <a:t>Regulatory Acceptable Levels (RALs)</a:t>
          </a:r>
        </a:p>
      </dsp:txBody>
      <dsp:txXfrm>
        <a:off x="3138729" y="334243"/>
        <a:ext cx="636476" cy="636476"/>
      </dsp:txXfrm>
    </dsp:sp>
    <dsp:sp modelId="{809B8479-0544-4E55-A5E6-F2AE0ADA8DA3}">
      <dsp:nvSpPr>
        <dsp:cNvPr id="0" name=""/>
        <dsp:cNvSpPr/>
      </dsp:nvSpPr>
      <dsp:spPr>
        <a:xfrm>
          <a:off x="1553388" y="0"/>
          <a:ext cx="2800350" cy="2240280"/>
        </a:xfrm>
        <a:prstGeom prst="funnel">
          <a:avLst/>
        </a:prstGeom>
        <a:solidFill>
          <a:srgbClr val="EAAB00">
            <a:alpha val="40000"/>
            <a:hueOff val="0"/>
            <a:satOff val="0"/>
            <a:lumOff val="0"/>
            <a:alphaOff val="0"/>
          </a:srgbClr>
        </a:solidFill>
        <a:ln w="6350" cap="flat" cmpd="sng" algn="ctr">
          <a:solidFill>
            <a:srgbClr val="B9C9D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funnel1">
  <dgm:title val=""/>
  <dgm:desc val=""/>
  <dgm:catLst>
    <dgm:cat type="relationship" pri="2000"/>
    <dgm:cat type="process" pri="27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4"/>
      <dgm:resizeHandles val="exact"/>
    </dgm:varLst>
    <dgm:alg type="composite">
      <dgm:param type="ar" val="1.25"/>
    </dgm:alg>
    <dgm:shape xmlns:r="http://schemas.openxmlformats.org/officeDocument/2006/relationships" r:blip="">
      <dgm:adjLst/>
    </dgm:shape>
    <dgm:presOf/>
    <dgm:choose name="Name1">
      <dgm:if name="Name2" axis="ch" ptType="node" func="cnt" op="equ" val="2">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w" for="ch" forName="item1" refType="w" fact="0.35"/>
          <dgm:constr type="h" for="ch" forName="item1" refType="w" fact="0.35"/>
          <dgm:constr type="t" for="ch" forName="item1" refType="h" fact="0.05"/>
          <dgm:constr type="l" for="ch" forName="item1" refType="w" fact="0.125"/>
          <dgm:constr type="primFontSz" for="ch" forName="item1" op="equ" val="65"/>
          <dgm:constr type="w" for="ch" forName="funnel" refType="w" fact="0.7"/>
          <dgm:constr type="h" for="ch" forName="funnel" refType="h" fact="0.7"/>
          <dgm:constr type="t" for="ch" forName="funnel"/>
          <dgm:constr type="l" for="ch" forName="funnel"/>
        </dgm:constrLst>
      </dgm:if>
      <dgm:else name="Name3">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primFontSz" for="ch" forName="rectangle" val="65"/>
          <dgm:constr type="w" for="ch" forName="item1" refType="w" fact="0.225"/>
          <dgm:constr type="h" for="ch" forName="item1" refType="w" fact="0.225"/>
          <dgm:constr type="t" for="ch" forName="item1" refType="h" fact="0.336"/>
          <dgm:constr type="l" for="ch" forName="item1" refType="w" fact="0.261"/>
          <dgm:constr type="primFontSz" for="ch" forName="item1" val="65"/>
          <dgm:constr type="w" for="ch" forName="item2" refType="w" fact="0.225"/>
          <dgm:constr type="h" for="ch" forName="item2" refType="w" fact="0.225"/>
          <dgm:constr type="t" for="ch" forName="item2" refType="h" fact="0.125"/>
          <dgm:constr type="l" for="ch" forName="item2" refType="w" fact="0.1"/>
          <dgm:constr type="primFontSz" for="ch" forName="item2" refType="primFontSz" refFor="ch" refForName="item1" op="equ"/>
          <dgm:constr type="w" for="ch" forName="item3" refType="w" fact="0.225"/>
          <dgm:constr type="h" for="ch" forName="item3" refType="w" fact="0.225"/>
          <dgm:constr type="t" for="ch" forName="item3" refType="h" fact="0.057"/>
          <dgm:constr type="l" for="ch" forName="item3" refType="w" fact="0.33"/>
          <dgm:constr type="primFontSz" for="ch" forName="item3" refType="primFontSz" refFor="ch" refForName="item1" op="equ"/>
          <dgm:constr type="w" for="ch" forName="funnel" refType="w" fact="0.7"/>
          <dgm:constr type="h" for="ch" forName="funnel" refType="h" fact="0.7"/>
          <dgm:constr type="t" for="ch" forName="funnel"/>
          <dgm:constr type="l" for="ch" forName="funnel"/>
        </dgm:constrLst>
      </dgm:else>
    </dgm:choose>
    <dgm:ruleLst/>
    <dgm:choose name="Name4">
      <dgm:if name="Name5" axis="ch" ptType="node" func="cnt" op="gte" val="1">
        <dgm:layoutNode name="ellipse" styleLbl="trBgShp">
          <dgm:alg type="sp"/>
          <dgm:shape xmlns:r="http://schemas.openxmlformats.org/officeDocument/2006/relationships" type="ellipse" r:blip="">
            <dgm:adjLst/>
          </dgm:shape>
          <dgm:presOf/>
          <dgm:constrLst/>
          <dgm:ruleLst/>
        </dgm:layoutNode>
        <dgm:layoutNode name="arrow1" styleLbl="fgShp">
          <dgm:alg type="sp"/>
          <dgm:shape xmlns:r="http://schemas.openxmlformats.org/officeDocument/2006/relationships" type="downArrow" r:blip="">
            <dgm:adjLst/>
          </dgm:shape>
          <dgm:presOf/>
          <dgm:constrLst/>
          <dgm:ruleLst/>
        </dgm:layoutNode>
        <dgm:layoutNode name="rectangle" styleLbl="revTx">
          <dgm:varLst>
            <dgm:bulletEnabled val="1"/>
          </dgm:varLst>
          <dgm:alg type="tx">
            <dgm:param type="txAnchorHorzCh" val="ctr"/>
          </dgm:alg>
          <dgm:shape xmlns:r="http://schemas.openxmlformats.org/officeDocument/2006/relationships" type="rect" r:blip="">
            <dgm:adjLst/>
          </dgm:shape>
          <dgm:choose name="Name6">
            <dgm:if name="Name7" axis="ch" ptType="node" func="cnt" op="equ" val="1">
              <dgm:presOf axis="ch desOrSelf" ptType="node node" st="1 1" cnt="1 0"/>
            </dgm:if>
            <dgm:if name="Name8" axis="ch" ptType="node" func="cnt" op="equ" val="2">
              <dgm:presOf axis="ch desOrSelf" ptType="node node" st="2 1" cnt="1 0"/>
            </dgm:if>
            <dgm:if name="Name9" axis="ch" ptType="node" func="cnt" op="equ" val="3">
              <dgm:presOf axis="ch desOrSelf" ptType="node node" st="3 1" cnt="1 0"/>
            </dgm:if>
            <dgm:else name="Name10">
              <dgm:presOf axis="ch desOrSelf" ptType="node node" st="4 1" cnt="1 0"/>
            </dgm:else>
          </dgm:choose>
          <dgm:constrLst/>
          <dgm:ruleLst>
            <dgm:rule type="primFontSz" val="5" fact="NaN" max="NaN"/>
          </dgm:ruleLst>
        </dgm:layoutNode>
        <dgm:forEach name="Name11" axis="ch" ptType="node" st="2" cnt="1">
          <dgm:layoutNode name="item1" styleLbl="node1">
            <dgm:varLst>
              <dgm:bulletEnabled val="1"/>
            </dgm:varLst>
            <dgm:alg type="tx">
              <dgm:param type="txAnchorVertCh" val="mid"/>
            </dgm:alg>
            <dgm:shape xmlns:r="http://schemas.openxmlformats.org/officeDocument/2006/relationships" type="ellipse" r:blip="">
              <dgm:adjLst/>
            </dgm:shape>
            <dgm:choose name="Name12">
              <dgm:if name="Name13" axis="root ch" ptType="all node" func="cnt" op="equ" val="1">
                <dgm:presOf/>
              </dgm:if>
              <dgm:if name="Name14" axis="root ch" ptType="all node" func="cnt" op="equ" val="2">
                <dgm:presOf axis="root ch desOrSelf" ptType="all node node" st="1 1 1" cnt="0 1 0"/>
              </dgm:if>
              <dgm:if name="Name15" axis="root ch" ptType="all node" func="cnt" op="equ" val="3">
                <dgm:presOf axis="root ch desOrSelf" ptType="all node node" st="1 2 1" cnt="0 1 0"/>
              </dgm:if>
              <dgm:else name="Name16">
                <dgm:presOf axis="root ch desOrSelf" ptType="all node node" st="1 3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17" axis="ch" ptType="node" st="3" cnt="1">
          <dgm:layoutNode name="item2" styleLbl="node1">
            <dgm:varLst>
              <dgm:bulletEnabled val="1"/>
            </dgm:varLst>
            <dgm:alg type="tx">
              <dgm:param type="txAnchorVertCh" val="mid"/>
            </dgm:alg>
            <dgm:shape xmlns:r="http://schemas.openxmlformats.org/officeDocument/2006/relationships" type="ellipse" r:blip="">
              <dgm:adjLst/>
            </dgm:shape>
            <dgm:choose name="Name18">
              <dgm:if name="Name19" axis="root ch" ptType="all node" func="cnt" op="equ" val="1">
                <dgm:presOf/>
              </dgm:if>
              <dgm:if name="Name20" axis="root ch" ptType="all node" func="cnt" op="equ" val="2">
                <dgm:presOf/>
              </dgm:if>
              <dgm:if name="Name21" axis="root ch" ptType="all node" func="cnt" op="equ" val="3">
                <dgm:presOf axis="root ch desOrSelf" ptType="all node node" st="1 1 1" cnt="0 1 0"/>
              </dgm:if>
              <dgm:else name="Name22">
                <dgm:presOf axis="root ch desOrSelf" ptType="all node node" st="1 2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23" axis="ch" ptType="node" st="4" cnt="1">
          <dgm:layoutNode name="item3" styleLbl="node1">
            <dgm:varLst>
              <dgm:bulletEnabled val="1"/>
            </dgm:varLst>
            <dgm:alg type="tx">
              <dgm:param type="txAnchorVertCh" val="mid"/>
            </dgm:alg>
            <dgm:shape xmlns:r="http://schemas.openxmlformats.org/officeDocument/2006/relationships" type="ellipse" r:blip="">
              <dgm:adjLst/>
            </dgm:shape>
            <dgm:choose name="Name24">
              <dgm:if name="Name25" axis="root ch" ptType="all node" func="cnt" op="equ" val="1">
                <dgm:presOf/>
              </dgm:if>
              <dgm:if name="Name26" axis="root ch" ptType="all node" func="cnt" op="equ" val="2">
                <dgm:presOf/>
              </dgm:if>
              <dgm:if name="Name27" axis="root ch" ptType="all node" func="cnt" op="equ" val="3">
                <dgm:presOf/>
              </dgm:if>
              <dgm:else name="Name28">
                <dgm:presOf axis="root ch desOrSelf" ptType="all node node" st="1 1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layoutNode name="funnel" styleLbl="trAlignAcc1">
          <dgm:alg type="sp"/>
          <dgm:shape xmlns:r="http://schemas.openxmlformats.org/officeDocument/2006/relationships" type="funnel" r:blip="">
            <dgm:adjLst/>
          </dgm:shape>
          <dgm:presOf/>
          <dgm:constrLst/>
          <dgm:ruleLst/>
        </dgm:layoutNode>
      </dgm:if>
      <dgm:else name="Name29"/>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A1372445</value>
    </field>
    <field name="Objective-Title">
      <value order="0">spray_drift_risk_assessment_manual</value>
    </field>
    <field name="Objective-Description">
      <value order="0"/>
    </field>
    <field name="Objective-CreationStamp">
      <value order="0">2019-03-04T03:06:29Z</value>
    </field>
    <field name="Objective-IsApproved">
      <value order="0">false</value>
    </field>
    <field name="Objective-IsPublished">
      <value order="0">false</value>
    </field>
    <field name="Objective-DatePublished">
      <value order="0"/>
    </field>
    <field name="Objective-ModificationStamp">
      <value order="0">2019-07-18T01:14:20Z</value>
    </field>
    <field name="Objective-Owner">
      <value order="0">Gary Dorr</value>
    </field>
    <field name="Objective-Path">
      <value order="0">APVMA:OFFICE OF THE CHIEF SCIENTIST:Science and Regulatory Issues:Spray Drift:Spray Drift Project - Development Discussion Papers:SDP - Development - Discussion Papers - Spray Drift Implementation - General Public:Stage 1 - Final version</value>
    </field>
    <field name="Objective-Parent">
      <value order="0">Stage 1 - Final version</value>
    </field>
    <field name="Objective-State">
      <value order="0">Being Drafted</value>
    </field>
    <field name="Objective-VersionId">
      <value order="0">vA2334445</value>
    </field>
    <field name="Objective-Version">
      <value order="0">0.26</value>
    </field>
    <field name="Objective-VersionNumber">
      <value order="0">26</value>
    </field>
    <field name="Objective-VersionComment">
      <value order="0"/>
    </field>
    <field name="Objective-FileNumber">
      <value order="0">2013\2111</value>
    </field>
    <field name="Objective-Classification">
      <value order="0">Unclassified</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5DDCE82E-AF49-4F35-B6B4-FE19A0713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Publications Template (7).dotx</Template>
  <TotalTime>260</TotalTime>
  <Pages>1</Pages>
  <Words>19460</Words>
  <Characters>110926</Characters>
  <Application>Microsoft Office Word</Application>
  <DocSecurity>0</DocSecurity>
  <Lines>924</Lines>
  <Paragraphs>260</Paragraphs>
  <ScaleCrop>false</ScaleCrop>
  <HeadingPairs>
    <vt:vector size="2" baseType="variant">
      <vt:variant>
        <vt:lpstr>Title</vt:lpstr>
      </vt:variant>
      <vt:variant>
        <vt:i4>1</vt:i4>
      </vt:variant>
    </vt:vector>
  </HeadingPairs>
  <TitlesOfParts>
    <vt:vector size="1" baseType="lpstr">
      <vt:lpstr>Spray drift risk assessment manual stage one</vt:lpstr>
    </vt:vector>
  </TitlesOfParts>
  <Manager/>
  <Company>Australian Pesticides and Veterinary Medicines Authority</Company>
  <LinksUpToDate>false</LinksUpToDate>
  <CharactersWithSpaces>130126</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Spray drift risk assessment manual stage one</dc:title>
  <dc:subject/>
  <dc:creator>APVMA</dc:creator>
  <cp:keywords/>
  <dc:description/>
  <cp:lastModifiedBy>ELLIOTT, Amy</cp:lastModifiedBy>
  <cp:revision>14</cp:revision>
  <cp:lastPrinted>2019-07-18T00:49:00Z</cp:lastPrinted>
  <dcterms:created xsi:type="dcterms:W3CDTF">2019-07-16T22:59:00Z</dcterms:created>
  <dcterms:modified xsi:type="dcterms:W3CDTF">2019-07-18T01:14:00Z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A1372445</vt:lpwstr>
  </property>
  <property fmtid="{D5CDD505-2E9C-101B-9397-08002B2CF9AE}" pid="4" name="Objective-Title">
    <vt:lpwstr>spray_drift_risk_assessment_manual</vt:lpwstr>
  </property>
  <property fmtid="{D5CDD505-2E9C-101B-9397-08002B2CF9AE}" pid="5" name="Objective-Comment">
    <vt:lpwstr/>
  </property>
  <property fmtid="{D5CDD505-2E9C-101B-9397-08002B2CF9AE}" pid="6" name="Objective-CreationStamp">
    <vt:filetime>2019-03-05T06:09:10Z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2019-07-18T01:14:20Z</vt:filetime>
  </property>
  <property fmtid="{D5CDD505-2E9C-101B-9397-08002B2CF9AE}" pid="11" name="Objective-Owner">
    <vt:lpwstr>Gary Dorr</vt:lpwstr>
  </property>
  <property fmtid="{D5CDD505-2E9C-101B-9397-08002B2CF9AE}" pid="12" name="Objective-Path">
    <vt:lpwstr>APVMA:OFFICE OF THE CHIEF SCIENTIST:Science and Regulatory Issues:Spray Drift:Spray Drift Project - Development Discussion Papers:SDP - Development - Discussion Papers - Spray Drift Implementation - General Public:Stage 1 - Final version:</vt:lpwstr>
  </property>
  <property fmtid="{D5CDD505-2E9C-101B-9397-08002B2CF9AE}" pid="13" name="Objective-Parent">
    <vt:lpwstr>Stage 1 - Final version</vt:lpwstr>
  </property>
  <property fmtid="{D5CDD505-2E9C-101B-9397-08002B2CF9AE}" pid="14" name="Objective-State">
    <vt:lpwstr>Being Drafted</vt:lpwstr>
  </property>
  <property fmtid="{D5CDD505-2E9C-101B-9397-08002B2CF9AE}" pid="15" name="Objective-Version">
    <vt:lpwstr>0.26</vt:lpwstr>
  </property>
  <property fmtid="{D5CDD505-2E9C-101B-9397-08002B2CF9AE}" pid="16" name="Objective-VersionNumber">
    <vt:r8>26</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vA2334445</vt:lpwstr>
  </property>
  <property fmtid="{D5CDD505-2E9C-101B-9397-08002B2CF9AE}" pid="23" name="Objective-Connect Creator">
    <vt:lpwstr/>
  </property>
  <property fmtid="{D5CDD505-2E9C-101B-9397-08002B2CF9AE}" pid="24" name="Objective-Connect Creator [system]">
    <vt:lpwstr/>
  </property>
</Properties>
</file>