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1B2AA" w14:textId="77777777" w:rsidR="00F27E0D" w:rsidRDefault="008522F0">
      <w:r>
        <w:rPr>
          <w:noProof/>
          <w:lang w:eastAsia="en-AU"/>
        </w:rPr>
        <w:drawing>
          <wp:inline distT="0" distB="0" distL="0" distR="0" wp14:anchorId="22A44469" wp14:editId="72B32569">
            <wp:extent cx="6858000" cy="1847850"/>
            <wp:effectExtent l="0" t="0" r="0" b="0"/>
            <wp:docPr id="1" name="Picture 1" descr="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847850"/>
                    </a:xfrm>
                    <a:prstGeom prst="rect">
                      <a:avLst/>
                    </a:prstGeom>
                    <a:noFill/>
                    <a:ln>
                      <a:noFill/>
                    </a:ln>
                  </pic:spPr>
                </pic:pic>
              </a:graphicData>
            </a:graphic>
          </wp:inline>
        </w:drawing>
      </w:r>
      <w:r>
        <w:rPr>
          <w:noProof/>
          <w:lang w:eastAsia="en-AU"/>
        </w:rPr>
        <w:drawing>
          <wp:inline distT="0" distB="0" distL="0" distR="0" wp14:anchorId="62EC7340" wp14:editId="60C422F5">
            <wp:extent cx="6858000" cy="3438525"/>
            <wp:effectExtent l="0" t="0" r="0" b="9525"/>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Pr>
          <w:noProof/>
          <w:lang w:eastAsia="en-AU"/>
        </w:rPr>
        <w:drawing>
          <wp:inline distT="0" distB="0" distL="0" distR="0" wp14:anchorId="529E641A" wp14:editId="5534570A">
            <wp:extent cx="6858000" cy="619125"/>
            <wp:effectExtent l="0" t="0" r="0" b="9525"/>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14:paraId="3A700F6E" w14:textId="77777777" w:rsidR="00F27E0D" w:rsidRDefault="00F27E0D">
      <w:pPr>
        <w:pStyle w:val="APVMATitle1"/>
      </w:pPr>
      <w:r>
        <w:t>Public Release Summary</w:t>
      </w:r>
    </w:p>
    <w:p w14:paraId="1D9CF0DB" w14:textId="307FA31B" w:rsidR="00F27E0D" w:rsidRDefault="0072171B">
      <w:pPr>
        <w:pStyle w:val="APVMATitle2"/>
      </w:pPr>
      <w:proofErr w:type="gramStart"/>
      <w:r>
        <w:t>on</w:t>
      </w:r>
      <w:proofErr w:type="gramEnd"/>
      <w:r>
        <w:t xml:space="preserve"> the e</w:t>
      </w:r>
      <w:r w:rsidR="00F27E0D">
        <w:t>valuat</w:t>
      </w:r>
      <w:r w:rsidR="006C539B">
        <w:t xml:space="preserve">ion of the new </w:t>
      </w:r>
      <w:r w:rsidR="006474CF">
        <w:t>active</w:t>
      </w:r>
      <w:r w:rsidR="006474CF" w:rsidRPr="001F17EA">
        <w:t xml:space="preserve"> </w:t>
      </w:r>
      <w:proofErr w:type="spellStart"/>
      <w:r w:rsidR="006474CF" w:rsidRPr="001F17EA">
        <w:t>topramezone</w:t>
      </w:r>
      <w:proofErr w:type="spellEnd"/>
      <w:r w:rsidR="006C539B">
        <w:t xml:space="preserve"> in the p</w:t>
      </w:r>
      <w:r w:rsidR="00F27E0D">
        <w:t xml:space="preserve">roduct </w:t>
      </w:r>
      <w:r w:rsidR="006474CF" w:rsidRPr="001F17EA">
        <w:t>Frequency Herbicide</w:t>
      </w:r>
    </w:p>
    <w:p w14:paraId="28D0B1BD" w14:textId="44681970" w:rsidR="00F27E0D" w:rsidRDefault="006C539B" w:rsidP="006474CF">
      <w:pPr>
        <w:pStyle w:val="APVMATitle2a"/>
        <w:spacing w:after="1800"/>
      </w:pPr>
      <w:r>
        <w:t xml:space="preserve">APVMA Product Number </w:t>
      </w:r>
      <w:r w:rsidR="006474CF">
        <w:t>86267</w:t>
      </w:r>
    </w:p>
    <w:p w14:paraId="29BB1587" w14:textId="77777777" w:rsidR="00F27E0D" w:rsidRPr="00E16C92" w:rsidRDefault="00E16C92" w:rsidP="006474CF">
      <w:pPr>
        <w:tabs>
          <w:tab w:val="left" w:pos="9504"/>
        </w:tabs>
        <w:spacing w:after="360"/>
        <w:sectPr w:rsidR="00F27E0D" w:rsidRPr="00E16C92">
          <w:headerReference w:type="even" r:id="rId12"/>
          <w:footerReference w:type="default" r:id="rId13"/>
          <w:pgSz w:w="11906" w:h="16838" w:code="9"/>
          <w:pgMar w:top="567" w:right="567" w:bottom="567" w:left="567" w:header="567" w:footer="567" w:gutter="0"/>
          <w:pgNumType w:fmt="lowerRoman"/>
          <w:cols w:space="708"/>
          <w:docGrid w:linePitch="360"/>
        </w:sectPr>
      </w:pPr>
      <w:r>
        <w:tab/>
      </w:r>
    </w:p>
    <w:p w14:paraId="0935B7FC" w14:textId="6919321D" w:rsidR="00F27E0D" w:rsidRPr="00ED3EC7" w:rsidRDefault="00ED3EC7">
      <w:pPr>
        <w:pStyle w:val="APVMAImprintText"/>
      </w:pPr>
      <w:r w:rsidRPr="007B530F">
        <w:rPr>
          <w:position w:val="-4"/>
          <w:sz w:val="28"/>
          <w:szCs w:val="28"/>
          <w:vertAlign w:val="superscript"/>
        </w:rPr>
        <w:lastRenderedPageBreak/>
        <w:t>©</w:t>
      </w:r>
      <w:r w:rsidR="00F27E0D" w:rsidRPr="00ED3EC7">
        <w:rPr>
          <w:position w:val="-4"/>
        </w:rPr>
        <w:t xml:space="preserve"> </w:t>
      </w:r>
      <w:r w:rsidRPr="00ED3EC7">
        <w:t>Australian Pesticides and Veterinary Medicines Authority</w:t>
      </w:r>
      <w:r w:rsidR="00F27E0D" w:rsidRPr="00ED3EC7">
        <w:t xml:space="preserve"> </w:t>
      </w:r>
      <w:r w:rsidR="006474CF">
        <w:t>2019</w:t>
      </w:r>
    </w:p>
    <w:p w14:paraId="3B62AFF9" w14:textId="3FCD1FAB" w:rsidR="006474CF" w:rsidRDefault="007B530F" w:rsidP="00ED3EC7">
      <w:pPr>
        <w:autoSpaceDE w:val="0"/>
        <w:autoSpaceDN w:val="0"/>
        <w:adjustRightInd w:val="0"/>
        <w:spacing w:after="120" w:line="240" w:lineRule="exact"/>
        <w:ind w:right="-330"/>
        <w:rPr>
          <w:rFonts w:ascii="Trebuchet MS" w:hAnsi="Trebuchet MS" w:cs="Trebuchet MS"/>
          <w:bCs/>
          <w:sz w:val="16"/>
          <w:szCs w:val="16"/>
          <w:lang w:val="en-US" w:eastAsia="en-AU"/>
        </w:rPr>
      </w:pPr>
      <w:r>
        <w:rPr>
          <w:rFonts w:ascii="Trebuchet MS" w:hAnsi="Trebuchet MS" w:cs="Trebuchet MS"/>
          <w:sz w:val="16"/>
          <w:szCs w:val="16"/>
          <w:lang w:eastAsia="en-AU"/>
        </w:rPr>
        <w:t>ISSN: 1443-1335 (electronic)</w:t>
      </w:r>
    </w:p>
    <w:p w14:paraId="6599CA41" w14:textId="6EA7EE02" w:rsidR="00ED3EC7" w:rsidRPr="005C0ACC" w:rsidRDefault="00ED3EC7" w:rsidP="00ED3EC7">
      <w:pPr>
        <w:autoSpaceDE w:val="0"/>
        <w:autoSpaceDN w:val="0"/>
        <w:adjustRightInd w:val="0"/>
        <w:spacing w:after="120" w:line="240" w:lineRule="exact"/>
        <w:ind w:right="-330"/>
        <w:rPr>
          <w:rFonts w:cs="Arial"/>
          <w:b/>
          <w:bCs/>
          <w:sz w:val="16"/>
          <w:szCs w:val="16"/>
          <w:lang w:eastAsia="en-AU"/>
        </w:rPr>
      </w:pPr>
      <w:r w:rsidRPr="005C0ACC">
        <w:rPr>
          <w:rFonts w:cs="Arial"/>
          <w:b/>
          <w:bCs/>
          <w:sz w:val="16"/>
          <w:szCs w:val="16"/>
          <w:lang w:eastAsia="en-AU"/>
        </w:rPr>
        <w:t>Ownership of intellectual property rights in this publication</w:t>
      </w:r>
    </w:p>
    <w:p w14:paraId="57F11EC4" w14:textId="3F84F120" w:rsidR="00ED3EC7" w:rsidRPr="005C0ACC" w:rsidRDefault="00ED3EC7" w:rsidP="00ED3EC7">
      <w:pPr>
        <w:autoSpaceDE w:val="0"/>
        <w:autoSpaceDN w:val="0"/>
        <w:adjustRightInd w:val="0"/>
        <w:spacing w:before="60" w:after="240" w:line="240" w:lineRule="exact"/>
        <w:ind w:right="-329"/>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6C8955D6" w14:textId="1B5F9238" w:rsidR="007A4A00" w:rsidRDefault="007A4A00" w:rsidP="00ED3EC7">
      <w:pPr>
        <w:autoSpaceDE w:val="0"/>
        <w:autoSpaceDN w:val="0"/>
        <w:adjustRightInd w:val="0"/>
        <w:spacing w:line="240" w:lineRule="exact"/>
        <w:ind w:right="-329"/>
        <w:rPr>
          <w:rFonts w:cs="Arial"/>
          <w:b/>
          <w:bCs/>
          <w:sz w:val="16"/>
          <w:szCs w:val="16"/>
          <w:lang w:eastAsia="en-AU"/>
        </w:rPr>
      </w:pPr>
      <w:r>
        <w:rPr>
          <w:noProof/>
          <w:lang w:eastAsia="en-AU"/>
        </w:rPr>
        <w:drawing>
          <wp:anchor distT="0" distB="0" distL="114300" distR="114300" simplePos="0" relativeHeight="251659264" behindDoc="1" locked="0" layoutInCell="1" allowOverlap="1" wp14:anchorId="5761418F" wp14:editId="5D01099E">
            <wp:simplePos x="0" y="0"/>
            <wp:positionH relativeFrom="column">
              <wp:posOffset>504825</wp:posOffset>
            </wp:positionH>
            <wp:positionV relativeFrom="paragraph">
              <wp:posOffset>9525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4" name="Picture 11" descr="Creat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1" locked="0" layoutInCell="1" allowOverlap="1" wp14:anchorId="783F1FFC" wp14:editId="6D840078">
            <wp:simplePos x="0" y="0"/>
            <wp:positionH relativeFrom="margin">
              <wp:align>left</wp:align>
            </wp:positionH>
            <wp:positionV relativeFrom="paragraph">
              <wp:posOffset>9525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5" name="Picture 1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escription: C:\Users\mchandra\Desktop\c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EF245" w14:textId="6B982CA2" w:rsidR="007A4A00" w:rsidRDefault="007A4A00" w:rsidP="00ED3EC7">
      <w:pPr>
        <w:autoSpaceDE w:val="0"/>
        <w:autoSpaceDN w:val="0"/>
        <w:adjustRightInd w:val="0"/>
        <w:spacing w:line="240" w:lineRule="exact"/>
        <w:ind w:right="-329"/>
        <w:rPr>
          <w:rFonts w:cs="Arial"/>
          <w:b/>
          <w:bCs/>
          <w:sz w:val="16"/>
          <w:szCs w:val="16"/>
          <w:lang w:eastAsia="en-AU"/>
        </w:rPr>
      </w:pPr>
    </w:p>
    <w:p w14:paraId="319120E7" w14:textId="23E4CB7F" w:rsidR="007A4A00" w:rsidRDefault="007A4A00" w:rsidP="00ED3EC7">
      <w:pPr>
        <w:autoSpaceDE w:val="0"/>
        <w:autoSpaceDN w:val="0"/>
        <w:adjustRightInd w:val="0"/>
        <w:spacing w:line="240" w:lineRule="exact"/>
        <w:ind w:right="-329"/>
        <w:rPr>
          <w:rFonts w:cs="Arial"/>
          <w:b/>
          <w:bCs/>
          <w:sz w:val="16"/>
          <w:szCs w:val="16"/>
          <w:lang w:eastAsia="en-AU"/>
        </w:rPr>
      </w:pPr>
    </w:p>
    <w:p w14:paraId="2FAA86A0" w14:textId="77777777" w:rsidR="007A4A00" w:rsidRDefault="007A4A00" w:rsidP="00ED3EC7">
      <w:pPr>
        <w:autoSpaceDE w:val="0"/>
        <w:autoSpaceDN w:val="0"/>
        <w:adjustRightInd w:val="0"/>
        <w:spacing w:line="240" w:lineRule="exact"/>
        <w:ind w:right="-329"/>
        <w:rPr>
          <w:rFonts w:cs="Arial"/>
          <w:b/>
          <w:bCs/>
          <w:sz w:val="16"/>
          <w:szCs w:val="16"/>
          <w:lang w:eastAsia="en-AU"/>
        </w:rPr>
      </w:pPr>
    </w:p>
    <w:p w14:paraId="58362868" w14:textId="6196F3AA" w:rsidR="00ED3EC7" w:rsidRPr="005C0ACC" w:rsidRDefault="00ED3EC7" w:rsidP="00ED3EC7">
      <w:pPr>
        <w:autoSpaceDE w:val="0"/>
        <w:autoSpaceDN w:val="0"/>
        <w:adjustRightInd w:val="0"/>
        <w:spacing w:line="240" w:lineRule="exact"/>
        <w:ind w:right="-329"/>
        <w:rPr>
          <w:rFonts w:cs="Arial"/>
          <w:b/>
          <w:bCs/>
          <w:sz w:val="16"/>
          <w:szCs w:val="16"/>
          <w:lang w:eastAsia="en-AU"/>
        </w:rPr>
      </w:pPr>
      <w:proofErr w:type="gramStart"/>
      <w:r w:rsidRPr="005C0ACC">
        <w:rPr>
          <w:rFonts w:cs="Arial"/>
          <w:b/>
          <w:bCs/>
          <w:sz w:val="16"/>
          <w:szCs w:val="16"/>
          <w:lang w:eastAsia="en-AU"/>
        </w:rPr>
        <w:t>Creative Commons</w:t>
      </w:r>
      <w:proofErr w:type="gramEnd"/>
      <w:r w:rsidRPr="005C0ACC">
        <w:rPr>
          <w:rFonts w:cs="Arial"/>
          <w:b/>
          <w:bCs/>
          <w:sz w:val="16"/>
          <w:szCs w:val="16"/>
          <w:lang w:eastAsia="en-AU"/>
        </w:rPr>
        <w:t xml:space="preserve"> licence</w:t>
      </w:r>
    </w:p>
    <w:p w14:paraId="45AA770D" w14:textId="414B6AD9" w:rsidR="007A4A00" w:rsidRDefault="00ED3EC7" w:rsidP="007A4A00">
      <w:pPr>
        <w:autoSpaceDE w:val="0"/>
        <w:autoSpaceDN w:val="0"/>
        <w:adjustRightInd w:val="0"/>
        <w:spacing w:before="120" w:line="240" w:lineRule="exact"/>
        <w:ind w:right="-329"/>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w:t>
      </w:r>
      <w:r w:rsidR="007A4A00">
        <w:rPr>
          <w:rFonts w:cs="Arial"/>
          <w:sz w:val="16"/>
          <w:szCs w:val="16"/>
          <w:lang w:eastAsia="en-AU"/>
        </w:rPr>
        <w:t>a Creative Commons Attribution 3</w:t>
      </w:r>
      <w:r w:rsidRPr="005C0ACC">
        <w:rPr>
          <w:rFonts w:cs="Arial"/>
          <w:sz w:val="16"/>
          <w:szCs w:val="16"/>
          <w:lang w:eastAsia="en-AU"/>
        </w:rPr>
        <w:t>.0 Australia Licence. This is a standard form agreement that allows you to copy, distribute, transmit and adapt this publication provided that you attribute the work.</w:t>
      </w:r>
    </w:p>
    <w:p w14:paraId="45D4BFD8" w14:textId="37A61726" w:rsidR="00ED3EC7" w:rsidRPr="005C0ACC" w:rsidRDefault="007A4A00" w:rsidP="007A4A00">
      <w:pPr>
        <w:autoSpaceDE w:val="0"/>
        <w:autoSpaceDN w:val="0"/>
        <w:adjustRightInd w:val="0"/>
        <w:spacing w:before="120" w:line="240" w:lineRule="exact"/>
        <w:ind w:right="-329"/>
        <w:rPr>
          <w:rFonts w:cs="Arial"/>
          <w:sz w:val="16"/>
          <w:szCs w:val="16"/>
          <w:lang w:eastAsia="en-AU"/>
        </w:rPr>
      </w:pPr>
      <w:r>
        <w:rPr>
          <w:rFonts w:cs="Arial"/>
          <w:sz w:val="16"/>
          <w:szCs w:val="16"/>
          <w:lang w:eastAsia="en-AU"/>
        </w:rPr>
        <w:t>A</w:t>
      </w:r>
      <w:r w:rsidR="00ED3EC7" w:rsidRPr="005C0ACC">
        <w:rPr>
          <w:rFonts w:cs="Arial"/>
          <w:sz w:val="16"/>
          <w:szCs w:val="16"/>
          <w:lang w:eastAsia="en-AU"/>
        </w:rPr>
        <w:t xml:space="preserve"> summary of the licence terms is available from </w:t>
      </w:r>
      <w:hyperlink r:id="rId16" w:history="1">
        <w:r w:rsidR="00ED3EC7" w:rsidRPr="005C0ACC">
          <w:rPr>
            <w:rStyle w:val="Hyperlink"/>
            <w:rFonts w:cs="Arial"/>
            <w:sz w:val="16"/>
            <w:szCs w:val="16"/>
            <w:lang w:eastAsia="en-AU"/>
          </w:rPr>
          <w:t>www.creativecommons.org/licenses/by/3.0/au/deed.en</w:t>
        </w:r>
      </w:hyperlink>
      <w:r w:rsidR="00ED3EC7" w:rsidRPr="005C0ACC">
        <w:rPr>
          <w:rFonts w:cs="Arial"/>
          <w:sz w:val="16"/>
          <w:szCs w:val="16"/>
          <w:lang w:eastAsia="en-AU"/>
        </w:rPr>
        <w:t xml:space="preserve">. The full licence terms are available from </w:t>
      </w:r>
      <w:hyperlink r:id="rId17" w:history="1">
        <w:r w:rsidR="00ED3EC7" w:rsidRPr="005C0ACC">
          <w:rPr>
            <w:rStyle w:val="Hyperlink"/>
            <w:rFonts w:cs="Arial"/>
            <w:sz w:val="16"/>
            <w:szCs w:val="16"/>
            <w:lang w:eastAsia="en-AU"/>
          </w:rPr>
          <w:t>www.creativecommons.org/licenses/by/3.0/au/legalcode</w:t>
        </w:r>
      </w:hyperlink>
      <w:r w:rsidR="00ED3EC7" w:rsidRPr="005C0ACC">
        <w:rPr>
          <w:rFonts w:cs="Arial"/>
          <w:sz w:val="16"/>
          <w:szCs w:val="16"/>
          <w:lang w:eastAsia="en-AU"/>
        </w:rPr>
        <w:t>.</w:t>
      </w:r>
    </w:p>
    <w:p w14:paraId="0DD0982A" w14:textId="77777777" w:rsidR="00ED3EC7" w:rsidRPr="005C0ACC" w:rsidRDefault="00ED3EC7" w:rsidP="00ED3EC7">
      <w:pPr>
        <w:autoSpaceDE w:val="0"/>
        <w:autoSpaceDN w:val="0"/>
        <w:adjustRightInd w:val="0"/>
        <w:spacing w:before="120" w:line="240" w:lineRule="exact"/>
        <w:ind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166A3CCE" w14:textId="3D86DE3C" w:rsidR="00ED3EC7" w:rsidRPr="005C0ACC" w:rsidRDefault="00ED3EC7" w:rsidP="007A4A00">
      <w:pPr>
        <w:autoSpaceDE w:val="0"/>
        <w:autoSpaceDN w:val="0"/>
        <w:adjustRightInd w:val="0"/>
        <w:spacing w:before="120" w:line="240" w:lineRule="exact"/>
        <w:ind w:right="-329"/>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sidR="007A4A00">
        <w:rPr>
          <w:rFonts w:cs="Arial"/>
          <w:i/>
          <w:iCs/>
          <w:sz w:val="16"/>
          <w:szCs w:val="16"/>
          <w:lang w:eastAsia="en-AU"/>
        </w:rPr>
        <w:t>3</w:t>
      </w:r>
      <w:r w:rsidRPr="005C0ACC">
        <w:rPr>
          <w:rFonts w:cs="Arial"/>
          <w:i/>
          <w:iCs/>
          <w:sz w:val="16"/>
          <w:szCs w:val="16"/>
          <w:lang w:eastAsia="en-AU"/>
        </w:rPr>
        <w:t xml:space="preserve">.0 Australia Licence. </w:t>
      </w:r>
    </w:p>
    <w:p w14:paraId="04AB717F" w14:textId="77777777" w:rsidR="00ED3EC7" w:rsidRPr="005C0ACC" w:rsidRDefault="00ED3EC7" w:rsidP="00ED3EC7">
      <w:pPr>
        <w:autoSpaceDE w:val="0"/>
        <w:autoSpaceDN w:val="0"/>
        <w:adjustRightInd w:val="0"/>
        <w:spacing w:before="120" w:after="120" w:line="240" w:lineRule="exact"/>
        <w:ind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402DD3A1" w14:textId="77777777" w:rsidR="00ED3EC7" w:rsidRPr="005C0ACC" w:rsidRDefault="00ED3EC7" w:rsidP="00ED3EC7">
      <w:pPr>
        <w:autoSpaceDE w:val="0"/>
        <w:autoSpaceDN w:val="0"/>
        <w:adjustRightInd w:val="0"/>
        <w:spacing w:before="120" w:line="240" w:lineRule="exact"/>
        <w:ind w:right="-330"/>
        <w:rPr>
          <w:rFonts w:cs="Arial"/>
          <w:b/>
          <w:bCs/>
          <w:sz w:val="16"/>
          <w:szCs w:val="16"/>
          <w:lang w:eastAsia="en-AU"/>
        </w:rPr>
      </w:pPr>
      <w:r w:rsidRPr="005C0ACC">
        <w:rPr>
          <w:rFonts w:cs="Arial"/>
          <w:b/>
          <w:bCs/>
          <w:sz w:val="16"/>
          <w:szCs w:val="16"/>
          <w:lang w:eastAsia="en-AU"/>
        </w:rPr>
        <w:t>Use of the Coat of Arms</w:t>
      </w:r>
    </w:p>
    <w:p w14:paraId="391C8DB2" w14:textId="362438F2" w:rsidR="00ED3EC7" w:rsidRPr="005C0ACC" w:rsidRDefault="00ED3EC7" w:rsidP="00ED3EC7">
      <w:pPr>
        <w:autoSpaceDE w:val="0"/>
        <w:autoSpaceDN w:val="0"/>
        <w:adjustRightInd w:val="0"/>
        <w:spacing w:before="60" w:line="240" w:lineRule="exact"/>
        <w:ind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8" w:history="1">
        <w:r w:rsidRPr="00C07484">
          <w:rPr>
            <w:rStyle w:val="Hyperlink"/>
            <w:rFonts w:cs="Arial"/>
            <w:sz w:val="16"/>
            <w:szCs w:val="16"/>
            <w:lang w:eastAsia="en-AU"/>
          </w:rPr>
          <w:t>Department of the Prime Minister and Cabinet website</w:t>
        </w:r>
      </w:hyperlink>
      <w:r w:rsidRPr="005C0ACC">
        <w:rPr>
          <w:rFonts w:cs="Arial"/>
          <w:sz w:val="16"/>
          <w:szCs w:val="16"/>
          <w:lang w:eastAsia="en-AU"/>
        </w:rPr>
        <w:t>.</w:t>
      </w:r>
    </w:p>
    <w:p w14:paraId="1774C713" w14:textId="77777777" w:rsidR="00ED3EC7" w:rsidRPr="005C0ACC" w:rsidRDefault="00ED3EC7" w:rsidP="00ED3EC7">
      <w:pPr>
        <w:spacing w:before="120" w:line="240" w:lineRule="exact"/>
        <w:ind w:right="-330"/>
        <w:rPr>
          <w:rFonts w:cs="Arial"/>
          <w:b/>
          <w:bCs/>
          <w:sz w:val="16"/>
          <w:szCs w:val="16"/>
          <w:lang w:eastAsia="en-AU"/>
        </w:rPr>
      </w:pPr>
      <w:r w:rsidRPr="005C0ACC">
        <w:rPr>
          <w:rFonts w:cs="Arial"/>
          <w:b/>
          <w:bCs/>
          <w:sz w:val="16"/>
          <w:szCs w:val="16"/>
          <w:lang w:eastAsia="en-AU"/>
        </w:rPr>
        <w:t>Disclaimer</w:t>
      </w:r>
    </w:p>
    <w:p w14:paraId="7605DC78" w14:textId="77777777" w:rsidR="00CF4E15" w:rsidRDefault="00ED3EC7" w:rsidP="00ED3EC7">
      <w:pPr>
        <w:autoSpaceDE w:val="0"/>
        <w:autoSpaceDN w:val="0"/>
        <w:adjustRightInd w:val="0"/>
        <w:spacing w:before="60" w:line="240" w:lineRule="exact"/>
        <w:ind w:right="-330"/>
        <w:rPr>
          <w:rFonts w:cs="Arial"/>
          <w:sz w:val="16"/>
          <w:szCs w:val="16"/>
          <w:lang w:eastAsia="en-AU"/>
        </w:rPr>
      </w:pPr>
      <w:r w:rsidRPr="005C0ACC">
        <w:rPr>
          <w:rFonts w:cs="Arial"/>
          <w:sz w:val="16"/>
          <w:szCs w:val="16"/>
          <w:lang w:eastAsia="en-AU"/>
        </w:rPr>
        <w:t>The material in or linking from this report may contain the views or recommendations of third parties. Third party material does not necessarily reflect the views of the APVMA, or indicate a commitment to a particular course of action.</w:t>
      </w:r>
      <w:r>
        <w:rPr>
          <w:rFonts w:cs="Arial"/>
          <w:sz w:val="16"/>
          <w:szCs w:val="16"/>
          <w:lang w:eastAsia="en-AU"/>
        </w:rPr>
        <w:t xml:space="preserve"> </w:t>
      </w:r>
    </w:p>
    <w:p w14:paraId="59E7ED1D" w14:textId="77777777" w:rsidR="00CF4E15" w:rsidRDefault="00ED3EC7" w:rsidP="00ED3EC7">
      <w:pPr>
        <w:autoSpaceDE w:val="0"/>
        <w:autoSpaceDN w:val="0"/>
        <w:adjustRightInd w:val="0"/>
        <w:spacing w:before="60" w:line="240" w:lineRule="exact"/>
        <w:ind w:right="-330"/>
        <w:rPr>
          <w:rFonts w:cs="Arial"/>
          <w:bCs/>
          <w:sz w:val="16"/>
          <w:szCs w:val="16"/>
          <w:lang w:eastAsia="en-AU"/>
        </w:rPr>
      </w:pP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Pr>
          <w:rFonts w:cs="Arial"/>
          <w:bCs/>
          <w:sz w:val="16"/>
          <w:szCs w:val="16"/>
          <w:lang w:eastAsia="en-AU"/>
        </w:rPr>
        <w:t xml:space="preserve"> </w:t>
      </w:r>
    </w:p>
    <w:p w14:paraId="318065C0" w14:textId="77777777" w:rsidR="00ED3EC7" w:rsidRPr="005C0ACC" w:rsidRDefault="00ED3EC7" w:rsidP="00ED3EC7">
      <w:pPr>
        <w:autoSpaceDE w:val="0"/>
        <w:autoSpaceDN w:val="0"/>
        <w:adjustRightInd w:val="0"/>
        <w:spacing w:before="60" w:line="240" w:lineRule="exact"/>
        <w:ind w:right="-330"/>
        <w:rPr>
          <w:rFonts w:cs="Arial"/>
          <w:bCs/>
          <w:sz w:val="16"/>
          <w:szCs w:val="16"/>
          <w:lang w:eastAsia="en-AU"/>
        </w:rPr>
      </w:pPr>
      <w:r w:rsidRPr="005C0ACC">
        <w:rPr>
          <w:rFonts w:cs="Arial"/>
          <w:bCs/>
          <w:sz w:val="16"/>
          <w:szCs w:val="16"/>
          <w:lang w:eastAsia="en-AU"/>
        </w:rPr>
        <w:t>The APVMA is not responsible for any errors, omissions or matters of interpretation in any third-party information contained within this document.</w:t>
      </w:r>
    </w:p>
    <w:p w14:paraId="25CC4607" w14:textId="77777777" w:rsidR="00ED3EC7" w:rsidRPr="005C0ACC" w:rsidRDefault="00ED3EC7" w:rsidP="00ED3EC7">
      <w:pPr>
        <w:autoSpaceDE w:val="0"/>
        <w:autoSpaceDN w:val="0"/>
        <w:adjustRightInd w:val="0"/>
        <w:spacing w:before="120" w:line="240" w:lineRule="exact"/>
        <w:ind w:right="-329"/>
        <w:rPr>
          <w:rFonts w:cs="Arial"/>
          <w:b/>
          <w:bCs/>
          <w:sz w:val="16"/>
          <w:szCs w:val="16"/>
          <w:lang w:eastAsia="en-AU"/>
        </w:rPr>
      </w:pPr>
      <w:r w:rsidRPr="005C0ACC">
        <w:rPr>
          <w:rFonts w:cs="Arial"/>
          <w:b/>
          <w:bCs/>
          <w:sz w:val="16"/>
          <w:szCs w:val="16"/>
          <w:lang w:eastAsia="en-AU"/>
        </w:rPr>
        <w:t>Comments and enquiries regarding copyright:</w:t>
      </w:r>
    </w:p>
    <w:p w14:paraId="28A734C4" w14:textId="655E2EF7" w:rsidR="00ED3EC7" w:rsidRPr="005C0ACC" w:rsidRDefault="006474CF" w:rsidP="00ED3EC7">
      <w:pPr>
        <w:autoSpaceDE w:val="0"/>
        <w:autoSpaceDN w:val="0"/>
        <w:adjustRightInd w:val="0"/>
        <w:spacing w:before="60" w:line="240" w:lineRule="exact"/>
        <w:ind w:right="-330"/>
        <w:rPr>
          <w:rFonts w:cs="Arial"/>
          <w:sz w:val="16"/>
          <w:szCs w:val="16"/>
          <w:lang w:eastAsia="en-AU"/>
        </w:rPr>
      </w:pPr>
      <w:r>
        <w:rPr>
          <w:rFonts w:cs="Arial"/>
          <w:sz w:val="16"/>
          <w:szCs w:val="16"/>
          <w:lang w:eastAsia="en-AU"/>
        </w:rPr>
        <w:t xml:space="preserve">Assistant </w:t>
      </w:r>
      <w:r w:rsidR="00ED3EC7">
        <w:rPr>
          <w:rFonts w:cs="Arial"/>
          <w:sz w:val="16"/>
          <w:szCs w:val="16"/>
          <w:lang w:eastAsia="en-AU"/>
        </w:rPr>
        <w:t>Director</w:t>
      </w:r>
      <w:r>
        <w:rPr>
          <w:rFonts w:cs="Arial"/>
          <w:sz w:val="16"/>
          <w:szCs w:val="16"/>
          <w:lang w:eastAsia="en-AU"/>
        </w:rPr>
        <w:t>,</w:t>
      </w:r>
      <w:r w:rsidR="00ED3EC7">
        <w:rPr>
          <w:rFonts w:cs="Arial"/>
          <w:sz w:val="16"/>
          <w:szCs w:val="16"/>
          <w:lang w:eastAsia="en-AU"/>
        </w:rPr>
        <w:t xml:space="preserve"> Communication</w:t>
      </w:r>
      <w:r>
        <w:rPr>
          <w:rFonts w:cs="Arial"/>
          <w:sz w:val="16"/>
          <w:szCs w:val="16"/>
          <w:lang w:eastAsia="en-AU"/>
        </w:rPr>
        <w:t>s</w:t>
      </w:r>
    </w:p>
    <w:p w14:paraId="319FFBDA" w14:textId="77777777" w:rsidR="00ED3EC7" w:rsidRPr="005C0ACC" w:rsidRDefault="00ED3EC7" w:rsidP="00ED3EC7">
      <w:pPr>
        <w:autoSpaceDE w:val="0"/>
        <w:autoSpaceDN w:val="0"/>
        <w:adjustRightInd w:val="0"/>
        <w:spacing w:line="240" w:lineRule="exact"/>
        <w:ind w:right="-330"/>
        <w:rPr>
          <w:rFonts w:cs="Arial"/>
          <w:sz w:val="16"/>
          <w:szCs w:val="16"/>
          <w:lang w:eastAsia="en-AU"/>
        </w:rPr>
      </w:pPr>
      <w:r w:rsidRPr="005C0ACC">
        <w:rPr>
          <w:rFonts w:cs="Arial"/>
          <w:sz w:val="16"/>
          <w:szCs w:val="16"/>
          <w:lang w:eastAsia="en-AU"/>
        </w:rPr>
        <w:t>Australian Pesticides and Veterinary Medicines Authority</w:t>
      </w:r>
    </w:p>
    <w:p w14:paraId="618D99F5" w14:textId="77777777" w:rsidR="00ED3EC7" w:rsidRPr="005C0ACC" w:rsidRDefault="00ED3EC7" w:rsidP="00ED3EC7">
      <w:pPr>
        <w:autoSpaceDE w:val="0"/>
        <w:autoSpaceDN w:val="0"/>
        <w:adjustRightInd w:val="0"/>
        <w:spacing w:line="240" w:lineRule="exact"/>
        <w:ind w:right="-330"/>
        <w:rPr>
          <w:rFonts w:cs="Arial"/>
          <w:sz w:val="16"/>
          <w:szCs w:val="16"/>
          <w:lang w:eastAsia="en-AU"/>
        </w:rPr>
      </w:pPr>
      <w:r w:rsidRPr="005C0ACC">
        <w:rPr>
          <w:rFonts w:cs="Arial"/>
          <w:sz w:val="16"/>
          <w:szCs w:val="16"/>
          <w:lang w:eastAsia="en-AU"/>
        </w:rPr>
        <w:t>PO Box 6182</w:t>
      </w:r>
    </w:p>
    <w:p w14:paraId="10583BF3" w14:textId="77777777" w:rsidR="00ED3EC7" w:rsidRPr="005C0ACC" w:rsidRDefault="00ED3EC7" w:rsidP="00ED3EC7">
      <w:pPr>
        <w:autoSpaceDE w:val="0"/>
        <w:autoSpaceDN w:val="0"/>
        <w:adjustRightInd w:val="0"/>
        <w:spacing w:line="240" w:lineRule="exact"/>
        <w:ind w:right="-330"/>
        <w:rPr>
          <w:rFonts w:cs="Arial"/>
          <w:sz w:val="16"/>
          <w:szCs w:val="16"/>
          <w:lang w:eastAsia="en-AU"/>
        </w:rPr>
      </w:pPr>
      <w:r w:rsidRPr="005C0ACC">
        <w:rPr>
          <w:rFonts w:cs="Arial"/>
          <w:sz w:val="16"/>
          <w:szCs w:val="16"/>
          <w:lang w:eastAsia="en-AU"/>
        </w:rPr>
        <w:t>KINGSTON ACT 2604 Australia</w:t>
      </w:r>
    </w:p>
    <w:p w14:paraId="24009AFE" w14:textId="77777777" w:rsidR="00ED3EC7" w:rsidRPr="005C0ACC" w:rsidRDefault="00ED3EC7" w:rsidP="00ED3EC7">
      <w:pPr>
        <w:autoSpaceDE w:val="0"/>
        <w:autoSpaceDN w:val="0"/>
        <w:adjustRightInd w:val="0"/>
        <w:spacing w:before="120" w:line="240" w:lineRule="exact"/>
        <w:ind w:right="-330"/>
        <w:rPr>
          <w:rFonts w:cs="Arial"/>
          <w:sz w:val="16"/>
          <w:szCs w:val="16"/>
          <w:lang w:eastAsia="en-AU"/>
        </w:rPr>
      </w:pPr>
      <w:r>
        <w:rPr>
          <w:rFonts w:cs="Arial"/>
          <w:sz w:val="16"/>
          <w:szCs w:val="16"/>
          <w:lang w:eastAsia="en-AU"/>
        </w:rPr>
        <w:t>Telephone: +61 2 6210 4988</w:t>
      </w:r>
    </w:p>
    <w:p w14:paraId="4646C137" w14:textId="77777777" w:rsidR="00ED3EC7" w:rsidRPr="005C0ACC" w:rsidRDefault="00ED3EC7" w:rsidP="00ED3EC7">
      <w:pPr>
        <w:autoSpaceDE w:val="0"/>
        <w:autoSpaceDN w:val="0"/>
        <w:adjustRightInd w:val="0"/>
        <w:spacing w:before="120" w:line="240" w:lineRule="exact"/>
        <w:ind w:right="-330"/>
        <w:rPr>
          <w:rFonts w:cs="Arial"/>
          <w:color w:val="0000FF"/>
          <w:sz w:val="16"/>
          <w:szCs w:val="16"/>
          <w:u w:val="single"/>
          <w:lang w:eastAsia="en-AU"/>
        </w:rPr>
      </w:pPr>
      <w:r w:rsidRPr="005C0ACC">
        <w:rPr>
          <w:rFonts w:cs="Arial"/>
          <w:sz w:val="16"/>
          <w:szCs w:val="16"/>
          <w:lang w:eastAsia="en-AU"/>
        </w:rPr>
        <w:t xml:space="preserve">Email: </w:t>
      </w:r>
      <w:hyperlink r:id="rId19" w:history="1">
        <w:r w:rsidRPr="005C0ACC">
          <w:rPr>
            <w:rFonts w:cs="Arial"/>
            <w:color w:val="0000FF"/>
            <w:sz w:val="16"/>
            <w:szCs w:val="16"/>
            <w:u w:val="single"/>
            <w:lang w:eastAsia="en-AU"/>
          </w:rPr>
          <w:t>communications@apvma.gov.au</w:t>
        </w:r>
      </w:hyperlink>
    </w:p>
    <w:p w14:paraId="236F24A3" w14:textId="1E891254" w:rsidR="00F27E0D" w:rsidRDefault="00ED3EC7">
      <w:pPr>
        <w:pStyle w:val="APVMAImprintText"/>
      </w:pPr>
      <w:r w:rsidRPr="005C0ACC">
        <w:rPr>
          <w:spacing w:val="0"/>
          <w:szCs w:val="16"/>
          <w:lang w:eastAsia="en-AU"/>
        </w:rPr>
        <w:t xml:space="preserve">This publication is available from the </w:t>
      </w:r>
      <w:hyperlink r:id="rId20" w:history="1">
        <w:r w:rsidRPr="00C07484">
          <w:rPr>
            <w:rStyle w:val="Hyperlink"/>
            <w:spacing w:val="0"/>
            <w:szCs w:val="16"/>
            <w:lang w:eastAsia="en-AU"/>
          </w:rPr>
          <w:t>APVMA website</w:t>
        </w:r>
      </w:hyperlink>
      <w:r w:rsidRPr="005C0ACC">
        <w:rPr>
          <w:spacing w:val="0"/>
          <w:szCs w:val="16"/>
          <w:lang w:eastAsia="en-AU"/>
        </w:rPr>
        <w:t>.</w:t>
      </w:r>
    </w:p>
    <w:p w14:paraId="67EC144F" w14:textId="77777777" w:rsidR="00F27E0D" w:rsidRDefault="00F27E0D">
      <w:pPr>
        <w:pStyle w:val="APVMAImprintText"/>
        <w:sectPr w:rsidR="00F27E0D">
          <w:headerReference w:type="even" r:id="rId21"/>
          <w:headerReference w:type="default" r:id="rId22"/>
          <w:pgSz w:w="11906" w:h="16838" w:code="9"/>
          <w:pgMar w:top="2835" w:right="1134" w:bottom="1134" w:left="1134" w:header="1701" w:footer="680" w:gutter="0"/>
          <w:pgNumType w:fmt="lowerRoman"/>
          <w:cols w:space="708"/>
          <w:docGrid w:linePitch="360"/>
        </w:sectPr>
      </w:pPr>
    </w:p>
    <w:p w14:paraId="66D40984" w14:textId="77777777" w:rsidR="00F27E0D" w:rsidRDefault="00F27E0D">
      <w:pPr>
        <w:pStyle w:val="TOAHeading"/>
      </w:pPr>
      <w:r>
        <w:lastRenderedPageBreak/>
        <w:t>Contents</w:t>
      </w:r>
    </w:p>
    <w:p w14:paraId="53CA38A1" w14:textId="10DA2831" w:rsidR="00856924" w:rsidRDefault="00F27E0D">
      <w:pPr>
        <w:pStyle w:val="TOC1"/>
        <w:rPr>
          <w:rFonts w:asciiTheme="minorHAnsi" w:eastAsiaTheme="minorEastAsia" w:hAnsiTheme="minorHAnsi" w:cstheme="minorBidi"/>
          <w:b w:val="0"/>
          <w:bCs w:val="0"/>
          <w:caps w:val="0"/>
          <w:color w:val="auto"/>
          <w:sz w:val="22"/>
          <w:szCs w:val="22"/>
          <w:lang w:eastAsia="en-AU"/>
        </w:rPr>
      </w:pPr>
      <w:r>
        <w:fldChar w:fldCharType="begin"/>
      </w:r>
      <w:r>
        <w:instrText xml:space="preserve"> TOC \o "1-2" \h \z </w:instrText>
      </w:r>
      <w:r>
        <w:fldChar w:fldCharType="separate"/>
      </w:r>
      <w:hyperlink w:anchor="_Toc6472810" w:history="1">
        <w:r w:rsidR="00856924" w:rsidRPr="0078266D">
          <w:rPr>
            <w:rStyle w:val="Hyperlink"/>
          </w:rPr>
          <w:t>Preface</w:t>
        </w:r>
        <w:r w:rsidR="00856924">
          <w:rPr>
            <w:webHidden/>
          </w:rPr>
          <w:tab/>
        </w:r>
        <w:r w:rsidR="00856924">
          <w:rPr>
            <w:webHidden/>
          </w:rPr>
          <w:fldChar w:fldCharType="begin"/>
        </w:r>
        <w:r w:rsidR="00856924">
          <w:rPr>
            <w:webHidden/>
          </w:rPr>
          <w:instrText xml:space="preserve"> PAGEREF _Toc6472810 \h </w:instrText>
        </w:r>
        <w:r w:rsidR="00856924">
          <w:rPr>
            <w:webHidden/>
          </w:rPr>
        </w:r>
        <w:r w:rsidR="00856924">
          <w:rPr>
            <w:webHidden/>
          </w:rPr>
          <w:fldChar w:fldCharType="separate"/>
        </w:r>
        <w:r w:rsidR="00856924">
          <w:rPr>
            <w:webHidden/>
          </w:rPr>
          <w:t>v</w:t>
        </w:r>
        <w:r w:rsidR="00856924">
          <w:rPr>
            <w:webHidden/>
          </w:rPr>
          <w:fldChar w:fldCharType="end"/>
        </w:r>
      </w:hyperlink>
    </w:p>
    <w:p w14:paraId="0FEB4A50" w14:textId="18189FEC" w:rsidR="00856924" w:rsidRDefault="001A6B74">
      <w:pPr>
        <w:pStyle w:val="TOC2"/>
        <w:rPr>
          <w:rFonts w:asciiTheme="minorHAnsi" w:eastAsiaTheme="minorEastAsia" w:hAnsiTheme="minorHAnsi" w:cstheme="minorBidi"/>
          <w:b w:val="0"/>
          <w:color w:val="auto"/>
          <w:sz w:val="22"/>
          <w:szCs w:val="22"/>
          <w:lang w:eastAsia="en-AU"/>
        </w:rPr>
      </w:pPr>
      <w:hyperlink w:anchor="_Toc6472811" w:history="1">
        <w:r w:rsidR="00856924" w:rsidRPr="0078266D">
          <w:rPr>
            <w:rStyle w:val="Hyperlink"/>
          </w:rPr>
          <w:t>About this document</w:t>
        </w:r>
        <w:r w:rsidR="00856924">
          <w:rPr>
            <w:webHidden/>
          </w:rPr>
          <w:tab/>
        </w:r>
        <w:r w:rsidR="00856924">
          <w:rPr>
            <w:webHidden/>
          </w:rPr>
          <w:fldChar w:fldCharType="begin"/>
        </w:r>
        <w:r w:rsidR="00856924">
          <w:rPr>
            <w:webHidden/>
          </w:rPr>
          <w:instrText xml:space="preserve"> PAGEREF _Toc6472811 \h </w:instrText>
        </w:r>
        <w:r w:rsidR="00856924">
          <w:rPr>
            <w:webHidden/>
          </w:rPr>
        </w:r>
        <w:r w:rsidR="00856924">
          <w:rPr>
            <w:webHidden/>
          </w:rPr>
          <w:fldChar w:fldCharType="separate"/>
        </w:r>
        <w:r w:rsidR="00856924">
          <w:rPr>
            <w:webHidden/>
          </w:rPr>
          <w:t>v</w:t>
        </w:r>
        <w:r w:rsidR="00856924">
          <w:rPr>
            <w:webHidden/>
          </w:rPr>
          <w:fldChar w:fldCharType="end"/>
        </w:r>
      </w:hyperlink>
    </w:p>
    <w:p w14:paraId="508EA006" w14:textId="3D66C66B" w:rsidR="00856924" w:rsidRDefault="001A6B74">
      <w:pPr>
        <w:pStyle w:val="TOC2"/>
        <w:rPr>
          <w:rFonts w:asciiTheme="minorHAnsi" w:eastAsiaTheme="minorEastAsia" w:hAnsiTheme="minorHAnsi" w:cstheme="minorBidi"/>
          <w:b w:val="0"/>
          <w:color w:val="auto"/>
          <w:sz w:val="22"/>
          <w:szCs w:val="22"/>
          <w:lang w:eastAsia="en-AU"/>
        </w:rPr>
      </w:pPr>
      <w:hyperlink w:anchor="_Toc6472812" w:history="1">
        <w:r w:rsidR="00856924" w:rsidRPr="0078266D">
          <w:rPr>
            <w:rStyle w:val="Hyperlink"/>
          </w:rPr>
          <w:t>Making a submission</w:t>
        </w:r>
        <w:r w:rsidR="00856924">
          <w:rPr>
            <w:webHidden/>
          </w:rPr>
          <w:tab/>
        </w:r>
        <w:r w:rsidR="00856924">
          <w:rPr>
            <w:webHidden/>
          </w:rPr>
          <w:fldChar w:fldCharType="begin"/>
        </w:r>
        <w:r w:rsidR="00856924">
          <w:rPr>
            <w:webHidden/>
          </w:rPr>
          <w:instrText xml:space="preserve"> PAGEREF _Toc6472812 \h </w:instrText>
        </w:r>
        <w:r w:rsidR="00856924">
          <w:rPr>
            <w:webHidden/>
          </w:rPr>
        </w:r>
        <w:r w:rsidR="00856924">
          <w:rPr>
            <w:webHidden/>
          </w:rPr>
          <w:fldChar w:fldCharType="separate"/>
        </w:r>
        <w:r w:rsidR="00856924">
          <w:rPr>
            <w:webHidden/>
          </w:rPr>
          <w:t>v</w:t>
        </w:r>
        <w:r w:rsidR="00856924">
          <w:rPr>
            <w:webHidden/>
          </w:rPr>
          <w:fldChar w:fldCharType="end"/>
        </w:r>
      </w:hyperlink>
    </w:p>
    <w:p w14:paraId="0A9DF288" w14:textId="78EDCD5E" w:rsidR="00856924" w:rsidRDefault="001A6B74">
      <w:pPr>
        <w:pStyle w:val="TOC2"/>
        <w:rPr>
          <w:rFonts w:asciiTheme="minorHAnsi" w:eastAsiaTheme="minorEastAsia" w:hAnsiTheme="minorHAnsi" w:cstheme="minorBidi"/>
          <w:b w:val="0"/>
          <w:color w:val="auto"/>
          <w:sz w:val="22"/>
          <w:szCs w:val="22"/>
          <w:lang w:eastAsia="en-AU"/>
        </w:rPr>
      </w:pPr>
      <w:hyperlink w:anchor="_Toc6472813" w:history="1">
        <w:r w:rsidR="00856924" w:rsidRPr="0078266D">
          <w:rPr>
            <w:rStyle w:val="Hyperlink"/>
          </w:rPr>
          <w:t>Further information</w:t>
        </w:r>
        <w:r w:rsidR="00856924">
          <w:rPr>
            <w:webHidden/>
          </w:rPr>
          <w:tab/>
        </w:r>
        <w:r w:rsidR="00856924">
          <w:rPr>
            <w:webHidden/>
          </w:rPr>
          <w:fldChar w:fldCharType="begin"/>
        </w:r>
        <w:r w:rsidR="00856924">
          <w:rPr>
            <w:webHidden/>
          </w:rPr>
          <w:instrText xml:space="preserve"> PAGEREF _Toc6472813 \h </w:instrText>
        </w:r>
        <w:r w:rsidR="00856924">
          <w:rPr>
            <w:webHidden/>
          </w:rPr>
        </w:r>
        <w:r w:rsidR="00856924">
          <w:rPr>
            <w:webHidden/>
          </w:rPr>
          <w:fldChar w:fldCharType="separate"/>
        </w:r>
        <w:r w:rsidR="00856924">
          <w:rPr>
            <w:webHidden/>
          </w:rPr>
          <w:t>vi</w:t>
        </w:r>
        <w:r w:rsidR="00856924">
          <w:rPr>
            <w:webHidden/>
          </w:rPr>
          <w:fldChar w:fldCharType="end"/>
        </w:r>
      </w:hyperlink>
    </w:p>
    <w:p w14:paraId="686DF18B" w14:textId="6D923441"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14" w:history="1">
        <w:r w:rsidR="00856924" w:rsidRPr="0078266D">
          <w:rPr>
            <w:rStyle w:val="Hyperlink"/>
          </w:rPr>
          <w:t>1</w:t>
        </w:r>
        <w:r w:rsidR="00856924">
          <w:rPr>
            <w:rFonts w:asciiTheme="minorHAnsi" w:eastAsiaTheme="minorEastAsia" w:hAnsiTheme="minorHAnsi" w:cstheme="minorBidi"/>
            <w:b w:val="0"/>
            <w:bCs w:val="0"/>
            <w:caps w:val="0"/>
            <w:color w:val="auto"/>
            <w:sz w:val="22"/>
            <w:szCs w:val="22"/>
            <w:lang w:eastAsia="en-AU"/>
          </w:rPr>
          <w:tab/>
        </w:r>
        <w:r w:rsidR="00856924" w:rsidRPr="0078266D">
          <w:rPr>
            <w:rStyle w:val="Hyperlink"/>
          </w:rPr>
          <w:t>Introduction</w:t>
        </w:r>
        <w:r w:rsidR="00856924">
          <w:rPr>
            <w:webHidden/>
          </w:rPr>
          <w:tab/>
        </w:r>
        <w:r w:rsidR="00856924">
          <w:rPr>
            <w:webHidden/>
          </w:rPr>
          <w:fldChar w:fldCharType="begin"/>
        </w:r>
        <w:r w:rsidR="00856924">
          <w:rPr>
            <w:webHidden/>
          </w:rPr>
          <w:instrText xml:space="preserve"> PAGEREF _Toc6472814 \h </w:instrText>
        </w:r>
        <w:r w:rsidR="00856924">
          <w:rPr>
            <w:webHidden/>
          </w:rPr>
        </w:r>
        <w:r w:rsidR="00856924">
          <w:rPr>
            <w:webHidden/>
          </w:rPr>
          <w:fldChar w:fldCharType="separate"/>
        </w:r>
        <w:r w:rsidR="00856924">
          <w:rPr>
            <w:webHidden/>
          </w:rPr>
          <w:t>7</w:t>
        </w:r>
        <w:r w:rsidR="00856924">
          <w:rPr>
            <w:webHidden/>
          </w:rPr>
          <w:fldChar w:fldCharType="end"/>
        </w:r>
      </w:hyperlink>
    </w:p>
    <w:p w14:paraId="5CD84CCB" w14:textId="7D50C114" w:rsidR="00856924" w:rsidRDefault="001A6B74">
      <w:pPr>
        <w:pStyle w:val="TOC2"/>
        <w:rPr>
          <w:rFonts w:asciiTheme="minorHAnsi" w:eastAsiaTheme="minorEastAsia" w:hAnsiTheme="minorHAnsi" w:cstheme="minorBidi"/>
          <w:b w:val="0"/>
          <w:color w:val="auto"/>
          <w:sz w:val="22"/>
          <w:szCs w:val="22"/>
          <w:lang w:eastAsia="en-AU"/>
        </w:rPr>
      </w:pPr>
      <w:hyperlink w:anchor="_Toc6472815" w:history="1">
        <w:r w:rsidR="00856924" w:rsidRPr="0078266D">
          <w:rPr>
            <w:rStyle w:val="Hyperlink"/>
          </w:rPr>
          <w:t>1.1</w:t>
        </w:r>
        <w:r w:rsidR="00856924">
          <w:rPr>
            <w:rFonts w:asciiTheme="minorHAnsi" w:eastAsiaTheme="minorEastAsia" w:hAnsiTheme="minorHAnsi" w:cstheme="minorBidi"/>
            <w:b w:val="0"/>
            <w:color w:val="auto"/>
            <w:sz w:val="22"/>
            <w:szCs w:val="22"/>
            <w:lang w:eastAsia="en-AU"/>
          </w:rPr>
          <w:tab/>
        </w:r>
        <w:r w:rsidR="00856924" w:rsidRPr="0078266D">
          <w:rPr>
            <w:rStyle w:val="Hyperlink"/>
          </w:rPr>
          <w:t>Applicant</w:t>
        </w:r>
        <w:r w:rsidR="00856924">
          <w:rPr>
            <w:webHidden/>
          </w:rPr>
          <w:tab/>
        </w:r>
        <w:r w:rsidR="00856924">
          <w:rPr>
            <w:webHidden/>
          </w:rPr>
          <w:fldChar w:fldCharType="begin"/>
        </w:r>
        <w:r w:rsidR="00856924">
          <w:rPr>
            <w:webHidden/>
          </w:rPr>
          <w:instrText xml:space="preserve"> PAGEREF _Toc6472815 \h </w:instrText>
        </w:r>
        <w:r w:rsidR="00856924">
          <w:rPr>
            <w:webHidden/>
          </w:rPr>
        </w:r>
        <w:r w:rsidR="00856924">
          <w:rPr>
            <w:webHidden/>
          </w:rPr>
          <w:fldChar w:fldCharType="separate"/>
        </w:r>
        <w:r w:rsidR="00856924">
          <w:rPr>
            <w:webHidden/>
          </w:rPr>
          <w:t>7</w:t>
        </w:r>
        <w:r w:rsidR="00856924">
          <w:rPr>
            <w:webHidden/>
          </w:rPr>
          <w:fldChar w:fldCharType="end"/>
        </w:r>
      </w:hyperlink>
    </w:p>
    <w:p w14:paraId="7106E5C7" w14:textId="36F864B2" w:rsidR="00856924" w:rsidRDefault="001A6B74">
      <w:pPr>
        <w:pStyle w:val="TOC2"/>
        <w:rPr>
          <w:rFonts w:asciiTheme="minorHAnsi" w:eastAsiaTheme="minorEastAsia" w:hAnsiTheme="minorHAnsi" w:cstheme="minorBidi"/>
          <w:b w:val="0"/>
          <w:color w:val="auto"/>
          <w:sz w:val="22"/>
          <w:szCs w:val="22"/>
          <w:lang w:eastAsia="en-AU"/>
        </w:rPr>
      </w:pPr>
      <w:hyperlink w:anchor="_Toc6472816" w:history="1">
        <w:r w:rsidR="00856924" w:rsidRPr="0078266D">
          <w:rPr>
            <w:rStyle w:val="Hyperlink"/>
          </w:rPr>
          <w:t>1.2</w:t>
        </w:r>
        <w:r w:rsidR="00856924">
          <w:rPr>
            <w:rFonts w:asciiTheme="minorHAnsi" w:eastAsiaTheme="minorEastAsia" w:hAnsiTheme="minorHAnsi" w:cstheme="minorBidi"/>
            <w:b w:val="0"/>
            <w:color w:val="auto"/>
            <w:sz w:val="22"/>
            <w:szCs w:val="22"/>
            <w:lang w:eastAsia="en-AU"/>
          </w:rPr>
          <w:tab/>
        </w:r>
        <w:r w:rsidR="00856924" w:rsidRPr="0078266D">
          <w:rPr>
            <w:rStyle w:val="Hyperlink"/>
          </w:rPr>
          <w:t>Purpose of application</w:t>
        </w:r>
        <w:r w:rsidR="00856924">
          <w:rPr>
            <w:webHidden/>
          </w:rPr>
          <w:tab/>
        </w:r>
        <w:r w:rsidR="00856924">
          <w:rPr>
            <w:webHidden/>
          </w:rPr>
          <w:fldChar w:fldCharType="begin"/>
        </w:r>
        <w:r w:rsidR="00856924">
          <w:rPr>
            <w:webHidden/>
          </w:rPr>
          <w:instrText xml:space="preserve"> PAGEREF _Toc6472816 \h </w:instrText>
        </w:r>
        <w:r w:rsidR="00856924">
          <w:rPr>
            <w:webHidden/>
          </w:rPr>
        </w:r>
        <w:r w:rsidR="00856924">
          <w:rPr>
            <w:webHidden/>
          </w:rPr>
          <w:fldChar w:fldCharType="separate"/>
        </w:r>
        <w:r w:rsidR="00856924">
          <w:rPr>
            <w:webHidden/>
          </w:rPr>
          <w:t>7</w:t>
        </w:r>
        <w:r w:rsidR="00856924">
          <w:rPr>
            <w:webHidden/>
          </w:rPr>
          <w:fldChar w:fldCharType="end"/>
        </w:r>
      </w:hyperlink>
    </w:p>
    <w:p w14:paraId="30AA01EC" w14:textId="2EA2CB0B" w:rsidR="00856924" w:rsidRDefault="001A6B74">
      <w:pPr>
        <w:pStyle w:val="TOC2"/>
        <w:rPr>
          <w:rFonts w:asciiTheme="minorHAnsi" w:eastAsiaTheme="minorEastAsia" w:hAnsiTheme="minorHAnsi" w:cstheme="minorBidi"/>
          <w:b w:val="0"/>
          <w:color w:val="auto"/>
          <w:sz w:val="22"/>
          <w:szCs w:val="22"/>
          <w:lang w:eastAsia="en-AU"/>
        </w:rPr>
      </w:pPr>
      <w:hyperlink w:anchor="_Toc6472817" w:history="1">
        <w:r w:rsidR="00856924" w:rsidRPr="0078266D">
          <w:rPr>
            <w:rStyle w:val="Hyperlink"/>
          </w:rPr>
          <w:t>1.3</w:t>
        </w:r>
        <w:r w:rsidR="00856924">
          <w:rPr>
            <w:rFonts w:asciiTheme="minorHAnsi" w:eastAsiaTheme="minorEastAsia" w:hAnsiTheme="minorHAnsi" w:cstheme="minorBidi"/>
            <w:b w:val="0"/>
            <w:color w:val="auto"/>
            <w:sz w:val="22"/>
            <w:szCs w:val="22"/>
            <w:lang w:eastAsia="en-AU"/>
          </w:rPr>
          <w:tab/>
        </w:r>
        <w:r w:rsidR="00856924" w:rsidRPr="0078266D">
          <w:rPr>
            <w:rStyle w:val="Hyperlink"/>
          </w:rPr>
          <w:t>Proposed claims and use pattern</w:t>
        </w:r>
        <w:r w:rsidR="00856924">
          <w:rPr>
            <w:webHidden/>
          </w:rPr>
          <w:tab/>
        </w:r>
        <w:r w:rsidR="00856924">
          <w:rPr>
            <w:webHidden/>
          </w:rPr>
          <w:fldChar w:fldCharType="begin"/>
        </w:r>
        <w:r w:rsidR="00856924">
          <w:rPr>
            <w:webHidden/>
          </w:rPr>
          <w:instrText xml:space="preserve"> PAGEREF _Toc6472817 \h </w:instrText>
        </w:r>
        <w:r w:rsidR="00856924">
          <w:rPr>
            <w:webHidden/>
          </w:rPr>
        </w:r>
        <w:r w:rsidR="00856924">
          <w:rPr>
            <w:webHidden/>
          </w:rPr>
          <w:fldChar w:fldCharType="separate"/>
        </w:r>
        <w:r w:rsidR="00856924">
          <w:rPr>
            <w:webHidden/>
          </w:rPr>
          <w:t>7</w:t>
        </w:r>
        <w:r w:rsidR="00856924">
          <w:rPr>
            <w:webHidden/>
          </w:rPr>
          <w:fldChar w:fldCharType="end"/>
        </w:r>
      </w:hyperlink>
    </w:p>
    <w:p w14:paraId="051893AE" w14:textId="1EDEC91C" w:rsidR="00856924" w:rsidRDefault="001A6B74">
      <w:pPr>
        <w:pStyle w:val="TOC2"/>
        <w:rPr>
          <w:rFonts w:asciiTheme="minorHAnsi" w:eastAsiaTheme="minorEastAsia" w:hAnsiTheme="minorHAnsi" w:cstheme="minorBidi"/>
          <w:b w:val="0"/>
          <w:color w:val="auto"/>
          <w:sz w:val="22"/>
          <w:szCs w:val="22"/>
          <w:lang w:eastAsia="en-AU"/>
        </w:rPr>
      </w:pPr>
      <w:hyperlink w:anchor="_Toc6472818" w:history="1">
        <w:r w:rsidR="00856924" w:rsidRPr="0078266D">
          <w:rPr>
            <w:rStyle w:val="Hyperlink"/>
          </w:rPr>
          <w:t>1.4</w:t>
        </w:r>
        <w:r w:rsidR="00856924">
          <w:rPr>
            <w:rFonts w:asciiTheme="minorHAnsi" w:eastAsiaTheme="minorEastAsia" w:hAnsiTheme="minorHAnsi" w:cstheme="minorBidi"/>
            <w:b w:val="0"/>
            <w:color w:val="auto"/>
            <w:sz w:val="22"/>
            <w:szCs w:val="22"/>
            <w:lang w:eastAsia="en-AU"/>
          </w:rPr>
          <w:tab/>
        </w:r>
        <w:r w:rsidR="00856924" w:rsidRPr="0078266D">
          <w:rPr>
            <w:rStyle w:val="Hyperlink"/>
          </w:rPr>
          <w:t>Mode of action</w:t>
        </w:r>
        <w:r w:rsidR="00856924">
          <w:rPr>
            <w:webHidden/>
          </w:rPr>
          <w:tab/>
        </w:r>
        <w:r w:rsidR="00856924">
          <w:rPr>
            <w:webHidden/>
          </w:rPr>
          <w:fldChar w:fldCharType="begin"/>
        </w:r>
        <w:r w:rsidR="00856924">
          <w:rPr>
            <w:webHidden/>
          </w:rPr>
          <w:instrText xml:space="preserve"> PAGEREF _Toc6472818 \h </w:instrText>
        </w:r>
        <w:r w:rsidR="00856924">
          <w:rPr>
            <w:webHidden/>
          </w:rPr>
        </w:r>
        <w:r w:rsidR="00856924">
          <w:rPr>
            <w:webHidden/>
          </w:rPr>
          <w:fldChar w:fldCharType="separate"/>
        </w:r>
        <w:r w:rsidR="00856924">
          <w:rPr>
            <w:webHidden/>
          </w:rPr>
          <w:t>7</w:t>
        </w:r>
        <w:r w:rsidR="00856924">
          <w:rPr>
            <w:webHidden/>
          </w:rPr>
          <w:fldChar w:fldCharType="end"/>
        </w:r>
      </w:hyperlink>
    </w:p>
    <w:p w14:paraId="1AE61EA1" w14:textId="0BD606FD"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19" w:history="1">
        <w:r w:rsidR="00856924" w:rsidRPr="0078266D">
          <w:rPr>
            <w:rStyle w:val="Hyperlink"/>
            <w:lang w:val="en-GB"/>
          </w:rPr>
          <w:t>2</w:t>
        </w:r>
        <w:r w:rsidR="00856924">
          <w:rPr>
            <w:rFonts w:asciiTheme="minorHAnsi" w:eastAsiaTheme="minorEastAsia" w:hAnsiTheme="minorHAnsi" w:cstheme="minorBidi"/>
            <w:b w:val="0"/>
            <w:bCs w:val="0"/>
            <w:caps w:val="0"/>
            <w:color w:val="auto"/>
            <w:sz w:val="22"/>
            <w:szCs w:val="22"/>
            <w:lang w:eastAsia="en-AU"/>
          </w:rPr>
          <w:tab/>
        </w:r>
        <w:r w:rsidR="00856924" w:rsidRPr="0078266D">
          <w:rPr>
            <w:rStyle w:val="Hyperlink"/>
            <w:lang w:val="en-GB"/>
          </w:rPr>
          <w:t>Chemistry and manufacture</w:t>
        </w:r>
        <w:r w:rsidR="00856924">
          <w:rPr>
            <w:webHidden/>
          </w:rPr>
          <w:tab/>
        </w:r>
        <w:r w:rsidR="00856924">
          <w:rPr>
            <w:webHidden/>
          </w:rPr>
          <w:fldChar w:fldCharType="begin"/>
        </w:r>
        <w:r w:rsidR="00856924">
          <w:rPr>
            <w:webHidden/>
          </w:rPr>
          <w:instrText xml:space="preserve"> PAGEREF _Toc6472819 \h </w:instrText>
        </w:r>
        <w:r w:rsidR="00856924">
          <w:rPr>
            <w:webHidden/>
          </w:rPr>
        </w:r>
        <w:r w:rsidR="00856924">
          <w:rPr>
            <w:webHidden/>
          </w:rPr>
          <w:fldChar w:fldCharType="separate"/>
        </w:r>
        <w:r w:rsidR="00856924">
          <w:rPr>
            <w:webHidden/>
          </w:rPr>
          <w:t>8</w:t>
        </w:r>
        <w:r w:rsidR="00856924">
          <w:rPr>
            <w:webHidden/>
          </w:rPr>
          <w:fldChar w:fldCharType="end"/>
        </w:r>
      </w:hyperlink>
    </w:p>
    <w:p w14:paraId="0931C49C" w14:textId="3DDB1718" w:rsidR="00856924" w:rsidRDefault="001A6B74">
      <w:pPr>
        <w:pStyle w:val="TOC2"/>
        <w:rPr>
          <w:rFonts w:asciiTheme="minorHAnsi" w:eastAsiaTheme="minorEastAsia" w:hAnsiTheme="minorHAnsi" w:cstheme="minorBidi"/>
          <w:b w:val="0"/>
          <w:color w:val="auto"/>
          <w:sz w:val="22"/>
          <w:szCs w:val="22"/>
          <w:lang w:eastAsia="en-AU"/>
        </w:rPr>
      </w:pPr>
      <w:hyperlink w:anchor="_Toc6472820" w:history="1">
        <w:r w:rsidR="00856924" w:rsidRPr="0078266D">
          <w:rPr>
            <w:rStyle w:val="Hyperlink"/>
          </w:rPr>
          <w:t>2.1</w:t>
        </w:r>
        <w:r w:rsidR="00856924">
          <w:rPr>
            <w:rFonts w:asciiTheme="minorHAnsi" w:eastAsiaTheme="minorEastAsia" w:hAnsiTheme="minorHAnsi" w:cstheme="minorBidi"/>
            <w:b w:val="0"/>
            <w:color w:val="auto"/>
            <w:sz w:val="22"/>
            <w:szCs w:val="22"/>
            <w:lang w:eastAsia="en-AU"/>
          </w:rPr>
          <w:tab/>
        </w:r>
        <w:r w:rsidR="00856924" w:rsidRPr="0078266D">
          <w:rPr>
            <w:rStyle w:val="Hyperlink"/>
          </w:rPr>
          <w:t>Active constituent</w:t>
        </w:r>
        <w:r w:rsidR="00856924">
          <w:rPr>
            <w:webHidden/>
          </w:rPr>
          <w:tab/>
        </w:r>
        <w:r w:rsidR="00856924">
          <w:rPr>
            <w:webHidden/>
          </w:rPr>
          <w:fldChar w:fldCharType="begin"/>
        </w:r>
        <w:r w:rsidR="00856924">
          <w:rPr>
            <w:webHidden/>
          </w:rPr>
          <w:instrText xml:space="preserve"> PAGEREF _Toc6472820 \h </w:instrText>
        </w:r>
        <w:r w:rsidR="00856924">
          <w:rPr>
            <w:webHidden/>
          </w:rPr>
        </w:r>
        <w:r w:rsidR="00856924">
          <w:rPr>
            <w:webHidden/>
          </w:rPr>
          <w:fldChar w:fldCharType="separate"/>
        </w:r>
        <w:r w:rsidR="00856924">
          <w:rPr>
            <w:webHidden/>
          </w:rPr>
          <w:t>8</w:t>
        </w:r>
        <w:r w:rsidR="00856924">
          <w:rPr>
            <w:webHidden/>
          </w:rPr>
          <w:fldChar w:fldCharType="end"/>
        </w:r>
      </w:hyperlink>
    </w:p>
    <w:p w14:paraId="55503809" w14:textId="3FF5D650" w:rsidR="00856924" w:rsidRDefault="001A6B74">
      <w:pPr>
        <w:pStyle w:val="TOC2"/>
        <w:rPr>
          <w:rFonts w:asciiTheme="minorHAnsi" w:eastAsiaTheme="minorEastAsia" w:hAnsiTheme="minorHAnsi" w:cstheme="minorBidi"/>
          <w:b w:val="0"/>
          <w:color w:val="auto"/>
          <w:sz w:val="22"/>
          <w:szCs w:val="22"/>
          <w:lang w:eastAsia="en-AU"/>
        </w:rPr>
      </w:pPr>
      <w:hyperlink w:anchor="_Toc6472821" w:history="1">
        <w:r w:rsidR="00856924" w:rsidRPr="0078266D">
          <w:rPr>
            <w:rStyle w:val="Hyperlink"/>
          </w:rPr>
          <w:t>2.2</w:t>
        </w:r>
        <w:r w:rsidR="00856924">
          <w:rPr>
            <w:rFonts w:asciiTheme="minorHAnsi" w:eastAsiaTheme="minorEastAsia" w:hAnsiTheme="minorHAnsi" w:cstheme="minorBidi"/>
            <w:b w:val="0"/>
            <w:color w:val="auto"/>
            <w:sz w:val="22"/>
            <w:szCs w:val="22"/>
            <w:lang w:eastAsia="en-AU"/>
          </w:rPr>
          <w:tab/>
        </w:r>
        <w:r w:rsidR="00856924" w:rsidRPr="0078266D">
          <w:rPr>
            <w:rStyle w:val="Hyperlink"/>
          </w:rPr>
          <w:t>Formulated product</w:t>
        </w:r>
        <w:r w:rsidR="00856924">
          <w:rPr>
            <w:webHidden/>
          </w:rPr>
          <w:tab/>
        </w:r>
        <w:r w:rsidR="00856924">
          <w:rPr>
            <w:webHidden/>
          </w:rPr>
          <w:fldChar w:fldCharType="begin"/>
        </w:r>
        <w:r w:rsidR="00856924">
          <w:rPr>
            <w:webHidden/>
          </w:rPr>
          <w:instrText xml:space="preserve"> PAGEREF _Toc6472821 \h </w:instrText>
        </w:r>
        <w:r w:rsidR="00856924">
          <w:rPr>
            <w:webHidden/>
          </w:rPr>
        </w:r>
        <w:r w:rsidR="00856924">
          <w:rPr>
            <w:webHidden/>
          </w:rPr>
          <w:fldChar w:fldCharType="separate"/>
        </w:r>
        <w:r w:rsidR="00856924">
          <w:rPr>
            <w:webHidden/>
          </w:rPr>
          <w:t>10</w:t>
        </w:r>
        <w:r w:rsidR="00856924">
          <w:rPr>
            <w:webHidden/>
          </w:rPr>
          <w:fldChar w:fldCharType="end"/>
        </w:r>
      </w:hyperlink>
    </w:p>
    <w:p w14:paraId="0182A749" w14:textId="686EAE2E" w:rsidR="00856924" w:rsidRDefault="001A6B74">
      <w:pPr>
        <w:pStyle w:val="TOC2"/>
        <w:rPr>
          <w:rFonts w:asciiTheme="minorHAnsi" w:eastAsiaTheme="minorEastAsia" w:hAnsiTheme="minorHAnsi" w:cstheme="minorBidi"/>
          <w:b w:val="0"/>
          <w:color w:val="auto"/>
          <w:sz w:val="22"/>
          <w:szCs w:val="22"/>
          <w:lang w:eastAsia="en-AU"/>
        </w:rPr>
      </w:pPr>
      <w:hyperlink w:anchor="_Toc6472822" w:history="1">
        <w:r w:rsidR="00856924" w:rsidRPr="0078266D">
          <w:rPr>
            <w:rStyle w:val="Hyperlink"/>
          </w:rPr>
          <w:t>2.3</w:t>
        </w:r>
        <w:r w:rsidR="00856924">
          <w:rPr>
            <w:rFonts w:asciiTheme="minorHAnsi" w:eastAsiaTheme="minorEastAsia" w:hAnsiTheme="minorHAnsi" w:cstheme="minorBidi"/>
            <w:b w:val="0"/>
            <w:color w:val="auto"/>
            <w:sz w:val="22"/>
            <w:szCs w:val="22"/>
            <w:lang w:eastAsia="en-AU"/>
          </w:rPr>
          <w:tab/>
        </w:r>
        <w:r w:rsidR="00856924" w:rsidRPr="0078266D">
          <w:rPr>
            <w:rStyle w:val="Hyperlink"/>
          </w:rPr>
          <w:t>Recommendations</w:t>
        </w:r>
        <w:r w:rsidR="00856924">
          <w:rPr>
            <w:webHidden/>
          </w:rPr>
          <w:tab/>
        </w:r>
        <w:r w:rsidR="00856924">
          <w:rPr>
            <w:webHidden/>
          </w:rPr>
          <w:fldChar w:fldCharType="begin"/>
        </w:r>
        <w:r w:rsidR="00856924">
          <w:rPr>
            <w:webHidden/>
          </w:rPr>
          <w:instrText xml:space="preserve"> PAGEREF _Toc6472822 \h </w:instrText>
        </w:r>
        <w:r w:rsidR="00856924">
          <w:rPr>
            <w:webHidden/>
          </w:rPr>
        </w:r>
        <w:r w:rsidR="00856924">
          <w:rPr>
            <w:webHidden/>
          </w:rPr>
          <w:fldChar w:fldCharType="separate"/>
        </w:r>
        <w:r w:rsidR="00856924">
          <w:rPr>
            <w:webHidden/>
          </w:rPr>
          <w:t>12</w:t>
        </w:r>
        <w:r w:rsidR="00856924">
          <w:rPr>
            <w:webHidden/>
          </w:rPr>
          <w:fldChar w:fldCharType="end"/>
        </w:r>
      </w:hyperlink>
    </w:p>
    <w:p w14:paraId="0C585238" w14:textId="2C02AD25"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23" w:history="1">
        <w:r w:rsidR="00856924" w:rsidRPr="0078266D">
          <w:rPr>
            <w:rStyle w:val="Hyperlink"/>
          </w:rPr>
          <w:t>3</w:t>
        </w:r>
        <w:r w:rsidR="00856924">
          <w:rPr>
            <w:rFonts w:asciiTheme="minorHAnsi" w:eastAsiaTheme="minorEastAsia" w:hAnsiTheme="minorHAnsi" w:cstheme="minorBidi"/>
            <w:b w:val="0"/>
            <w:bCs w:val="0"/>
            <w:caps w:val="0"/>
            <w:color w:val="auto"/>
            <w:sz w:val="22"/>
            <w:szCs w:val="22"/>
            <w:lang w:eastAsia="en-AU"/>
          </w:rPr>
          <w:tab/>
        </w:r>
        <w:r w:rsidR="00856924" w:rsidRPr="0078266D">
          <w:rPr>
            <w:rStyle w:val="Hyperlink"/>
          </w:rPr>
          <w:t>Toxicological assessment</w:t>
        </w:r>
        <w:r w:rsidR="00856924">
          <w:rPr>
            <w:webHidden/>
          </w:rPr>
          <w:tab/>
        </w:r>
        <w:r w:rsidR="00856924">
          <w:rPr>
            <w:webHidden/>
          </w:rPr>
          <w:fldChar w:fldCharType="begin"/>
        </w:r>
        <w:r w:rsidR="00856924">
          <w:rPr>
            <w:webHidden/>
          </w:rPr>
          <w:instrText xml:space="preserve"> PAGEREF _Toc6472823 \h </w:instrText>
        </w:r>
        <w:r w:rsidR="00856924">
          <w:rPr>
            <w:webHidden/>
          </w:rPr>
        </w:r>
        <w:r w:rsidR="00856924">
          <w:rPr>
            <w:webHidden/>
          </w:rPr>
          <w:fldChar w:fldCharType="separate"/>
        </w:r>
        <w:r w:rsidR="00856924">
          <w:rPr>
            <w:webHidden/>
          </w:rPr>
          <w:t>13</w:t>
        </w:r>
        <w:r w:rsidR="00856924">
          <w:rPr>
            <w:webHidden/>
          </w:rPr>
          <w:fldChar w:fldCharType="end"/>
        </w:r>
      </w:hyperlink>
    </w:p>
    <w:p w14:paraId="3356F8C0" w14:textId="48AD637E" w:rsidR="00856924" w:rsidRDefault="001A6B74">
      <w:pPr>
        <w:pStyle w:val="TOC2"/>
        <w:rPr>
          <w:rFonts w:asciiTheme="minorHAnsi" w:eastAsiaTheme="minorEastAsia" w:hAnsiTheme="minorHAnsi" w:cstheme="minorBidi"/>
          <w:b w:val="0"/>
          <w:color w:val="auto"/>
          <w:sz w:val="22"/>
          <w:szCs w:val="22"/>
          <w:lang w:eastAsia="en-AU"/>
        </w:rPr>
      </w:pPr>
      <w:hyperlink w:anchor="_Toc6472824" w:history="1">
        <w:r w:rsidR="00856924" w:rsidRPr="0078266D">
          <w:rPr>
            <w:rStyle w:val="Hyperlink"/>
          </w:rPr>
          <w:t>3.1</w:t>
        </w:r>
        <w:r w:rsidR="00856924">
          <w:rPr>
            <w:rFonts w:asciiTheme="minorHAnsi" w:eastAsiaTheme="minorEastAsia" w:hAnsiTheme="minorHAnsi" w:cstheme="minorBidi"/>
            <w:b w:val="0"/>
            <w:color w:val="auto"/>
            <w:sz w:val="22"/>
            <w:szCs w:val="22"/>
            <w:lang w:eastAsia="en-AU"/>
          </w:rPr>
          <w:tab/>
        </w:r>
        <w:r w:rsidR="00856924" w:rsidRPr="0078266D">
          <w:rPr>
            <w:rStyle w:val="Hyperlink"/>
          </w:rPr>
          <w:t>Evaluation of toxicology</w:t>
        </w:r>
        <w:r w:rsidR="00856924">
          <w:rPr>
            <w:webHidden/>
          </w:rPr>
          <w:tab/>
        </w:r>
        <w:r w:rsidR="00856924">
          <w:rPr>
            <w:webHidden/>
          </w:rPr>
          <w:fldChar w:fldCharType="begin"/>
        </w:r>
        <w:r w:rsidR="00856924">
          <w:rPr>
            <w:webHidden/>
          </w:rPr>
          <w:instrText xml:space="preserve"> PAGEREF _Toc6472824 \h </w:instrText>
        </w:r>
        <w:r w:rsidR="00856924">
          <w:rPr>
            <w:webHidden/>
          </w:rPr>
        </w:r>
        <w:r w:rsidR="00856924">
          <w:rPr>
            <w:webHidden/>
          </w:rPr>
          <w:fldChar w:fldCharType="separate"/>
        </w:r>
        <w:r w:rsidR="00856924">
          <w:rPr>
            <w:webHidden/>
          </w:rPr>
          <w:t>13</w:t>
        </w:r>
        <w:r w:rsidR="00856924">
          <w:rPr>
            <w:webHidden/>
          </w:rPr>
          <w:fldChar w:fldCharType="end"/>
        </w:r>
      </w:hyperlink>
    </w:p>
    <w:p w14:paraId="2A91AAE4" w14:textId="266C07D0" w:rsidR="00856924" w:rsidRDefault="001A6B74">
      <w:pPr>
        <w:pStyle w:val="TOC2"/>
        <w:rPr>
          <w:rFonts w:asciiTheme="minorHAnsi" w:eastAsiaTheme="minorEastAsia" w:hAnsiTheme="minorHAnsi" w:cstheme="minorBidi"/>
          <w:b w:val="0"/>
          <w:color w:val="auto"/>
          <w:sz w:val="22"/>
          <w:szCs w:val="22"/>
          <w:lang w:eastAsia="en-AU"/>
        </w:rPr>
      </w:pPr>
      <w:hyperlink w:anchor="_Toc6472825" w:history="1">
        <w:r w:rsidR="00856924" w:rsidRPr="0078266D">
          <w:rPr>
            <w:rStyle w:val="Hyperlink"/>
          </w:rPr>
          <w:t>3.2</w:t>
        </w:r>
        <w:r w:rsidR="00856924">
          <w:rPr>
            <w:rFonts w:asciiTheme="minorHAnsi" w:eastAsiaTheme="minorEastAsia" w:hAnsiTheme="minorHAnsi" w:cstheme="minorBidi"/>
            <w:b w:val="0"/>
            <w:color w:val="auto"/>
            <w:sz w:val="22"/>
            <w:szCs w:val="22"/>
            <w:lang w:eastAsia="en-AU"/>
          </w:rPr>
          <w:tab/>
        </w:r>
        <w:r w:rsidR="00856924" w:rsidRPr="0078266D">
          <w:rPr>
            <w:rStyle w:val="Hyperlink"/>
          </w:rPr>
          <w:t>Health-based guidance values and poisons scheduling</w:t>
        </w:r>
        <w:r w:rsidR="00856924">
          <w:rPr>
            <w:webHidden/>
          </w:rPr>
          <w:tab/>
        </w:r>
        <w:r w:rsidR="00856924">
          <w:rPr>
            <w:webHidden/>
          </w:rPr>
          <w:fldChar w:fldCharType="begin"/>
        </w:r>
        <w:r w:rsidR="00856924">
          <w:rPr>
            <w:webHidden/>
          </w:rPr>
          <w:instrText xml:space="preserve"> PAGEREF _Toc6472825 \h </w:instrText>
        </w:r>
        <w:r w:rsidR="00856924">
          <w:rPr>
            <w:webHidden/>
          </w:rPr>
        </w:r>
        <w:r w:rsidR="00856924">
          <w:rPr>
            <w:webHidden/>
          </w:rPr>
          <w:fldChar w:fldCharType="separate"/>
        </w:r>
        <w:r w:rsidR="00856924">
          <w:rPr>
            <w:webHidden/>
          </w:rPr>
          <w:t>17</w:t>
        </w:r>
        <w:r w:rsidR="00856924">
          <w:rPr>
            <w:webHidden/>
          </w:rPr>
          <w:fldChar w:fldCharType="end"/>
        </w:r>
      </w:hyperlink>
    </w:p>
    <w:p w14:paraId="3155B373" w14:textId="1C744650" w:rsidR="00856924" w:rsidRDefault="001A6B74">
      <w:pPr>
        <w:pStyle w:val="TOC2"/>
        <w:rPr>
          <w:rFonts w:asciiTheme="minorHAnsi" w:eastAsiaTheme="minorEastAsia" w:hAnsiTheme="minorHAnsi" w:cstheme="minorBidi"/>
          <w:b w:val="0"/>
          <w:color w:val="auto"/>
          <w:sz w:val="22"/>
          <w:szCs w:val="22"/>
          <w:lang w:eastAsia="en-AU"/>
        </w:rPr>
      </w:pPr>
      <w:hyperlink w:anchor="_Toc6472826" w:history="1">
        <w:r w:rsidR="00856924" w:rsidRPr="0078266D">
          <w:rPr>
            <w:rStyle w:val="Hyperlink"/>
          </w:rPr>
          <w:t>3.3</w:t>
        </w:r>
        <w:r w:rsidR="00856924">
          <w:rPr>
            <w:rFonts w:asciiTheme="minorHAnsi" w:eastAsiaTheme="minorEastAsia" w:hAnsiTheme="minorHAnsi" w:cstheme="minorBidi"/>
            <w:b w:val="0"/>
            <w:color w:val="auto"/>
            <w:sz w:val="22"/>
            <w:szCs w:val="22"/>
            <w:lang w:eastAsia="en-AU"/>
          </w:rPr>
          <w:tab/>
        </w:r>
        <w:r w:rsidR="00856924" w:rsidRPr="0078266D">
          <w:rPr>
            <w:rStyle w:val="Hyperlink"/>
          </w:rPr>
          <w:t>Recommendations</w:t>
        </w:r>
        <w:r w:rsidR="00856924">
          <w:rPr>
            <w:webHidden/>
          </w:rPr>
          <w:tab/>
        </w:r>
        <w:r w:rsidR="00856924">
          <w:rPr>
            <w:webHidden/>
          </w:rPr>
          <w:fldChar w:fldCharType="begin"/>
        </w:r>
        <w:r w:rsidR="00856924">
          <w:rPr>
            <w:webHidden/>
          </w:rPr>
          <w:instrText xml:space="preserve"> PAGEREF _Toc6472826 \h </w:instrText>
        </w:r>
        <w:r w:rsidR="00856924">
          <w:rPr>
            <w:webHidden/>
          </w:rPr>
        </w:r>
        <w:r w:rsidR="00856924">
          <w:rPr>
            <w:webHidden/>
          </w:rPr>
          <w:fldChar w:fldCharType="separate"/>
        </w:r>
        <w:r w:rsidR="00856924">
          <w:rPr>
            <w:webHidden/>
          </w:rPr>
          <w:t>18</w:t>
        </w:r>
        <w:r w:rsidR="00856924">
          <w:rPr>
            <w:webHidden/>
          </w:rPr>
          <w:fldChar w:fldCharType="end"/>
        </w:r>
      </w:hyperlink>
    </w:p>
    <w:p w14:paraId="3FD210F7" w14:textId="3303CD25"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27" w:history="1">
        <w:r w:rsidR="00856924" w:rsidRPr="0078266D">
          <w:rPr>
            <w:rStyle w:val="Hyperlink"/>
            <w:lang w:val="en-GB"/>
          </w:rPr>
          <w:t>4</w:t>
        </w:r>
        <w:r w:rsidR="00856924">
          <w:rPr>
            <w:rFonts w:asciiTheme="minorHAnsi" w:eastAsiaTheme="minorEastAsia" w:hAnsiTheme="minorHAnsi" w:cstheme="minorBidi"/>
            <w:b w:val="0"/>
            <w:bCs w:val="0"/>
            <w:caps w:val="0"/>
            <w:color w:val="auto"/>
            <w:sz w:val="22"/>
            <w:szCs w:val="22"/>
            <w:lang w:eastAsia="en-AU"/>
          </w:rPr>
          <w:tab/>
        </w:r>
        <w:r w:rsidR="00856924" w:rsidRPr="0078266D">
          <w:rPr>
            <w:rStyle w:val="Hyperlink"/>
            <w:lang w:val="en-GB"/>
          </w:rPr>
          <w:t>Residues assessment</w:t>
        </w:r>
        <w:r w:rsidR="00856924">
          <w:rPr>
            <w:webHidden/>
          </w:rPr>
          <w:tab/>
        </w:r>
        <w:r w:rsidR="00856924">
          <w:rPr>
            <w:webHidden/>
          </w:rPr>
          <w:fldChar w:fldCharType="begin"/>
        </w:r>
        <w:r w:rsidR="00856924">
          <w:rPr>
            <w:webHidden/>
          </w:rPr>
          <w:instrText xml:space="preserve"> PAGEREF _Toc6472827 \h </w:instrText>
        </w:r>
        <w:r w:rsidR="00856924">
          <w:rPr>
            <w:webHidden/>
          </w:rPr>
        </w:r>
        <w:r w:rsidR="00856924">
          <w:rPr>
            <w:webHidden/>
          </w:rPr>
          <w:fldChar w:fldCharType="separate"/>
        </w:r>
        <w:r w:rsidR="00856924">
          <w:rPr>
            <w:webHidden/>
          </w:rPr>
          <w:t>19</w:t>
        </w:r>
        <w:r w:rsidR="00856924">
          <w:rPr>
            <w:webHidden/>
          </w:rPr>
          <w:fldChar w:fldCharType="end"/>
        </w:r>
      </w:hyperlink>
    </w:p>
    <w:p w14:paraId="78E1AF2D" w14:textId="1EF8548F" w:rsidR="00856924" w:rsidRDefault="001A6B74">
      <w:pPr>
        <w:pStyle w:val="TOC2"/>
        <w:rPr>
          <w:rFonts w:asciiTheme="minorHAnsi" w:eastAsiaTheme="minorEastAsia" w:hAnsiTheme="minorHAnsi" w:cstheme="minorBidi"/>
          <w:b w:val="0"/>
          <w:color w:val="auto"/>
          <w:sz w:val="22"/>
          <w:szCs w:val="22"/>
          <w:lang w:eastAsia="en-AU"/>
        </w:rPr>
      </w:pPr>
      <w:hyperlink w:anchor="_Toc6472828" w:history="1">
        <w:r w:rsidR="00856924" w:rsidRPr="0078266D">
          <w:rPr>
            <w:rStyle w:val="Hyperlink"/>
            <w:lang w:val="en-GB"/>
          </w:rPr>
          <w:t>4.1</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Metabolism</w:t>
        </w:r>
        <w:r w:rsidR="00856924">
          <w:rPr>
            <w:webHidden/>
          </w:rPr>
          <w:tab/>
        </w:r>
        <w:r w:rsidR="00856924">
          <w:rPr>
            <w:webHidden/>
          </w:rPr>
          <w:fldChar w:fldCharType="begin"/>
        </w:r>
        <w:r w:rsidR="00856924">
          <w:rPr>
            <w:webHidden/>
          </w:rPr>
          <w:instrText xml:space="preserve"> PAGEREF _Toc6472828 \h </w:instrText>
        </w:r>
        <w:r w:rsidR="00856924">
          <w:rPr>
            <w:webHidden/>
          </w:rPr>
        </w:r>
        <w:r w:rsidR="00856924">
          <w:rPr>
            <w:webHidden/>
          </w:rPr>
          <w:fldChar w:fldCharType="separate"/>
        </w:r>
        <w:r w:rsidR="00856924">
          <w:rPr>
            <w:webHidden/>
          </w:rPr>
          <w:t>19</w:t>
        </w:r>
        <w:r w:rsidR="00856924">
          <w:rPr>
            <w:webHidden/>
          </w:rPr>
          <w:fldChar w:fldCharType="end"/>
        </w:r>
      </w:hyperlink>
    </w:p>
    <w:p w14:paraId="050A58F9" w14:textId="64700752" w:rsidR="00856924" w:rsidRDefault="001A6B74">
      <w:pPr>
        <w:pStyle w:val="TOC2"/>
        <w:rPr>
          <w:rFonts w:asciiTheme="minorHAnsi" w:eastAsiaTheme="minorEastAsia" w:hAnsiTheme="minorHAnsi" w:cstheme="minorBidi"/>
          <w:b w:val="0"/>
          <w:color w:val="auto"/>
          <w:sz w:val="22"/>
          <w:szCs w:val="22"/>
          <w:lang w:eastAsia="en-AU"/>
        </w:rPr>
      </w:pPr>
      <w:hyperlink w:anchor="_Toc6472829" w:history="1">
        <w:r w:rsidR="00856924" w:rsidRPr="0078266D">
          <w:rPr>
            <w:rStyle w:val="Hyperlink"/>
            <w:lang w:val="en-GB"/>
          </w:rPr>
          <w:t>4.2</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Analytical methods and storage stability</w:t>
        </w:r>
        <w:r w:rsidR="00856924">
          <w:rPr>
            <w:webHidden/>
          </w:rPr>
          <w:tab/>
        </w:r>
        <w:r w:rsidR="00856924">
          <w:rPr>
            <w:webHidden/>
          </w:rPr>
          <w:fldChar w:fldCharType="begin"/>
        </w:r>
        <w:r w:rsidR="00856924">
          <w:rPr>
            <w:webHidden/>
          </w:rPr>
          <w:instrText xml:space="preserve"> PAGEREF _Toc6472829 \h </w:instrText>
        </w:r>
        <w:r w:rsidR="00856924">
          <w:rPr>
            <w:webHidden/>
          </w:rPr>
        </w:r>
        <w:r w:rsidR="00856924">
          <w:rPr>
            <w:webHidden/>
          </w:rPr>
          <w:fldChar w:fldCharType="separate"/>
        </w:r>
        <w:r w:rsidR="00856924">
          <w:rPr>
            <w:webHidden/>
          </w:rPr>
          <w:t>22</w:t>
        </w:r>
        <w:r w:rsidR="00856924">
          <w:rPr>
            <w:webHidden/>
          </w:rPr>
          <w:fldChar w:fldCharType="end"/>
        </w:r>
      </w:hyperlink>
    </w:p>
    <w:p w14:paraId="7903F33D" w14:textId="0D400B23" w:rsidR="00856924" w:rsidRDefault="001A6B74">
      <w:pPr>
        <w:pStyle w:val="TOC2"/>
        <w:rPr>
          <w:rFonts w:asciiTheme="minorHAnsi" w:eastAsiaTheme="minorEastAsia" w:hAnsiTheme="minorHAnsi" w:cstheme="minorBidi"/>
          <w:b w:val="0"/>
          <w:color w:val="auto"/>
          <w:sz w:val="22"/>
          <w:szCs w:val="22"/>
          <w:lang w:eastAsia="en-AU"/>
        </w:rPr>
      </w:pPr>
      <w:hyperlink w:anchor="_Toc6472830" w:history="1">
        <w:r w:rsidR="00856924" w:rsidRPr="0078266D">
          <w:rPr>
            <w:rStyle w:val="Hyperlink"/>
            <w:lang w:val="en-GB"/>
          </w:rPr>
          <w:t>4.3</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Residue definition</w:t>
        </w:r>
        <w:r w:rsidR="00856924">
          <w:rPr>
            <w:webHidden/>
          </w:rPr>
          <w:tab/>
        </w:r>
        <w:r w:rsidR="00856924">
          <w:rPr>
            <w:webHidden/>
          </w:rPr>
          <w:fldChar w:fldCharType="begin"/>
        </w:r>
        <w:r w:rsidR="00856924">
          <w:rPr>
            <w:webHidden/>
          </w:rPr>
          <w:instrText xml:space="preserve"> PAGEREF _Toc6472830 \h </w:instrText>
        </w:r>
        <w:r w:rsidR="00856924">
          <w:rPr>
            <w:webHidden/>
          </w:rPr>
        </w:r>
        <w:r w:rsidR="00856924">
          <w:rPr>
            <w:webHidden/>
          </w:rPr>
          <w:fldChar w:fldCharType="separate"/>
        </w:r>
        <w:r w:rsidR="00856924">
          <w:rPr>
            <w:webHidden/>
          </w:rPr>
          <w:t>23</w:t>
        </w:r>
        <w:r w:rsidR="00856924">
          <w:rPr>
            <w:webHidden/>
          </w:rPr>
          <w:fldChar w:fldCharType="end"/>
        </w:r>
      </w:hyperlink>
    </w:p>
    <w:p w14:paraId="27976080" w14:textId="36FE1FBE" w:rsidR="00856924" w:rsidRDefault="001A6B74">
      <w:pPr>
        <w:pStyle w:val="TOC2"/>
        <w:rPr>
          <w:rFonts w:asciiTheme="minorHAnsi" w:eastAsiaTheme="minorEastAsia" w:hAnsiTheme="minorHAnsi" w:cstheme="minorBidi"/>
          <w:b w:val="0"/>
          <w:color w:val="auto"/>
          <w:sz w:val="22"/>
          <w:szCs w:val="22"/>
          <w:lang w:eastAsia="en-AU"/>
        </w:rPr>
      </w:pPr>
      <w:hyperlink w:anchor="_Toc6472831" w:history="1">
        <w:r w:rsidR="00856924" w:rsidRPr="0078266D">
          <w:rPr>
            <w:rStyle w:val="Hyperlink"/>
            <w:lang w:val="en-GB"/>
          </w:rPr>
          <w:t>4.4</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Crop residues &amp; MRLs</w:t>
        </w:r>
        <w:r w:rsidR="00856924">
          <w:rPr>
            <w:webHidden/>
          </w:rPr>
          <w:tab/>
        </w:r>
        <w:r w:rsidR="00856924">
          <w:rPr>
            <w:webHidden/>
          </w:rPr>
          <w:fldChar w:fldCharType="begin"/>
        </w:r>
        <w:r w:rsidR="00856924">
          <w:rPr>
            <w:webHidden/>
          </w:rPr>
          <w:instrText xml:space="preserve"> PAGEREF _Toc6472831 \h </w:instrText>
        </w:r>
        <w:r w:rsidR="00856924">
          <w:rPr>
            <w:webHidden/>
          </w:rPr>
        </w:r>
        <w:r w:rsidR="00856924">
          <w:rPr>
            <w:webHidden/>
          </w:rPr>
          <w:fldChar w:fldCharType="separate"/>
        </w:r>
        <w:r w:rsidR="00856924">
          <w:rPr>
            <w:webHidden/>
          </w:rPr>
          <w:t>23</w:t>
        </w:r>
        <w:r w:rsidR="00856924">
          <w:rPr>
            <w:webHidden/>
          </w:rPr>
          <w:fldChar w:fldCharType="end"/>
        </w:r>
      </w:hyperlink>
    </w:p>
    <w:p w14:paraId="755DD35B" w14:textId="1B611565" w:rsidR="00856924" w:rsidRDefault="001A6B74">
      <w:pPr>
        <w:pStyle w:val="TOC2"/>
        <w:rPr>
          <w:rFonts w:asciiTheme="minorHAnsi" w:eastAsiaTheme="minorEastAsia" w:hAnsiTheme="minorHAnsi" w:cstheme="minorBidi"/>
          <w:b w:val="0"/>
          <w:color w:val="auto"/>
          <w:sz w:val="22"/>
          <w:szCs w:val="22"/>
          <w:lang w:eastAsia="en-AU"/>
        </w:rPr>
      </w:pPr>
      <w:hyperlink w:anchor="_Toc6472832" w:history="1">
        <w:r w:rsidR="00856924" w:rsidRPr="0078266D">
          <w:rPr>
            <w:rStyle w:val="Hyperlink"/>
          </w:rPr>
          <w:t>4.5</w:t>
        </w:r>
        <w:r w:rsidR="00856924">
          <w:rPr>
            <w:rFonts w:asciiTheme="minorHAnsi" w:eastAsiaTheme="minorEastAsia" w:hAnsiTheme="minorHAnsi" w:cstheme="minorBidi"/>
            <w:b w:val="0"/>
            <w:color w:val="auto"/>
            <w:sz w:val="22"/>
            <w:szCs w:val="22"/>
            <w:lang w:eastAsia="en-AU"/>
          </w:rPr>
          <w:tab/>
        </w:r>
        <w:r w:rsidR="00856924" w:rsidRPr="0078266D">
          <w:rPr>
            <w:rStyle w:val="Hyperlink"/>
          </w:rPr>
          <w:t>Animal commodities &amp; MRLs</w:t>
        </w:r>
        <w:r w:rsidR="00856924">
          <w:rPr>
            <w:webHidden/>
          </w:rPr>
          <w:tab/>
        </w:r>
        <w:r w:rsidR="00856924">
          <w:rPr>
            <w:webHidden/>
          </w:rPr>
          <w:fldChar w:fldCharType="begin"/>
        </w:r>
        <w:r w:rsidR="00856924">
          <w:rPr>
            <w:webHidden/>
          </w:rPr>
          <w:instrText xml:space="preserve"> PAGEREF _Toc6472832 \h </w:instrText>
        </w:r>
        <w:r w:rsidR="00856924">
          <w:rPr>
            <w:webHidden/>
          </w:rPr>
        </w:r>
        <w:r w:rsidR="00856924">
          <w:rPr>
            <w:webHidden/>
          </w:rPr>
          <w:fldChar w:fldCharType="separate"/>
        </w:r>
        <w:r w:rsidR="00856924">
          <w:rPr>
            <w:webHidden/>
          </w:rPr>
          <w:t>24</w:t>
        </w:r>
        <w:r w:rsidR="00856924">
          <w:rPr>
            <w:webHidden/>
          </w:rPr>
          <w:fldChar w:fldCharType="end"/>
        </w:r>
      </w:hyperlink>
    </w:p>
    <w:p w14:paraId="2B82477D" w14:textId="265F1B9F" w:rsidR="00856924" w:rsidRDefault="001A6B74">
      <w:pPr>
        <w:pStyle w:val="TOC2"/>
        <w:rPr>
          <w:rFonts w:asciiTheme="minorHAnsi" w:eastAsiaTheme="minorEastAsia" w:hAnsiTheme="minorHAnsi" w:cstheme="minorBidi"/>
          <w:b w:val="0"/>
          <w:color w:val="auto"/>
          <w:sz w:val="22"/>
          <w:szCs w:val="22"/>
          <w:lang w:eastAsia="en-AU"/>
        </w:rPr>
      </w:pPr>
      <w:hyperlink w:anchor="_Toc6472833" w:history="1">
        <w:r w:rsidR="00856924" w:rsidRPr="0078266D">
          <w:rPr>
            <w:rStyle w:val="Hyperlink"/>
            <w:lang w:val="en-GB"/>
          </w:rPr>
          <w:t>4.6</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Crop rotation</w:t>
        </w:r>
        <w:r w:rsidR="00856924">
          <w:rPr>
            <w:webHidden/>
          </w:rPr>
          <w:tab/>
        </w:r>
        <w:r w:rsidR="00856924">
          <w:rPr>
            <w:webHidden/>
          </w:rPr>
          <w:fldChar w:fldCharType="begin"/>
        </w:r>
        <w:r w:rsidR="00856924">
          <w:rPr>
            <w:webHidden/>
          </w:rPr>
          <w:instrText xml:space="preserve"> PAGEREF _Toc6472833 \h </w:instrText>
        </w:r>
        <w:r w:rsidR="00856924">
          <w:rPr>
            <w:webHidden/>
          </w:rPr>
        </w:r>
        <w:r w:rsidR="00856924">
          <w:rPr>
            <w:webHidden/>
          </w:rPr>
          <w:fldChar w:fldCharType="separate"/>
        </w:r>
        <w:r w:rsidR="00856924">
          <w:rPr>
            <w:webHidden/>
          </w:rPr>
          <w:t>24</w:t>
        </w:r>
        <w:r w:rsidR="00856924">
          <w:rPr>
            <w:webHidden/>
          </w:rPr>
          <w:fldChar w:fldCharType="end"/>
        </w:r>
      </w:hyperlink>
    </w:p>
    <w:p w14:paraId="3FFD62F2" w14:textId="476E5AEA" w:rsidR="00856924" w:rsidRDefault="001A6B74">
      <w:pPr>
        <w:pStyle w:val="TOC2"/>
        <w:rPr>
          <w:rFonts w:asciiTheme="minorHAnsi" w:eastAsiaTheme="minorEastAsia" w:hAnsiTheme="minorHAnsi" w:cstheme="minorBidi"/>
          <w:b w:val="0"/>
          <w:color w:val="auto"/>
          <w:sz w:val="22"/>
          <w:szCs w:val="22"/>
          <w:lang w:eastAsia="en-AU"/>
        </w:rPr>
      </w:pPr>
      <w:hyperlink w:anchor="_Toc6472834" w:history="1">
        <w:r w:rsidR="00856924" w:rsidRPr="0078266D">
          <w:rPr>
            <w:rStyle w:val="Hyperlink"/>
            <w:lang w:val="en-GB"/>
          </w:rPr>
          <w:t>4.7</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Residues in animal commodities</w:t>
        </w:r>
        <w:r w:rsidR="00856924">
          <w:rPr>
            <w:webHidden/>
          </w:rPr>
          <w:tab/>
        </w:r>
        <w:r w:rsidR="00856924">
          <w:rPr>
            <w:webHidden/>
          </w:rPr>
          <w:fldChar w:fldCharType="begin"/>
        </w:r>
        <w:r w:rsidR="00856924">
          <w:rPr>
            <w:webHidden/>
          </w:rPr>
          <w:instrText xml:space="preserve"> PAGEREF _Toc6472834 \h </w:instrText>
        </w:r>
        <w:r w:rsidR="00856924">
          <w:rPr>
            <w:webHidden/>
          </w:rPr>
        </w:r>
        <w:r w:rsidR="00856924">
          <w:rPr>
            <w:webHidden/>
          </w:rPr>
          <w:fldChar w:fldCharType="separate"/>
        </w:r>
        <w:r w:rsidR="00856924">
          <w:rPr>
            <w:webHidden/>
          </w:rPr>
          <w:t>25</w:t>
        </w:r>
        <w:r w:rsidR="00856924">
          <w:rPr>
            <w:webHidden/>
          </w:rPr>
          <w:fldChar w:fldCharType="end"/>
        </w:r>
      </w:hyperlink>
    </w:p>
    <w:p w14:paraId="76C9C443" w14:textId="6633EFDC" w:rsidR="00856924" w:rsidRDefault="001A6B74">
      <w:pPr>
        <w:pStyle w:val="TOC2"/>
        <w:rPr>
          <w:rFonts w:asciiTheme="minorHAnsi" w:eastAsiaTheme="minorEastAsia" w:hAnsiTheme="minorHAnsi" w:cstheme="minorBidi"/>
          <w:b w:val="0"/>
          <w:color w:val="auto"/>
          <w:sz w:val="22"/>
          <w:szCs w:val="22"/>
          <w:lang w:eastAsia="en-AU"/>
        </w:rPr>
      </w:pPr>
      <w:hyperlink w:anchor="_Toc6472835" w:history="1">
        <w:r w:rsidR="00856924" w:rsidRPr="0078266D">
          <w:rPr>
            <w:rStyle w:val="Hyperlink"/>
            <w:lang w:val="en-GB"/>
          </w:rPr>
          <w:t>4.8</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Spray drift</w:t>
        </w:r>
        <w:r w:rsidR="00856924">
          <w:rPr>
            <w:webHidden/>
          </w:rPr>
          <w:tab/>
        </w:r>
        <w:r w:rsidR="00856924">
          <w:rPr>
            <w:webHidden/>
          </w:rPr>
          <w:fldChar w:fldCharType="begin"/>
        </w:r>
        <w:r w:rsidR="00856924">
          <w:rPr>
            <w:webHidden/>
          </w:rPr>
          <w:instrText xml:space="preserve"> PAGEREF _Toc6472835 \h </w:instrText>
        </w:r>
        <w:r w:rsidR="00856924">
          <w:rPr>
            <w:webHidden/>
          </w:rPr>
        </w:r>
        <w:r w:rsidR="00856924">
          <w:rPr>
            <w:webHidden/>
          </w:rPr>
          <w:fldChar w:fldCharType="separate"/>
        </w:r>
        <w:r w:rsidR="00856924">
          <w:rPr>
            <w:webHidden/>
          </w:rPr>
          <w:t>25</w:t>
        </w:r>
        <w:r w:rsidR="00856924">
          <w:rPr>
            <w:webHidden/>
          </w:rPr>
          <w:fldChar w:fldCharType="end"/>
        </w:r>
      </w:hyperlink>
    </w:p>
    <w:p w14:paraId="357B4330" w14:textId="446A6833" w:rsidR="00856924" w:rsidRDefault="001A6B74">
      <w:pPr>
        <w:pStyle w:val="TOC2"/>
        <w:rPr>
          <w:rFonts w:asciiTheme="minorHAnsi" w:eastAsiaTheme="minorEastAsia" w:hAnsiTheme="minorHAnsi" w:cstheme="minorBidi"/>
          <w:b w:val="0"/>
          <w:color w:val="auto"/>
          <w:sz w:val="22"/>
          <w:szCs w:val="22"/>
          <w:lang w:eastAsia="en-AU"/>
        </w:rPr>
      </w:pPr>
      <w:hyperlink w:anchor="_Toc6472836" w:history="1">
        <w:r w:rsidR="00856924" w:rsidRPr="0078266D">
          <w:rPr>
            <w:rStyle w:val="Hyperlink"/>
            <w:lang w:val="en-GB"/>
          </w:rPr>
          <w:t>4.9</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Dietary risk assessment</w:t>
        </w:r>
        <w:r w:rsidR="00856924">
          <w:rPr>
            <w:webHidden/>
          </w:rPr>
          <w:tab/>
        </w:r>
        <w:r w:rsidR="00856924">
          <w:rPr>
            <w:webHidden/>
          </w:rPr>
          <w:fldChar w:fldCharType="begin"/>
        </w:r>
        <w:r w:rsidR="00856924">
          <w:rPr>
            <w:webHidden/>
          </w:rPr>
          <w:instrText xml:space="preserve"> PAGEREF _Toc6472836 \h </w:instrText>
        </w:r>
        <w:r w:rsidR="00856924">
          <w:rPr>
            <w:webHidden/>
          </w:rPr>
        </w:r>
        <w:r w:rsidR="00856924">
          <w:rPr>
            <w:webHidden/>
          </w:rPr>
          <w:fldChar w:fldCharType="separate"/>
        </w:r>
        <w:r w:rsidR="00856924">
          <w:rPr>
            <w:webHidden/>
          </w:rPr>
          <w:t>25</w:t>
        </w:r>
        <w:r w:rsidR="00856924">
          <w:rPr>
            <w:webHidden/>
          </w:rPr>
          <w:fldChar w:fldCharType="end"/>
        </w:r>
      </w:hyperlink>
    </w:p>
    <w:p w14:paraId="54CD6439" w14:textId="5944A74A" w:rsidR="00856924" w:rsidRDefault="001A6B74">
      <w:pPr>
        <w:pStyle w:val="TOC2"/>
        <w:rPr>
          <w:rFonts w:asciiTheme="minorHAnsi" w:eastAsiaTheme="minorEastAsia" w:hAnsiTheme="minorHAnsi" w:cstheme="minorBidi"/>
          <w:b w:val="0"/>
          <w:color w:val="auto"/>
          <w:sz w:val="22"/>
          <w:szCs w:val="22"/>
          <w:lang w:eastAsia="en-AU"/>
        </w:rPr>
      </w:pPr>
      <w:hyperlink w:anchor="_Toc6472837" w:history="1">
        <w:r w:rsidR="00856924" w:rsidRPr="0078266D">
          <w:rPr>
            <w:rStyle w:val="Hyperlink"/>
          </w:rPr>
          <w:t>4.10</w:t>
        </w:r>
        <w:r w:rsidR="00856924">
          <w:rPr>
            <w:rFonts w:asciiTheme="minorHAnsi" w:eastAsiaTheme="minorEastAsia" w:hAnsiTheme="minorHAnsi" w:cstheme="minorBidi"/>
            <w:b w:val="0"/>
            <w:color w:val="auto"/>
            <w:sz w:val="22"/>
            <w:szCs w:val="22"/>
            <w:lang w:eastAsia="en-AU"/>
          </w:rPr>
          <w:tab/>
        </w:r>
        <w:r w:rsidR="00856924" w:rsidRPr="0078266D">
          <w:rPr>
            <w:rStyle w:val="Hyperlink"/>
          </w:rPr>
          <w:t>Recommendations</w:t>
        </w:r>
        <w:r w:rsidR="00856924">
          <w:rPr>
            <w:webHidden/>
          </w:rPr>
          <w:tab/>
        </w:r>
        <w:r w:rsidR="00856924">
          <w:rPr>
            <w:webHidden/>
          </w:rPr>
          <w:fldChar w:fldCharType="begin"/>
        </w:r>
        <w:r w:rsidR="00856924">
          <w:rPr>
            <w:webHidden/>
          </w:rPr>
          <w:instrText xml:space="preserve"> PAGEREF _Toc6472837 \h </w:instrText>
        </w:r>
        <w:r w:rsidR="00856924">
          <w:rPr>
            <w:webHidden/>
          </w:rPr>
        </w:r>
        <w:r w:rsidR="00856924">
          <w:rPr>
            <w:webHidden/>
          </w:rPr>
          <w:fldChar w:fldCharType="separate"/>
        </w:r>
        <w:r w:rsidR="00856924">
          <w:rPr>
            <w:webHidden/>
          </w:rPr>
          <w:t>26</w:t>
        </w:r>
        <w:r w:rsidR="00856924">
          <w:rPr>
            <w:webHidden/>
          </w:rPr>
          <w:fldChar w:fldCharType="end"/>
        </w:r>
      </w:hyperlink>
    </w:p>
    <w:p w14:paraId="668ACC1A" w14:textId="7432D345"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38" w:history="1">
        <w:r w:rsidR="00856924" w:rsidRPr="0078266D">
          <w:rPr>
            <w:rStyle w:val="Hyperlink"/>
          </w:rPr>
          <w:t>5</w:t>
        </w:r>
        <w:r w:rsidR="00856924">
          <w:rPr>
            <w:rFonts w:asciiTheme="minorHAnsi" w:eastAsiaTheme="minorEastAsia" w:hAnsiTheme="minorHAnsi" w:cstheme="minorBidi"/>
            <w:b w:val="0"/>
            <w:bCs w:val="0"/>
            <w:caps w:val="0"/>
            <w:color w:val="auto"/>
            <w:sz w:val="22"/>
            <w:szCs w:val="22"/>
            <w:lang w:eastAsia="en-AU"/>
          </w:rPr>
          <w:tab/>
        </w:r>
        <w:r w:rsidR="00856924" w:rsidRPr="0078266D">
          <w:rPr>
            <w:rStyle w:val="Hyperlink"/>
          </w:rPr>
          <w:t>Assessment of overseas trade aspects of residues in food</w:t>
        </w:r>
        <w:r w:rsidR="00856924">
          <w:rPr>
            <w:webHidden/>
          </w:rPr>
          <w:tab/>
        </w:r>
        <w:r w:rsidR="00856924">
          <w:rPr>
            <w:webHidden/>
          </w:rPr>
          <w:fldChar w:fldCharType="begin"/>
        </w:r>
        <w:r w:rsidR="00856924">
          <w:rPr>
            <w:webHidden/>
          </w:rPr>
          <w:instrText xml:space="preserve"> PAGEREF _Toc6472838 \h </w:instrText>
        </w:r>
        <w:r w:rsidR="00856924">
          <w:rPr>
            <w:webHidden/>
          </w:rPr>
        </w:r>
        <w:r w:rsidR="00856924">
          <w:rPr>
            <w:webHidden/>
          </w:rPr>
          <w:fldChar w:fldCharType="separate"/>
        </w:r>
        <w:r w:rsidR="00856924">
          <w:rPr>
            <w:webHidden/>
          </w:rPr>
          <w:t>27</w:t>
        </w:r>
        <w:r w:rsidR="00856924">
          <w:rPr>
            <w:webHidden/>
          </w:rPr>
          <w:fldChar w:fldCharType="end"/>
        </w:r>
      </w:hyperlink>
    </w:p>
    <w:p w14:paraId="75C4E2C6" w14:textId="7C2B6967" w:rsidR="00856924" w:rsidRDefault="001A6B74">
      <w:pPr>
        <w:pStyle w:val="TOC2"/>
        <w:rPr>
          <w:rFonts w:asciiTheme="minorHAnsi" w:eastAsiaTheme="minorEastAsia" w:hAnsiTheme="minorHAnsi" w:cstheme="minorBidi"/>
          <w:b w:val="0"/>
          <w:color w:val="auto"/>
          <w:sz w:val="22"/>
          <w:szCs w:val="22"/>
          <w:lang w:eastAsia="en-AU"/>
        </w:rPr>
      </w:pPr>
      <w:hyperlink w:anchor="_Toc6472839" w:history="1">
        <w:r w:rsidR="00856924" w:rsidRPr="0078266D">
          <w:rPr>
            <w:rStyle w:val="Hyperlink"/>
          </w:rPr>
          <w:t>5.1</w:t>
        </w:r>
        <w:r w:rsidR="00856924">
          <w:rPr>
            <w:rFonts w:asciiTheme="minorHAnsi" w:eastAsiaTheme="minorEastAsia" w:hAnsiTheme="minorHAnsi" w:cstheme="minorBidi"/>
            <w:b w:val="0"/>
            <w:color w:val="auto"/>
            <w:sz w:val="22"/>
            <w:szCs w:val="22"/>
            <w:lang w:eastAsia="en-AU"/>
          </w:rPr>
          <w:tab/>
        </w:r>
        <w:r w:rsidR="00856924" w:rsidRPr="0078266D">
          <w:rPr>
            <w:rStyle w:val="Hyperlink"/>
          </w:rPr>
          <w:t>Commodities exported and main destinations</w:t>
        </w:r>
        <w:r w:rsidR="00856924">
          <w:rPr>
            <w:webHidden/>
          </w:rPr>
          <w:tab/>
        </w:r>
        <w:r w:rsidR="00856924">
          <w:rPr>
            <w:webHidden/>
          </w:rPr>
          <w:fldChar w:fldCharType="begin"/>
        </w:r>
        <w:r w:rsidR="00856924">
          <w:rPr>
            <w:webHidden/>
          </w:rPr>
          <w:instrText xml:space="preserve"> PAGEREF _Toc6472839 \h </w:instrText>
        </w:r>
        <w:r w:rsidR="00856924">
          <w:rPr>
            <w:webHidden/>
          </w:rPr>
        </w:r>
        <w:r w:rsidR="00856924">
          <w:rPr>
            <w:webHidden/>
          </w:rPr>
          <w:fldChar w:fldCharType="separate"/>
        </w:r>
        <w:r w:rsidR="00856924">
          <w:rPr>
            <w:webHidden/>
          </w:rPr>
          <w:t>27</w:t>
        </w:r>
        <w:r w:rsidR="00856924">
          <w:rPr>
            <w:webHidden/>
          </w:rPr>
          <w:fldChar w:fldCharType="end"/>
        </w:r>
      </w:hyperlink>
    </w:p>
    <w:p w14:paraId="1D3CC443" w14:textId="0D9DA928" w:rsidR="00856924" w:rsidRDefault="001A6B74">
      <w:pPr>
        <w:pStyle w:val="TOC2"/>
        <w:rPr>
          <w:rFonts w:asciiTheme="minorHAnsi" w:eastAsiaTheme="minorEastAsia" w:hAnsiTheme="minorHAnsi" w:cstheme="minorBidi"/>
          <w:b w:val="0"/>
          <w:color w:val="auto"/>
          <w:sz w:val="22"/>
          <w:szCs w:val="22"/>
          <w:lang w:eastAsia="en-AU"/>
        </w:rPr>
      </w:pPr>
      <w:hyperlink w:anchor="_Toc6472840" w:history="1">
        <w:r w:rsidR="00856924" w:rsidRPr="0078266D">
          <w:rPr>
            <w:rStyle w:val="Hyperlink"/>
          </w:rPr>
          <w:t>5.2</w:t>
        </w:r>
        <w:r w:rsidR="00856924">
          <w:rPr>
            <w:rFonts w:asciiTheme="minorHAnsi" w:eastAsiaTheme="minorEastAsia" w:hAnsiTheme="minorHAnsi" w:cstheme="minorBidi"/>
            <w:b w:val="0"/>
            <w:color w:val="auto"/>
            <w:sz w:val="22"/>
            <w:szCs w:val="22"/>
            <w:lang w:eastAsia="en-AU"/>
          </w:rPr>
          <w:tab/>
        </w:r>
        <w:r w:rsidR="00856924" w:rsidRPr="0078266D">
          <w:rPr>
            <w:rStyle w:val="Hyperlink"/>
          </w:rPr>
          <w:t>Overseas registrations and approved label instructions</w:t>
        </w:r>
        <w:r w:rsidR="00856924">
          <w:rPr>
            <w:webHidden/>
          </w:rPr>
          <w:tab/>
        </w:r>
        <w:r w:rsidR="00856924">
          <w:rPr>
            <w:webHidden/>
          </w:rPr>
          <w:fldChar w:fldCharType="begin"/>
        </w:r>
        <w:r w:rsidR="00856924">
          <w:rPr>
            <w:webHidden/>
          </w:rPr>
          <w:instrText xml:space="preserve"> PAGEREF _Toc6472840 \h </w:instrText>
        </w:r>
        <w:r w:rsidR="00856924">
          <w:rPr>
            <w:webHidden/>
          </w:rPr>
        </w:r>
        <w:r w:rsidR="00856924">
          <w:rPr>
            <w:webHidden/>
          </w:rPr>
          <w:fldChar w:fldCharType="separate"/>
        </w:r>
        <w:r w:rsidR="00856924">
          <w:rPr>
            <w:webHidden/>
          </w:rPr>
          <w:t>27</w:t>
        </w:r>
        <w:r w:rsidR="00856924">
          <w:rPr>
            <w:webHidden/>
          </w:rPr>
          <w:fldChar w:fldCharType="end"/>
        </w:r>
      </w:hyperlink>
    </w:p>
    <w:p w14:paraId="3F41FB68" w14:textId="0F3F3BD2" w:rsidR="00856924" w:rsidRDefault="001A6B74">
      <w:pPr>
        <w:pStyle w:val="TOC2"/>
        <w:rPr>
          <w:rFonts w:asciiTheme="minorHAnsi" w:eastAsiaTheme="minorEastAsia" w:hAnsiTheme="minorHAnsi" w:cstheme="minorBidi"/>
          <w:b w:val="0"/>
          <w:color w:val="auto"/>
          <w:sz w:val="22"/>
          <w:szCs w:val="22"/>
          <w:lang w:eastAsia="en-AU"/>
        </w:rPr>
      </w:pPr>
      <w:hyperlink w:anchor="_Toc6472841" w:history="1">
        <w:r w:rsidR="00856924" w:rsidRPr="0078266D">
          <w:rPr>
            <w:rStyle w:val="Hyperlink"/>
          </w:rPr>
          <w:t>5.3</w:t>
        </w:r>
        <w:r w:rsidR="00856924">
          <w:rPr>
            <w:rFonts w:asciiTheme="minorHAnsi" w:eastAsiaTheme="minorEastAsia" w:hAnsiTheme="minorHAnsi" w:cstheme="minorBidi"/>
            <w:b w:val="0"/>
            <w:color w:val="auto"/>
            <w:sz w:val="22"/>
            <w:szCs w:val="22"/>
            <w:lang w:eastAsia="en-AU"/>
          </w:rPr>
          <w:tab/>
        </w:r>
        <w:r w:rsidR="00856924" w:rsidRPr="0078266D">
          <w:rPr>
            <w:rStyle w:val="Hyperlink"/>
          </w:rPr>
          <w:t>Comparison of Australian MRLs with Codex and international MRLs</w:t>
        </w:r>
        <w:r w:rsidR="00856924">
          <w:rPr>
            <w:webHidden/>
          </w:rPr>
          <w:tab/>
        </w:r>
        <w:r w:rsidR="00856924">
          <w:rPr>
            <w:webHidden/>
          </w:rPr>
          <w:fldChar w:fldCharType="begin"/>
        </w:r>
        <w:r w:rsidR="00856924">
          <w:rPr>
            <w:webHidden/>
          </w:rPr>
          <w:instrText xml:space="preserve"> PAGEREF _Toc6472841 \h </w:instrText>
        </w:r>
        <w:r w:rsidR="00856924">
          <w:rPr>
            <w:webHidden/>
          </w:rPr>
        </w:r>
        <w:r w:rsidR="00856924">
          <w:rPr>
            <w:webHidden/>
          </w:rPr>
          <w:fldChar w:fldCharType="separate"/>
        </w:r>
        <w:r w:rsidR="00856924">
          <w:rPr>
            <w:webHidden/>
          </w:rPr>
          <w:t>27</w:t>
        </w:r>
        <w:r w:rsidR="00856924">
          <w:rPr>
            <w:webHidden/>
          </w:rPr>
          <w:fldChar w:fldCharType="end"/>
        </w:r>
      </w:hyperlink>
    </w:p>
    <w:p w14:paraId="6156A00B" w14:textId="5D08946C" w:rsidR="00856924" w:rsidRDefault="001A6B74">
      <w:pPr>
        <w:pStyle w:val="TOC2"/>
        <w:rPr>
          <w:rFonts w:asciiTheme="minorHAnsi" w:eastAsiaTheme="minorEastAsia" w:hAnsiTheme="minorHAnsi" w:cstheme="minorBidi"/>
          <w:b w:val="0"/>
          <w:color w:val="auto"/>
          <w:sz w:val="22"/>
          <w:szCs w:val="22"/>
          <w:lang w:eastAsia="en-AU"/>
        </w:rPr>
      </w:pPr>
      <w:hyperlink w:anchor="_Toc6472842" w:history="1">
        <w:r w:rsidR="00856924" w:rsidRPr="0078266D">
          <w:rPr>
            <w:rStyle w:val="Hyperlink"/>
          </w:rPr>
          <w:t>5.4</w:t>
        </w:r>
        <w:r w:rsidR="00856924">
          <w:rPr>
            <w:rFonts w:asciiTheme="minorHAnsi" w:eastAsiaTheme="minorEastAsia" w:hAnsiTheme="minorHAnsi" w:cstheme="minorBidi"/>
            <w:b w:val="0"/>
            <w:color w:val="auto"/>
            <w:sz w:val="22"/>
            <w:szCs w:val="22"/>
            <w:lang w:eastAsia="en-AU"/>
          </w:rPr>
          <w:tab/>
        </w:r>
        <w:r w:rsidR="00856924" w:rsidRPr="0078266D">
          <w:rPr>
            <w:rStyle w:val="Hyperlink"/>
          </w:rPr>
          <w:t>Potential risk to trade</w:t>
        </w:r>
        <w:r w:rsidR="00856924">
          <w:rPr>
            <w:webHidden/>
          </w:rPr>
          <w:tab/>
        </w:r>
        <w:r w:rsidR="00856924">
          <w:rPr>
            <w:webHidden/>
          </w:rPr>
          <w:fldChar w:fldCharType="begin"/>
        </w:r>
        <w:r w:rsidR="00856924">
          <w:rPr>
            <w:webHidden/>
          </w:rPr>
          <w:instrText xml:space="preserve"> PAGEREF _Toc6472842 \h </w:instrText>
        </w:r>
        <w:r w:rsidR="00856924">
          <w:rPr>
            <w:webHidden/>
          </w:rPr>
        </w:r>
        <w:r w:rsidR="00856924">
          <w:rPr>
            <w:webHidden/>
          </w:rPr>
          <w:fldChar w:fldCharType="separate"/>
        </w:r>
        <w:r w:rsidR="00856924">
          <w:rPr>
            <w:webHidden/>
          </w:rPr>
          <w:t>28</w:t>
        </w:r>
        <w:r w:rsidR="00856924">
          <w:rPr>
            <w:webHidden/>
          </w:rPr>
          <w:fldChar w:fldCharType="end"/>
        </w:r>
      </w:hyperlink>
    </w:p>
    <w:p w14:paraId="5346A8FA" w14:textId="5AB0404C"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43" w:history="1">
        <w:r w:rsidR="00856924" w:rsidRPr="0078266D">
          <w:rPr>
            <w:rStyle w:val="Hyperlink"/>
          </w:rPr>
          <w:t>6</w:t>
        </w:r>
        <w:r w:rsidR="00856924">
          <w:rPr>
            <w:rFonts w:asciiTheme="minorHAnsi" w:eastAsiaTheme="minorEastAsia" w:hAnsiTheme="minorHAnsi" w:cstheme="minorBidi"/>
            <w:b w:val="0"/>
            <w:bCs w:val="0"/>
            <w:caps w:val="0"/>
            <w:color w:val="auto"/>
            <w:sz w:val="22"/>
            <w:szCs w:val="22"/>
            <w:lang w:eastAsia="en-AU"/>
          </w:rPr>
          <w:tab/>
        </w:r>
        <w:r w:rsidR="00856924" w:rsidRPr="0078266D">
          <w:rPr>
            <w:rStyle w:val="Hyperlink"/>
          </w:rPr>
          <w:t>work Health and Safety assessment</w:t>
        </w:r>
        <w:r w:rsidR="00856924">
          <w:rPr>
            <w:webHidden/>
          </w:rPr>
          <w:tab/>
        </w:r>
        <w:r w:rsidR="00856924">
          <w:rPr>
            <w:webHidden/>
          </w:rPr>
          <w:fldChar w:fldCharType="begin"/>
        </w:r>
        <w:r w:rsidR="00856924">
          <w:rPr>
            <w:webHidden/>
          </w:rPr>
          <w:instrText xml:space="preserve"> PAGEREF _Toc6472843 \h </w:instrText>
        </w:r>
        <w:r w:rsidR="00856924">
          <w:rPr>
            <w:webHidden/>
          </w:rPr>
        </w:r>
        <w:r w:rsidR="00856924">
          <w:rPr>
            <w:webHidden/>
          </w:rPr>
          <w:fldChar w:fldCharType="separate"/>
        </w:r>
        <w:r w:rsidR="00856924">
          <w:rPr>
            <w:webHidden/>
          </w:rPr>
          <w:t>29</w:t>
        </w:r>
        <w:r w:rsidR="00856924">
          <w:rPr>
            <w:webHidden/>
          </w:rPr>
          <w:fldChar w:fldCharType="end"/>
        </w:r>
      </w:hyperlink>
    </w:p>
    <w:p w14:paraId="58CD56A3" w14:textId="0D422738" w:rsidR="00856924" w:rsidRDefault="001A6B74">
      <w:pPr>
        <w:pStyle w:val="TOC2"/>
        <w:rPr>
          <w:rFonts w:asciiTheme="minorHAnsi" w:eastAsiaTheme="minorEastAsia" w:hAnsiTheme="minorHAnsi" w:cstheme="minorBidi"/>
          <w:b w:val="0"/>
          <w:color w:val="auto"/>
          <w:sz w:val="22"/>
          <w:szCs w:val="22"/>
          <w:lang w:eastAsia="en-AU"/>
        </w:rPr>
      </w:pPr>
      <w:hyperlink w:anchor="_Toc6472844" w:history="1">
        <w:r w:rsidR="00856924" w:rsidRPr="0078266D">
          <w:rPr>
            <w:rStyle w:val="Hyperlink"/>
          </w:rPr>
          <w:t>6.1</w:t>
        </w:r>
        <w:r w:rsidR="00856924">
          <w:rPr>
            <w:rFonts w:asciiTheme="minorHAnsi" w:eastAsiaTheme="minorEastAsia" w:hAnsiTheme="minorHAnsi" w:cstheme="minorBidi"/>
            <w:b w:val="0"/>
            <w:color w:val="auto"/>
            <w:sz w:val="22"/>
            <w:szCs w:val="22"/>
            <w:lang w:eastAsia="en-AU"/>
          </w:rPr>
          <w:tab/>
        </w:r>
        <w:r w:rsidR="00856924" w:rsidRPr="0078266D">
          <w:rPr>
            <w:rStyle w:val="Hyperlink"/>
          </w:rPr>
          <w:t>Health hazards</w:t>
        </w:r>
        <w:r w:rsidR="00856924">
          <w:rPr>
            <w:webHidden/>
          </w:rPr>
          <w:tab/>
        </w:r>
        <w:r w:rsidR="00856924">
          <w:rPr>
            <w:webHidden/>
          </w:rPr>
          <w:fldChar w:fldCharType="begin"/>
        </w:r>
        <w:r w:rsidR="00856924">
          <w:rPr>
            <w:webHidden/>
          </w:rPr>
          <w:instrText xml:space="preserve"> PAGEREF _Toc6472844 \h </w:instrText>
        </w:r>
        <w:r w:rsidR="00856924">
          <w:rPr>
            <w:webHidden/>
          </w:rPr>
        </w:r>
        <w:r w:rsidR="00856924">
          <w:rPr>
            <w:webHidden/>
          </w:rPr>
          <w:fldChar w:fldCharType="separate"/>
        </w:r>
        <w:r w:rsidR="00856924">
          <w:rPr>
            <w:webHidden/>
          </w:rPr>
          <w:t>29</w:t>
        </w:r>
        <w:r w:rsidR="00856924">
          <w:rPr>
            <w:webHidden/>
          </w:rPr>
          <w:fldChar w:fldCharType="end"/>
        </w:r>
      </w:hyperlink>
    </w:p>
    <w:p w14:paraId="5881808F" w14:textId="7DD2F138" w:rsidR="00856924" w:rsidRDefault="001A6B74">
      <w:pPr>
        <w:pStyle w:val="TOC2"/>
        <w:rPr>
          <w:rFonts w:asciiTheme="minorHAnsi" w:eastAsiaTheme="minorEastAsia" w:hAnsiTheme="minorHAnsi" w:cstheme="minorBidi"/>
          <w:b w:val="0"/>
          <w:color w:val="auto"/>
          <w:sz w:val="22"/>
          <w:szCs w:val="22"/>
          <w:lang w:eastAsia="en-AU"/>
        </w:rPr>
      </w:pPr>
      <w:hyperlink w:anchor="_Toc6472845" w:history="1">
        <w:r w:rsidR="00856924" w:rsidRPr="0078266D">
          <w:rPr>
            <w:rStyle w:val="Hyperlink"/>
          </w:rPr>
          <w:t>6.2</w:t>
        </w:r>
        <w:r w:rsidR="00856924">
          <w:rPr>
            <w:rFonts w:asciiTheme="minorHAnsi" w:eastAsiaTheme="minorEastAsia" w:hAnsiTheme="minorHAnsi" w:cstheme="minorBidi"/>
            <w:b w:val="0"/>
            <w:color w:val="auto"/>
            <w:sz w:val="22"/>
            <w:szCs w:val="22"/>
            <w:lang w:eastAsia="en-AU"/>
          </w:rPr>
          <w:tab/>
        </w:r>
        <w:r w:rsidR="00856924" w:rsidRPr="0078266D">
          <w:rPr>
            <w:rStyle w:val="Hyperlink"/>
          </w:rPr>
          <w:t>Occupational exposure</w:t>
        </w:r>
        <w:r w:rsidR="00856924">
          <w:rPr>
            <w:webHidden/>
          </w:rPr>
          <w:tab/>
        </w:r>
        <w:r w:rsidR="00856924">
          <w:rPr>
            <w:webHidden/>
          </w:rPr>
          <w:fldChar w:fldCharType="begin"/>
        </w:r>
        <w:r w:rsidR="00856924">
          <w:rPr>
            <w:webHidden/>
          </w:rPr>
          <w:instrText xml:space="preserve"> PAGEREF _Toc6472845 \h </w:instrText>
        </w:r>
        <w:r w:rsidR="00856924">
          <w:rPr>
            <w:webHidden/>
          </w:rPr>
        </w:r>
        <w:r w:rsidR="00856924">
          <w:rPr>
            <w:webHidden/>
          </w:rPr>
          <w:fldChar w:fldCharType="separate"/>
        </w:r>
        <w:r w:rsidR="00856924">
          <w:rPr>
            <w:webHidden/>
          </w:rPr>
          <w:t>29</w:t>
        </w:r>
        <w:r w:rsidR="00856924">
          <w:rPr>
            <w:webHidden/>
          </w:rPr>
          <w:fldChar w:fldCharType="end"/>
        </w:r>
      </w:hyperlink>
    </w:p>
    <w:p w14:paraId="7B2DC384" w14:textId="0FE3985D" w:rsidR="00856924" w:rsidRDefault="001A6B74">
      <w:pPr>
        <w:pStyle w:val="TOC2"/>
        <w:rPr>
          <w:rFonts w:asciiTheme="minorHAnsi" w:eastAsiaTheme="minorEastAsia" w:hAnsiTheme="minorHAnsi" w:cstheme="minorBidi"/>
          <w:b w:val="0"/>
          <w:color w:val="auto"/>
          <w:sz w:val="22"/>
          <w:szCs w:val="22"/>
          <w:lang w:eastAsia="en-AU"/>
        </w:rPr>
      </w:pPr>
      <w:hyperlink w:anchor="_Toc6472846" w:history="1">
        <w:r w:rsidR="00856924" w:rsidRPr="0078266D">
          <w:rPr>
            <w:rStyle w:val="Hyperlink"/>
          </w:rPr>
          <w:t>6.3</w:t>
        </w:r>
        <w:r w:rsidR="00856924">
          <w:rPr>
            <w:rFonts w:asciiTheme="minorHAnsi" w:eastAsiaTheme="minorEastAsia" w:hAnsiTheme="minorHAnsi" w:cstheme="minorBidi"/>
            <w:b w:val="0"/>
            <w:color w:val="auto"/>
            <w:sz w:val="22"/>
            <w:szCs w:val="22"/>
            <w:lang w:eastAsia="en-AU"/>
          </w:rPr>
          <w:tab/>
        </w:r>
        <w:r w:rsidR="00856924" w:rsidRPr="0078266D">
          <w:rPr>
            <w:rStyle w:val="Hyperlink"/>
          </w:rPr>
          <w:t>Recommendations</w:t>
        </w:r>
        <w:r w:rsidR="00856924">
          <w:rPr>
            <w:webHidden/>
          </w:rPr>
          <w:tab/>
        </w:r>
        <w:r w:rsidR="00856924">
          <w:rPr>
            <w:webHidden/>
          </w:rPr>
          <w:fldChar w:fldCharType="begin"/>
        </w:r>
        <w:r w:rsidR="00856924">
          <w:rPr>
            <w:webHidden/>
          </w:rPr>
          <w:instrText xml:space="preserve"> PAGEREF _Toc6472846 \h </w:instrText>
        </w:r>
        <w:r w:rsidR="00856924">
          <w:rPr>
            <w:webHidden/>
          </w:rPr>
        </w:r>
        <w:r w:rsidR="00856924">
          <w:rPr>
            <w:webHidden/>
          </w:rPr>
          <w:fldChar w:fldCharType="separate"/>
        </w:r>
        <w:r w:rsidR="00856924">
          <w:rPr>
            <w:webHidden/>
          </w:rPr>
          <w:t>29</w:t>
        </w:r>
        <w:r w:rsidR="00856924">
          <w:rPr>
            <w:webHidden/>
          </w:rPr>
          <w:fldChar w:fldCharType="end"/>
        </w:r>
      </w:hyperlink>
    </w:p>
    <w:p w14:paraId="25B2896E" w14:textId="50524129"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47" w:history="1">
        <w:r w:rsidR="00856924" w:rsidRPr="0078266D">
          <w:rPr>
            <w:rStyle w:val="Hyperlink"/>
          </w:rPr>
          <w:t>7</w:t>
        </w:r>
        <w:r w:rsidR="00856924">
          <w:rPr>
            <w:rFonts w:asciiTheme="minorHAnsi" w:eastAsiaTheme="minorEastAsia" w:hAnsiTheme="minorHAnsi" w:cstheme="minorBidi"/>
            <w:b w:val="0"/>
            <w:bCs w:val="0"/>
            <w:caps w:val="0"/>
            <w:color w:val="auto"/>
            <w:sz w:val="22"/>
            <w:szCs w:val="22"/>
            <w:lang w:eastAsia="en-AU"/>
          </w:rPr>
          <w:tab/>
        </w:r>
        <w:r w:rsidR="00856924" w:rsidRPr="0078266D">
          <w:rPr>
            <w:rStyle w:val="Hyperlink"/>
          </w:rPr>
          <w:t>Environmental assessment</w:t>
        </w:r>
        <w:r w:rsidR="00856924">
          <w:rPr>
            <w:webHidden/>
          </w:rPr>
          <w:tab/>
        </w:r>
        <w:r w:rsidR="00856924">
          <w:rPr>
            <w:webHidden/>
          </w:rPr>
          <w:fldChar w:fldCharType="begin"/>
        </w:r>
        <w:r w:rsidR="00856924">
          <w:rPr>
            <w:webHidden/>
          </w:rPr>
          <w:instrText xml:space="preserve"> PAGEREF _Toc6472847 \h </w:instrText>
        </w:r>
        <w:r w:rsidR="00856924">
          <w:rPr>
            <w:webHidden/>
          </w:rPr>
        </w:r>
        <w:r w:rsidR="00856924">
          <w:rPr>
            <w:webHidden/>
          </w:rPr>
          <w:fldChar w:fldCharType="separate"/>
        </w:r>
        <w:r w:rsidR="00856924">
          <w:rPr>
            <w:webHidden/>
          </w:rPr>
          <w:t>31</w:t>
        </w:r>
        <w:r w:rsidR="00856924">
          <w:rPr>
            <w:webHidden/>
          </w:rPr>
          <w:fldChar w:fldCharType="end"/>
        </w:r>
      </w:hyperlink>
    </w:p>
    <w:p w14:paraId="4D4EF8C8" w14:textId="2E51715D" w:rsidR="00856924" w:rsidRDefault="001A6B74">
      <w:pPr>
        <w:pStyle w:val="TOC2"/>
        <w:rPr>
          <w:rFonts w:asciiTheme="minorHAnsi" w:eastAsiaTheme="minorEastAsia" w:hAnsiTheme="minorHAnsi" w:cstheme="minorBidi"/>
          <w:b w:val="0"/>
          <w:color w:val="auto"/>
          <w:sz w:val="22"/>
          <w:szCs w:val="22"/>
          <w:lang w:eastAsia="en-AU"/>
        </w:rPr>
      </w:pPr>
      <w:hyperlink w:anchor="_Toc6472848" w:history="1">
        <w:r w:rsidR="00856924" w:rsidRPr="0078266D">
          <w:rPr>
            <w:rStyle w:val="Hyperlink"/>
            <w:lang w:val="en-GB"/>
          </w:rPr>
          <w:t>7.1</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Fate and behaviour in the environment</w:t>
        </w:r>
        <w:r w:rsidR="00856924">
          <w:rPr>
            <w:webHidden/>
          </w:rPr>
          <w:tab/>
        </w:r>
        <w:r w:rsidR="00856924">
          <w:rPr>
            <w:webHidden/>
          </w:rPr>
          <w:fldChar w:fldCharType="begin"/>
        </w:r>
        <w:r w:rsidR="00856924">
          <w:rPr>
            <w:webHidden/>
          </w:rPr>
          <w:instrText xml:space="preserve"> PAGEREF _Toc6472848 \h </w:instrText>
        </w:r>
        <w:r w:rsidR="00856924">
          <w:rPr>
            <w:webHidden/>
          </w:rPr>
        </w:r>
        <w:r w:rsidR="00856924">
          <w:rPr>
            <w:webHidden/>
          </w:rPr>
          <w:fldChar w:fldCharType="separate"/>
        </w:r>
        <w:r w:rsidR="00856924">
          <w:rPr>
            <w:webHidden/>
          </w:rPr>
          <w:t>31</w:t>
        </w:r>
        <w:r w:rsidR="00856924">
          <w:rPr>
            <w:webHidden/>
          </w:rPr>
          <w:fldChar w:fldCharType="end"/>
        </w:r>
      </w:hyperlink>
    </w:p>
    <w:p w14:paraId="69AAF6DB" w14:textId="698FB28D" w:rsidR="00856924" w:rsidRDefault="001A6B74">
      <w:pPr>
        <w:pStyle w:val="TOC2"/>
        <w:rPr>
          <w:rFonts w:asciiTheme="minorHAnsi" w:eastAsiaTheme="minorEastAsia" w:hAnsiTheme="minorHAnsi" w:cstheme="minorBidi"/>
          <w:b w:val="0"/>
          <w:color w:val="auto"/>
          <w:sz w:val="22"/>
          <w:szCs w:val="22"/>
          <w:lang w:eastAsia="en-AU"/>
        </w:rPr>
      </w:pPr>
      <w:hyperlink w:anchor="_Toc6472849" w:history="1">
        <w:r w:rsidR="00856924" w:rsidRPr="0078266D">
          <w:rPr>
            <w:rStyle w:val="Hyperlink"/>
            <w:lang w:val="en-GB"/>
          </w:rPr>
          <w:t>7.2</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Effects and associated risks to non-target species</w:t>
        </w:r>
        <w:r w:rsidR="00856924">
          <w:rPr>
            <w:webHidden/>
          </w:rPr>
          <w:tab/>
        </w:r>
        <w:r w:rsidR="00856924">
          <w:rPr>
            <w:webHidden/>
          </w:rPr>
          <w:fldChar w:fldCharType="begin"/>
        </w:r>
        <w:r w:rsidR="00856924">
          <w:rPr>
            <w:webHidden/>
          </w:rPr>
          <w:instrText xml:space="preserve"> PAGEREF _Toc6472849 \h </w:instrText>
        </w:r>
        <w:r w:rsidR="00856924">
          <w:rPr>
            <w:webHidden/>
          </w:rPr>
        </w:r>
        <w:r w:rsidR="00856924">
          <w:rPr>
            <w:webHidden/>
          </w:rPr>
          <w:fldChar w:fldCharType="separate"/>
        </w:r>
        <w:r w:rsidR="00856924">
          <w:rPr>
            <w:webHidden/>
          </w:rPr>
          <w:t>33</w:t>
        </w:r>
        <w:r w:rsidR="00856924">
          <w:rPr>
            <w:webHidden/>
          </w:rPr>
          <w:fldChar w:fldCharType="end"/>
        </w:r>
      </w:hyperlink>
    </w:p>
    <w:p w14:paraId="5ECD2678" w14:textId="4E8F6568" w:rsidR="00856924" w:rsidRDefault="001A6B74">
      <w:pPr>
        <w:pStyle w:val="TOC2"/>
        <w:rPr>
          <w:rFonts w:asciiTheme="minorHAnsi" w:eastAsiaTheme="minorEastAsia" w:hAnsiTheme="minorHAnsi" w:cstheme="minorBidi"/>
          <w:b w:val="0"/>
          <w:color w:val="auto"/>
          <w:sz w:val="22"/>
          <w:szCs w:val="22"/>
          <w:lang w:eastAsia="en-AU"/>
        </w:rPr>
      </w:pPr>
      <w:hyperlink w:anchor="_Toc6472850" w:history="1">
        <w:r w:rsidR="00856924" w:rsidRPr="0078266D">
          <w:rPr>
            <w:rStyle w:val="Hyperlink"/>
            <w:lang w:val="en-GB"/>
          </w:rPr>
          <w:t>7.3</w:t>
        </w:r>
        <w:r w:rsidR="00856924">
          <w:rPr>
            <w:rFonts w:asciiTheme="minorHAnsi" w:eastAsiaTheme="minorEastAsia" w:hAnsiTheme="minorHAnsi" w:cstheme="minorBidi"/>
            <w:b w:val="0"/>
            <w:color w:val="auto"/>
            <w:sz w:val="22"/>
            <w:szCs w:val="22"/>
            <w:lang w:eastAsia="en-AU"/>
          </w:rPr>
          <w:tab/>
        </w:r>
        <w:r w:rsidR="00856924" w:rsidRPr="0078266D">
          <w:rPr>
            <w:rStyle w:val="Hyperlink"/>
            <w:lang w:val="en-GB"/>
          </w:rPr>
          <w:t>Recommendations</w:t>
        </w:r>
        <w:r w:rsidR="00856924">
          <w:rPr>
            <w:webHidden/>
          </w:rPr>
          <w:tab/>
        </w:r>
        <w:r w:rsidR="00856924">
          <w:rPr>
            <w:webHidden/>
          </w:rPr>
          <w:fldChar w:fldCharType="begin"/>
        </w:r>
        <w:r w:rsidR="00856924">
          <w:rPr>
            <w:webHidden/>
          </w:rPr>
          <w:instrText xml:space="preserve"> PAGEREF _Toc6472850 \h </w:instrText>
        </w:r>
        <w:r w:rsidR="00856924">
          <w:rPr>
            <w:webHidden/>
          </w:rPr>
        </w:r>
        <w:r w:rsidR="00856924">
          <w:rPr>
            <w:webHidden/>
          </w:rPr>
          <w:fldChar w:fldCharType="separate"/>
        </w:r>
        <w:r w:rsidR="00856924">
          <w:rPr>
            <w:webHidden/>
          </w:rPr>
          <w:t>35</w:t>
        </w:r>
        <w:r w:rsidR="00856924">
          <w:rPr>
            <w:webHidden/>
          </w:rPr>
          <w:fldChar w:fldCharType="end"/>
        </w:r>
      </w:hyperlink>
    </w:p>
    <w:p w14:paraId="7F49AD8B" w14:textId="2069F96B"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51" w:history="1">
        <w:r w:rsidR="00856924" w:rsidRPr="0078266D">
          <w:rPr>
            <w:rStyle w:val="Hyperlink"/>
          </w:rPr>
          <w:t>8</w:t>
        </w:r>
        <w:r w:rsidR="00856924">
          <w:rPr>
            <w:rFonts w:asciiTheme="minorHAnsi" w:eastAsiaTheme="minorEastAsia" w:hAnsiTheme="minorHAnsi" w:cstheme="minorBidi"/>
            <w:b w:val="0"/>
            <w:bCs w:val="0"/>
            <w:caps w:val="0"/>
            <w:color w:val="auto"/>
            <w:sz w:val="22"/>
            <w:szCs w:val="22"/>
            <w:lang w:eastAsia="en-AU"/>
          </w:rPr>
          <w:tab/>
        </w:r>
        <w:r w:rsidR="00856924" w:rsidRPr="0078266D">
          <w:rPr>
            <w:rStyle w:val="Hyperlink"/>
          </w:rPr>
          <w:t>Efficacy and safety assessment</w:t>
        </w:r>
        <w:r w:rsidR="00856924">
          <w:rPr>
            <w:webHidden/>
          </w:rPr>
          <w:tab/>
        </w:r>
        <w:r w:rsidR="00856924">
          <w:rPr>
            <w:webHidden/>
          </w:rPr>
          <w:fldChar w:fldCharType="begin"/>
        </w:r>
        <w:r w:rsidR="00856924">
          <w:rPr>
            <w:webHidden/>
          </w:rPr>
          <w:instrText xml:space="preserve"> PAGEREF _Toc6472851 \h </w:instrText>
        </w:r>
        <w:r w:rsidR="00856924">
          <w:rPr>
            <w:webHidden/>
          </w:rPr>
        </w:r>
        <w:r w:rsidR="00856924">
          <w:rPr>
            <w:webHidden/>
          </w:rPr>
          <w:fldChar w:fldCharType="separate"/>
        </w:r>
        <w:r w:rsidR="00856924">
          <w:rPr>
            <w:webHidden/>
          </w:rPr>
          <w:t>36</w:t>
        </w:r>
        <w:r w:rsidR="00856924">
          <w:rPr>
            <w:webHidden/>
          </w:rPr>
          <w:fldChar w:fldCharType="end"/>
        </w:r>
      </w:hyperlink>
    </w:p>
    <w:p w14:paraId="4893B989" w14:textId="712D5466" w:rsidR="00856924" w:rsidRDefault="001A6B74">
      <w:pPr>
        <w:pStyle w:val="TOC2"/>
        <w:rPr>
          <w:rFonts w:asciiTheme="minorHAnsi" w:eastAsiaTheme="minorEastAsia" w:hAnsiTheme="minorHAnsi" w:cstheme="minorBidi"/>
          <w:b w:val="0"/>
          <w:color w:val="auto"/>
          <w:sz w:val="22"/>
          <w:szCs w:val="22"/>
          <w:lang w:eastAsia="en-AU"/>
        </w:rPr>
      </w:pPr>
      <w:hyperlink w:anchor="_Toc6472852" w:history="1">
        <w:r w:rsidR="00856924" w:rsidRPr="0078266D">
          <w:rPr>
            <w:rStyle w:val="Hyperlink"/>
          </w:rPr>
          <w:t>8.1</w:t>
        </w:r>
        <w:r w:rsidR="00856924">
          <w:rPr>
            <w:rFonts w:asciiTheme="minorHAnsi" w:eastAsiaTheme="minorEastAsia" w:hAnsiTheme="minorHAnsi" w:cstheme="minorBidi"/>
            <w:b w:val="0"/>
            <w:color w:val="auto"/>
            <w:sz w:val="22"/>
            <w:szCs w:val="22"/>
            <w:lang w:eastAsia="en-AU"/>
          </w:rPr>
          <w:tab/>
        </w:r>
        <w:r w:rsidR="00856924" w:rsidRPr="0078266D">
          <w:rPr>
            <w:rStyle w:val="Hyperlink"/>
          </w:rPr>
          <w:t>Proposed product use pattern</w:t>
        </w:r>
        <w:r w:rsidR="00856924">
          <w:rPr>
            <w:webHidden/>
          </w:rPr>
          <w:tab/>
        </w:r>
        <w:r w:rsidR="00856924">
          <w:rPr>
            <w:webHidden/>
          </w:rPr>
          <w:fldChar w:fldCharType="begin"/>
        </w:r>
        <w:r w:rsidR="00856924">
          <w:rPr>
            <w:webHidden/>
          </w:rPr>
          <w:instrText xml:space="preserve"> PAGEREF _Toc6472852 \h </w:instrText>
        </w:r>
        <w:r w:rsidR="00856924">
          <w:rPr>
            <w:webHidden/>
          </w:rPr>
        </w:r>
        <w:r w:rsidR="00856924">
          <w:rPr>
            <w:webHidden/>
          </w:rPr>
          <w:fldChar w:fldCharType="separate"/>
        </w:r>
        <w:r w:rsidR="00856924">
          <w:rPr>
            <w:webHidden/>
          </w:rPr>
          <w:t>36</w:t>
        </w:r>
        <w:r w:rsidR="00856924">
          <w:rPr>
            <w:webHidden/>
          </w:rPr>
          <w:fldChar w:fldCharType="end"/>
        </w:r>
      </w:hyperlink>
    </w:p>
    <w:p w14:paraId="6641A957" w14:textId="7B22D6EE" w:rsidR="00856924" w:rsidRDefault="001A6B74">
      <w:pPr>
        <w:pStyle w:val="TOC2"/>
        <w:rPr>
          <w:rFonts w:asciiTheme="minorHAnsi" w:eastAsiaTheme="minorEastAsia" w:hAnsiTheme="minorHAnsi" w:cstheme="minorBidi"/>
          <w:b w:val="0"/>
          <w:color w:val="auto"/>
          <w:sz w:val="22"/>
          <w:szCs w:val="22"/>
          <w:lang w:eastAsia="en-AU"/>
        </w:rPr>
      </w:pPr>
      <w:hyperlink w:anchor="_Toc6472853" w:history="1">
        <w:r w:rsidR="00856924" w:rsidRPr="0078266D">
          <w:rPr>
            <w:rStyle w:val="Hyperlink"/>
          </w:rPr>
          <w:t>8.2</w:t>
        </w:r>
        <w:r w:rsidR="00856924">
          <w:rPr>
            <w:rFonts w:asciiTheme="minorHAnsi" w:eastAsiaTheme="minorEastAsia" w:hAnsiTheme="minorHAnsi" w:cstheme="minorBidi"/>
            <w:b w:val="0"/>
            <w:color w:val="auto"/>
            <w:sz w:val="22"/>
            <w:szCs w:val="22"/>
            <w:lang w:eastAsia="en-AU"/>
          </w:rPr>
          <w:tab/>
        </w:r>
        <w:r w:rsidR="00856924" w:rsidRPr="0078266D">
          <w:rPr>
            <w:rStyle w:val="Hyperlink"/>
          </w:rPr>
          <w:t>Efficacy and target crop / animal safety</w:t>
        </w:r>
        <w:r w:rsidR="00856924">
          <w:rPr>
            <w:webHidden/>
          </w:rPr>
          <w:tab/>
        </w:r>
        <w:r w:rsidR="00856924">
          <w:rPr>
            <w:webHidden/>
          </w:rPr>
          <w:fldChar w:fldCharType="begin"/>
        </w:r>
        <w:r w:rsidR="00856924">
          <w:rPr>
            <w:webHidden/>
          </w:rPr>
          <w:instrText xml:space="preserve"> PAGEREF _Toc6472853 \h </w:instrText>
        </w:r>
        <w:r w:rsidR="00856924">
          <w:rPr>
            <w:webHidden/>
          </w:rPr>
        </w:r>
        <w:r w:rsidR="00856924">
          <w:rPr>
            <w:webHidden/>
          </w:rPr>
          <w:fldChar w:fldCharType="separate"/>
        </w:r>
        <w:r w:rsidR="00856924">
          <w:rPr>
            <w:webHidden/>
          </w:rPr>
          <w:t>36</w:t>
        </w:r>
        <w:r w:rsidR="00856924">
          <w:rPr>
            <w:webHidden/>
          </w:rPr>
          <w:fldChar w:fldCharType="end"/>
        </w:r>
      </w:hyperlink>
    </w:p>
    <w:p w14:paraId="000A5004" w14:textId="0E21762B" w:rsidR="00856924" w:rsidRDefault="001A6B74">
      <w:pPr>
        <w:pStyle w:val="TOC2"/>
        <w:rPr>
          <w:rFonts w:asciiTheme="minorHAnsi" w:eastAsiaTheme="minorEastAsia" w:hAnsiTheme="minorHAnsi" w:cstheme="minorBidi"/>
          <w:b w:val="0"/>
          <w:color w:val="auto"/>
          <w:sz w:val="22"/>
          <w:szCs w:val="22"/>
          <w:lang w:eastAsia="en-AU"/>
        </w:rPr>
      </w:pPr>
      <w:hyperlink w:anchor="_Toc6472854" w:history="1">
        <w:r w:rsidR="00856924" w:rsidRPr="0078266D">
          <w:rPr>
            <w:rStyle w:val="Hyperlink"/>
          </w:rPr>
          <w:t>8.3</w:t>
        </w:r>
        <w:r w:rsidR="00856924">
          <w:rPr>
            <w:rFonts w:asciiTheme="minorHAnsi" w:eastAsiaTheme="minorEastAsia" w:hAnsiTheme="minorHAnsi" w:cstheme="minorBidi"/>
            <w:b w:val="0"/>
            <w:color w:val="auto"/>
            <w:sz w:val="22"/>
            <w:szCs w:val="22"/>
            <w:lang w:eastAsia="en-AU"/>
          </w:rPr>
          <w:tab/>
        </w:r>
        <w:r w:rsidR="00856924" w:rsidRPr="0078266D">
          <w:rPr>
            <w:rStyle w:val="Hyperlink"/>
          </w:rPr>
          <w:t>Recommendations</w:t>
        </w:r>
        <w:r w:rsidR="00856924">
          <w:rPr>
            <w:webHidden/>
          </w:rPr>
          <w:tab/>
        </w:r>
        <w:r w:rsidR="00856924">
          <w:rPr>
            <w:webHidden/>
          </w:rPr>
          <w:fldChar w:fldCharType="begin"/>
        </w:r>
        <w:r w:rsidR="00856924">
          <w:rPr>
            <w:webHidden/>
          </w:rPr>
          <w:instrText xml:space="preserve"> PAGEREF _Toc6472854 \h </w:instrText>
        </w:r>
        <w:r w:rsidR="00856924">
          <w:rPr>
            <w:webHidden/>
          </w:rPr>
        </w:r>
        <w:r w:rsidR="00856924">
          <w:rPr>
            <w:webHidden/>
          </w:rPr>
          <w:fldChar w:fldCharType="separate"/>
        </w:r>
        <w:r w:rsidR="00856924">
          <w:rPr>
            <w:webHidden/>
          </w:rPr>
          <w:t>37</w:t>
        </w:r>
        <w:r w:rsidR="00856924">
          <w:rPr>
            <w:webHidden/>
          </w:rPr>
          <w:fldChar w:fldCharType="end"/>
        </w:r>
      </w:hyperlink>
    </w:p>
    <w:p w14:paraId="26AC6207" w14:textId="1CD153C7"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55" w:history="1">
        <w:r w:rsidR="00856924" w:rsidRPr="0078266D">
          <w:rPr>
            <w:rStyle w:val="Hyperlink"/>
          </w:rPr>
          <w:t>9</w:t>
        </w:r>
        <w:r w:rsidR="00856924">
          <w:rPr>
            <w:rFonts w:asciiTheme="minorHAnsi" w:eastAsiaTheme="minorEastAsia" w:hAnsiTheme="minorHAnsi" w:cstheme="minorBidi"/>
            <w:b w:val="0"/>
            <w:bCs w:val="0"/>
            <w:caps w:val="0"/>
            <w:color w:val="auto"/>
            <w:sz w:val="22"/>
            <w:szCs w:val="22"/>
            <w:lang w:eastAsia="en-AU"/>
          </w:rPr>
          <w:tab/>
        </w:r>
        <w:r w:rsidR="00856924" w:rsidRPr="0078266D">
          <w:rPr>
            <w:rStyle w:val="Hyperlink"/>
          </w:rPr>
          <w:t>Labelling requirements</w:t>
        </w:r>
        <w:r w:rsidR="00856924">
          <w:rPr>
            <w:webHidden/>
          </w:rPr>
          <w:tab/>
        </w:r>
        <w:r w:rsidR="00856924">
          <w:rPr>
            <w:webHidden/>
          </w:rPr>
          <w:fldChar w:fldCharType="begin"/>
        </w:r>
        <w:r w:rsidR="00856924">
          <w:rPr>
            <w:webHidden/>
          </w:rPr>
          <w:instrText xml:space="preserve"> PAGEREF _Toc6472855 \h </w:instrText>
        </w:r>
        <w:r w:rsidR="00856924">
          <w:rPr>
            <w:webHidden/>
          </w:rPr>
        </w:r>
        <w:r w:rsidR="00856924">
          <w:rPr>
            <w:webHidden/>
          </w:rPr>
          <w:fldChar w:fldCharType="separate"/>
        </w:r>
        <w:r w:rsidR="00856924">
          <w:rPr>
            <w:webHidden/>
          </w:rPr>
          <w:t>38</w:t>
        </w:r>
        <w:r w:rsidR="00856924">
          <w:rPr>
            <w:webHidden/>
          </w:rPr>
          <w:fldChar w:fldCharType="end"/>
        </w:r>
      </w:hyperlink>
    </w:p>
    <w:p w14:paraId="3E395F57" w14:textId="75F17625"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56" w:history="1">
        <w:r w:rsidR="00856924" w:rsidRPr="0078266D">
          <w:rPr>
            <w:rStyle w:val="Hyperlink"/>
          </w:rPr>
          <w:t>abbreviations</w:t>
        </w:r>
        <w:r w:rsidR="00856924">
          <w:rPr>
            <w:webHidden/>
          </w:rPr>
          <w:tab/>
        </w:r>
        <w:r w:rsidR="00856924">
          <w:rPr>
            <w:webHidden/>
          </w:rPr>
          <w:fldChar w:fldCharType="begin"/>
        </w:r>
        <w:r w:rsidR="00856924">
          <w:rPr>
            <w:webHidden/>
          </w:rPr>
          <w:instrText xml:space="preserve"> PAGEREF _Toc6472856 \h </w:instrText>
        </w:r>
        <w:r w:rsidR="00856924">
          <w:rPr>
            <w:webHidden/>
          </w:rPr>
        </w:r>
        <w:r w:rsidR="00856924">
          <w:rPr>
            <w:webHidden/>
          </w:rPr>
          <w:fldChar w:fldCharType="separate"/>
        </w:r>
        <w:r w:rsidR="00856924">
          <w:rPr>
            <w:webHidden/>
          </w:rPr>
          <w:t>47</w:t>
        </w:r>
        <w:r w:rsidR="00856924">
          <w:rPr>
            <w:webHidden/>
          </w:rPr>
          <w:fldChar w:fldCharType="end"/>
        </w:r>
      </w:hyperlink>
    </w:p>
    <w:p w14:paraId="3A0B67F2" w14:textId="6AB567C6"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57" w:history="1">
        <w:r w:rsidR="00856924" w:rsidRPr="0078266D">
          <w:rPr>
            <w:rStyle w:val="Hyperlink"/>
            <w:lang w:val="en-GB"/>
          </w:rPr>
          <w:t>Glossary</w:t>
        </w:r>
        <w:r w:rsidR="00856924">
          <w:rPr>
            <w:webHidden/>
          </w:rPr>
          <w:tab/>
        </w:r>
        <w:r w:rsidR="00856924">
          <w:rPr>
            <w:webHidden/>
          </w:rPr>
          <w:fldChar w:fldCharType="begin"/>
        </w:r>
        <w:r w:rsidR="00856924">
          <w:rPr>
            <w:webHidden/>
          </w:rPr>
          <w:instrText xml:space="preserve"> PAGEREF _Toc6472857 \h </w:instrText>
        </w:r>
        <w:r w:rsidR="00856924">
          <w:rPr>
            <w:webHidden/>
          </w:rPr>
        </w:r>
        <w:r w:rsidR="00856924">
          <w:rPr>
            <w:webHidden/>
          </w:rPr>
          <w:fldChar w:fldCharType="separate"/>
        </w:r>
        <w:r w:rsidR="00856924">
          <w:rPr>
            <w:webHidden/>
          </w:rPr>
          <w:t>49</w:t>
        </w:r>
        <w:r w:rsidR="00856924">
          <w:rPr>
            <w:webHidden/>
          </w:rPr>
          <w:fldChar w:fldCharType="end"/>
        </w:r>
      </w:hyperlink>
    </w:p>
    <w:p w14:paraId="629F727F" w14:textId="2F68D184" w:rsidR="00856924" w:rsidRDefault="001A6B74">
      <w:pPr>
        <w:pStyle w:val="TOC1"/>
        <w:rPr>
          <w:rFonts w:asciiTheme="minorHAnsi" w:eastAsiaTheme="minorEastAsia" w:hAnsiTheme="minorHAnsi" w:cstheme="minorBidi"/>
          <w:b w:val="0"/>
          <w:bCs w:val="0"/>
          <w:caps w:val="0"/>
          <w:color w:val="auto"/>
          <w:sz w:val="22"/>
          <w:szCs w:val="22"/>
          <w:lang w:eastAsia="en-AU"/>
        </w:rPr>
      </w:pPr>
      <w:hyperlink w:anchor="_Toc6472858" w:history="1">
        <w:r w:rsidR="00856924" w:rsidRPr="0078266D">
          <w:rPr>
            <w:rStyle w:val="Hyperlink"/>
          </w:rPr>
          <w:t>References</w:t>
        </w:r>
        <w:r w:rsidR="00856924">
          <w:rPr>
            <w:webHidden/>
          </w:rPr>
          <w:tab/>
        </w:r>
        <w:r w:rsidR="00856924">
          <w:rPr>
            <w:webHidden/>
          </w:rPr>
          <w:fldChar w:fldCharType="begin"/>
        </w:r>
        <w:r w:rsidR="00856924">
          <w:rPr>
            <w:webHidden/>
          </w:rPr>
          <w:instrText xml:space="preserve"> PAGEREF _Toc6472858 \h </w:instrText>
        </w:r>
        <w:r w:rsidR="00856924">
          <w:rPr>
            <w:webHidden/>
          </w:rPr>
        </w:r>
        <w:r w:rsidR="00856924">
          <w:rPr>
            <w:webHidden/>
          </w:rPr>
          <w:fldChar w:fldCharType="separate"/>
        </w:r>
        <w:r w:rsidR="00856924">
          <w:rPr>
            <w:webHidden/>
          </w:rPr>
          <w:t>50</w:t>
        </w:r>
        <w:r w:rsidR="00856924">
          <w:rPr>
            <w:webHidden/>
          </w:rPr>
          <w:fldChar w:fldCharType="end"/>
        </w:r>
      </w:hyperlink>
    </w:p>
    <w:p w14:paraId="2B29049D" w14:textId="5BEDFB30" w:rsidR="00E1321B" w:rsidRDefault="00F27E0D" w:rsidP="00E1321B">
      <w:pPr>
        <w:pStyle w:val="TOAHeading"/>
        <w:rPr>
          <w:noProof/>
          <w:sz w:val="20"/>
          <w:szCs w:val="30"/>
        </w:rPr>
      </w:pPr>
      <w:r>
        <w:rPr>
          <w:noProof/>
          <w:sz w:val="20"/>
          <w:szCs w:val="30"/>
        </w:rPr>
        <w:fldChar w:fldCharType="end"/>
      </w:r>
    </w:p>
    <w:p w14:paraId="5FA2CA9B" w14:textId="77777777" w:rsidR="00E1321B" w:rsidRDefault="00E1321B" w:rsidP="00E1321B">
      <w:pPr>
        <w:pStyle w:val="TOAHeading"/>
        <w:rPr>
          <w:bCs w:val="0"/>
        </w:rPr>
      </w:pPr>
      <w:r>
        <w:rPr>
          <w:bCs w:val="0"/>
        </w:rPr>
        <w:t>List of Tables</w:t>
      </w:r>
    </w:p>
    <w:p w14:paraId="6B886156" w14:textId="411D0053" w:rsidR="00856924" w:rsidRDefault="00E1321B">
      <w:pPr>
        <w:pStyle w:val="TableofFigures"/>
        <w:rPr>
          <w:rFonts w:asciiTheme="minorHAnsi" w:eastAsiaTheme="minorEastAsia" w:hAnsiTheme="minorHAnsi" w:cstheme="minorBidi"/>
          <w:sz w:val="22"/>
          <w:szCs w:val="22"/>
          <w:lang w:eastAsia="en-AU"/>
        </w:rPr>
      </w:pPr>
      <w:r w:rsidRPr="00E1321B">
        <w:rPr>
          <w:b/>
          <w:bCs/>
          <w:szCs w:val="30"/>
        </w:rPr>
        <w:fldChar w:fldCharType="begin"/>
      </w:r>
      <w:r w:rsidRPr="00E1321B">
        <w:rPr>
          <w:b/>
          <w:bCs/>
          <w:szCs w:val="30"/>
        </w:rPr>
        <w:instrText xml:space="preserve"> TOC \h \z \c "Table" </w:instrText>
      </w:r>
      <w:r w:rsidRPr="00E1321B">
        <w:rPr>
          <w:b/>
          <w:bCs/>
          <w:szCs w:val="30"/>
        </w:rPr>
        <w:fldChar w:fldCharType="separate"/>
      </w:r>
      <w:hyperlink w:anchor="_Toc6472802" w:history="1">
        <w:r w:rsidR="00856924" w:rsidRPr="00655CD3">
          <w:rPr>
            <w:rStyle w:val="Hyperlink"/>
          </w:rPr>
          <w:t>Table 1: Nomenclature and structural formula of the active constituent topramezone</w:t>
        </w:r>
        <w:r w:rsidR="00856924">
          <w:rPr>
            <w:webHidden/>
          </w:rPr>
          <w:tab/>
        </w:r>
        <w:r w:rsidR="00856924">
          <w:rPr>
            <w:webHidden/>
          </w:rPr>
          <w:fldChar w:fldCharType="begin"/>
        </w:r>
        <w:r w:rsidR="00856924">
          <w:rPr>
            <w:webHidden/>
          </w:rPr>
          <w:instrText xml:space="preserve"> PAGEREF _Toc6472802 \h </w:instrText>
        </w:r>
        <w:r w:rsidR="00856924">
          <w:rPr>
            <w:webHidden/>
          </w:rPr>
        </w:r>
        <w:r w:rsidR="00856924">
          <w:rPr>
            <w:webHidden/>
          </w:rPr>
          <w:fldChar w:fldCharType="separate"/>
        </w:r>
        <w:r w:rsidR="00856924">
          <w:rPr>
            <w:webHidden/>
          </w:rPr>
          <w:t>8</w:t>
        </w:r>
        <w:r w:rsidR="00856924">
          <w:rPr>
            <w:webHidden/>
          </w:rPr>
          <w:fldChar w:fldCharType="end"/>
        </w:r>
      </w:hyperlink>
    </w:p>
    <w:p w14:paraId="6A0AFDFA" w14:textId="61AFA744" w:rsidR="00856924" w:rsidRDefault="001A6B74">
      <w:pPr>
        <w:pStyle w:val="TableofFigures"/>
        <w:rPr>
          <w:rFonts w:asciiTheme="minorHAnsi" w:eastAsiaTheme="minorEastAsia" w:hAnsiTheme="minorHAnsi" w:cstheme="minorBidi"/>
          <w:sz w:val="22"/>
          <w:szCs w:val="22"/>
          <w:lang w:eastAsia="en-AU"/>
        </w:rPr>
      </w:pPr>
      <w:hyperlink w:anchor="_Toc6472803" w:history="1">
        <w:r w:rsidR="00856924" w:rsidRPr="00655CD3">
          <w:rPr>
            <w:rStyle w:val="Hyperlink"/>
          </w:rPr>
          <w:t>Table 2: Key physicochemical properties of the active constituent topramezone</w:t>
        </w:r>
        <w:r w:rsidR="00856924">
          <w:rPr>
            <w:webHidden/>
          </w:rPr>
          <w:tab/>
        </w:r>
        <w:r w:rsidR="00856924">
          <w:rPr>
            <w:webHidden/>
          </w:rPr>
          <w:fldChar w:fldCharType="begin"/>
        </w:r>
        <w:r w:rsidR="00856924">
          <w:rPr>
            <w:webHidden/>
          </w:rPr>
          <w:instrText xml:space="preserve"> PAGEREF _Toc6472803 \h </w:instrText>
        </w:r>
        <w:r w:rsidR="00856924">
          <w:rPr>
            <w:webHidden/>
          </w:rPr>
        </w:r>
        <w:r w:rsidR="00856924">
          <w:rPr>
            <w:webHidden/>
          </w:rPr>
          <w:fldChar w:fldCharType="separate"/>
        </w:r>
        <w:r w:rsidR="00856924">
          <w:rPr>
            <w:webHidden/>
          </w:rPr>
          <w:t>9</w:t>
        </w:r>
        <w:r w:rsidR="00856924">
          <w:rPr>
            <w:webHidden/>
          </w:rPr>
          <w:fldChar w:fldCharType="end"/>
        </w:r>
      </w:hyperlink>
    </w:p>
    <w:p w14:paraId="42BE42A7" w14:textId="5FFD869E" w:rsidR="00856924" w:rsidRDefault="001A6B74">
      <w:pPr>
        <w:pStyle w:val="TableofFigures"/>
        <w:rPr>
          <w:rFonts w:asciiTheme="minorHAnsi" w:eastAsiaTheme="minorEastAsia" w:hAnsiTheme="minorHAnsi" w:cstheme="minorBidi"/>
          <w:sz w:val="22"/>
          <w:szCs w:val="22"/>
          <w:lang w:eastAsia="en-AU"/>
        </w:rPr>
      </w:pPr>
      <w:hyperlink w:anchor="_Toc6472804" w:history="1">
        <w:r w:rsidR="00856924" w:rsidRPr="00655CD3">
          <w:rPr>
            <w:rStyle w:val="Hyperlink"/>
          </w:rPr>
          <w:t>Table 3: Key aspects of the formulation of the product topramezone</w:t>
        </w:r>
        <w:r w:rsidR="00856924">
          <w:rPr>
            <w:webHidden/>
          </w:rPr>
          <w:tab/>
        </w:r>
        <w:r w:rsidR="00856924">
          <w:rPr>
            <w:webHidden/>
          </w:rPr>
          <w:fldChar w:fldCharType="begin"/>
        </w:r>
        <w:r w:rsidR="00856924">
          <w:rPr>
            <w:webHidden/>
          </w:rPr>
          <w:instrText xml:space="preserve"> PAGEREF _Toc6472804 \h </w:instrText>
        </w:r>
        <w:r w:rsidR="00856924">
          <w:rPr>
            <w:webHidden/>
          </w:rPr>
        </w:r>
        <w:r w:rsidR="00856924">
          <w:rPr>
            <w:webHidden/>
          </w:rPr>
          <w:fldChar w:fldCharType="separate"/>
        </w:r>
        <w:r w:rsidR="00856924">
          <w:rPr>
            <w:webHidden/>
          </w:rPr>
          <w:t>11</w:t>
        </w:r>
        <w:r w:rsidR="00856924">
          <w:rPr>
            <w:webHidden/>
          </w:rPr>
          <w:fldChar w:fldCharType="end"/>
        </w:r>
      </w:hyperlink>
    </w:p>
    <w:p w14:paraId="180FCA8D" w14:textId="3208444A" w:rsidR="00856924" w:rsidRDefault="001A6B74">
      <w:pPr>
        <w:pStyle w:val="TableofFigures"/>
        <w:rPr>
          <w:rFonts w:asciiTheme="minorHAnsi" w:eastAsiaTheme="minorEastAsia" w:hAnsiTheme="minorHAnsi" w:cstheme="minorBidi"/>
          <w:sz w:val="22"/>
          <w:szCs w:val="22"/>
          <w:lang w:eastAsia="en-AU"/>
        </w:rPr>
      </w:pPr>
      <w:hyperlink w:anchor="_Toc6472805" w:history="1">
        <w:r w:rsidR="00856924" w:rsidRPr="00655CD3">
          <w:rPr>
            <w:rStyle w:val="Hyperlink"/>
          </w:rPr>
          <w:t>Table 4: Physicochemical properties of the product topramezone</w:t>
        </w:r>
        <w:r w:rsidR="00856924">
          <w:rPr>
            <w:webHidden/>
          </w:rPr>
          <w:tab/>
        </w:r>
        <w:r w:rsidR="00856924">
          <w:rPr>
            <w:webHidden/>
          </w:rPr>
          <w:fldChar w:fldCharType="begin"/>
        </w:r>
        <w:r w:rsidR="00856924">
          <w:rPr>
            <w:webHidden/>
          </w:rPr>
          <w:instrText xml:space="preserve"> PAGEREF _Toc6472805 \h </w:instrText>
        </w:r>
        <w:r w:rsidR="00856924">
          <w:rPr>
            <w:webHidden/>
          </w:rPr>
        </w:r>
        <w:r w:rsidR="00856924">
          <w:rPr>
            <w:webHidden/>
          </w:rPr>
          <w:fldChar w:fldCharType="separate"/>
        </w:r>
        <w:r w:rsidR="00856924">
          <w:rPr>
            <w:webHidden/>
          </w:rPr>
          <w:t>11</w:t>
        </w:r>
        <w:r w:rsidR="00856924">
          <w:rPr>
            <w:webHidden/>
          </w:rPr>
          <w:fldChar w:fldCharType="end"/>
        </w:r>
      </w:hyperlink>
    </w:p>
    <w:p w14:paraId="30DA3A72" w14:textId="25FB7F30" w:rsidR="00856924" w:rsidRDefault="001A6B74">
      <w:pPr>
        <w:pStyle w:val="TableofFigures"/>
        <w:rPr>
          <w:rFonts w:asciiTheme="minorHAnsi" w:eastAsiaTheme="minorEastAsia" w:hAnsiTheme="minorHAnsi" w:cstheme="minorBidi"/>
          <w:sz w:val="22"/>
          <w:szCs w:val="22"/>
          <w:lang w:eastAsia="en-AU"/>
        </w:rPr>
      </w:pPr>
      <w:hyperlink w:anchor="_Toc6472806" w:history="1">
        <w:r w:rsidR="00856924" w:rsidRPr="00655CD3">
          <w:rPr>
            <w:rStyle w:val="Hyperlink"/>
          </w:rPr>
          <w:t xml:space="preserve">Table 5: Amendments to the APVMA </w:t>
        </w:r>
        <w:r w:rsidR="00856924" w:rsidRPr="00655CD3">
          <w:rPr>
            <w:rStyle w:val="Hyperlink"/>
            <w:bCs/>
          </w:rPr>
          <w:t>MRL Standard</w:t>
        </w:r>
        <w:r w:rsidR="00856924">
          <w:rPr>
            <w:webHidden/>
          </w:rPr>
          <w:tab/>
        </w:r>
        <w:r w:rsidR="00856924">
          <w:rPr>
            <w:webHidden/>
          </w:rPr>
          <w:fldChar w:fldCharType="begin"/>
        </w:r>
        <w:r w:rsidR="00856924">
          <w:rPr>
            <w:webHidden/>
          </w:rPr>
          <w:instrText xml:space="preserve"> PAGEREF _Toc6472806 \h </w:instrText>
        </w:r>
        <w:r w:rsidR="00856924">
          <w:rPr>
            <w:webHidden/>
          </w:rPr>
        </w:r>
        <w:r w:rsidR="00856924">
          <w:rPr>
            <w:webHidden/>
          </w:rPr>
          <w:fldChar w:fldCharType="separate"/>
        </w:r>
        <w:r w:rsidR="00856924">
          <w:rPr>
            <w:webHidden/>
          </w:rPr>
          <w:t>26</w:t>
        </w:r>
        <w:r w:rsidR="00856924">
          <w:rPr>
            <w:webHidden/>
          </w:rPr>
          <w:fldChar w:fldCharType="end"/>
        </w:r>
      </w:hyperlink>
    </w:p>
    <w:p w14:paraId="3F00FC3C" w14:textId="62499736" w:rsidR="00856924" w:rsidRDefault="001A6B74">
      <w:pPr>
        <w:pStyle w:val="TableofFigures"/>
        <w:rPr>
          <w:rFonts w:asciiTheme="minorHAnsi" w:eastAsiaTheme="minorEastAsia" w:hAnsiTheme="minorHAnsi" w:cstheme="minorBidi"/>
          <w:sz w:val="22"/>
          <w:szCs w:val="22"/>
          <w:lang w:eastAsia="en-AU"/>
        </w:rPr>
      </w:pPr>
      <w:hyperlink w:anchor="_Toc6472807" w:history="1">
        <w:r w:rsidR="00856924" w:rsidRPr="00655CD3">
          <w:rPr>
            <w:rStyle w:val="Hyperlink"/>
          </w:rPr>
          <w:t>Table 6: Proposed Australian and current international MRLs for Topramezone</w:t>
        </w:r>
        <w:r w:rsidR="00856924">
          <w:rPr>
            <w:webHidden/>
          </w:rPr>
          <w:tab/>
        </w:r>
        <w:r w:rsidR="00856924">
          <w:rPr>
            <w:webHidden/>
          </w:rPr>
          <w:fldChar w:fldCharType="begin"/>
        </w:r>
        <w:r w:rsidR="00856924">
          <w:rPr>
            <w:webHidden/>
          </w:rPr>
          <w:instrText xml:space="preserve"> PAGEREF _Toc6472807 \h </w:instrText>
        </w:r>
        <w:r w:rsidR="00856924">
          <w:rPr>
            <w:webHidden/>
          </w:rPr>
        </w:r>
        <w:r w:rsidR="00856924">
          <w:rPr>
            <w:webHidden/>
          </w:rPr>
          <w:fldChar w:fldCharType="separate"/>
        </w:r>
        <w:r w:rsidR="00856924">
          <w:rPr>
            <w:webHidden/>
          </w:rPr>
          <w:t>28</w:t>
        </w:r>
        <w:r w:rsidR="00856924">
          <w:rPr>
            <w:webHidden/>
          </w:rPr>
          <w:fldChar w:fldCharType="end"/>
        </w:r>
      </w:hyperlink>
    </w:p>
    <w:p w14:paraId="0B1D6792" w14:textId="0B30D5D7" w:rsidR="00F27E0D" w:rsidRDefault="00E1321B" w:rsidP="00E1321B">
      <w:pPr>
        <w:pStyle w:val="APVMAText"/>
        <w:tabs>
          <w:tab w:val="left" w:pos="1361"/>
        </w:tabs>
        <w:spacing w:before="60" w:after="0"/>
        <w:rPr>
          <w:bCs/>
          <w:noProof/>
          <w:szCs w:val="30"/>
        </w:rPr>
      </w:pPr>
      <w:r w:rsidRPr="00E1321B">
        <w:rPr>
          <w:b/>
          <w:bCs/>
          <w:noProof/>
          <w:szCs w:val="30"/>
        </w:rPr>
        <w:fldChar w:fldCharType="end"/>
      </w:r>
    </w:p>
    <w:p w14:paraId="021AF148" w14:textId="77777777" w:rsidR="00F27E0D" w:rsidRDefault="00F27E0D" w:rsidP="00E1321B">
      <w:pPr>
        <w:pStyle w:val="APVMAText"/>
        <w:tabs>
          <w:tab w:val="left" w:pos="1361"/>
        </w:tabs>
        <w:sectPr w:rsidR="00F27E0D">
          <w:headerReference w:type="even" r:id="rId23"/>
          <w:headerReference w:type="default" r:id="rId24"/>
          <w:footerReference w:type="default" r:id="rId25"/>
          <w:pgSz w:w="11906" w:h="16838" w:code="9"/>
          <w:pgMar w:top="2835" w:right="1134" w:bottom="1134" w:left="1134" w:header="1701" w:footer="680" w:gutter="0"/>
          <w:pgNumType w:fmt="lowerRoman"/>
          <w:cols w:space="708"/>
          <w:docGrid w:linePitch="360"/>
        </w:sectPr>
      </w:pPr>
    </w:p>
    <w:p w14:paraId="5EA71532" w14:textId="77777777" w:rsidR="00F27E0D" w:rsidRDefault="00F27E0D">
      <w:pPr>
        <w:pStyle w:val="APVMAPreliminariesH1"/>
      </w:pPr>
      <w:bookmarkStart w:id="0" w:name="_Toc6472810"/>
      <w:r>
        <w:lastRenderedPageBreak/>
        <w:t>Preface</w:t>
      </w:r>
      <w:bookmarkEnd w:id="0"/>
    </w:p>
    <w:p w14:paraId="6343CFA9" w14:textId="4F2A7B25" w:rsidR="006474CF" w:rsidRDefault="006474CF" w:rsidP="006474CF">
      <w:pPr>
        <w:pStyle w:val="APVMAText"/>
      </w:pPr>
      <w:r>
        <w:t xml:space="preserve">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w:t>
      </w:r>
      <w:proofErr w:type="gramStart"/>
      <w:r>
        <w:t>trade</w:t>
      </w:r>
      <w:proofErr w:type="gramEnd"/>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6" w:history="1">
        <w:r w:rsidRPr="006C539B">
          <w:rPr>
            <w:rStyle w:val="Hyperlink"/>
          </w:rPr>
          <w:t>APVMA website</w:t>
        </w:r>
      </w:hyperlink>
      <w:r>
        <w:t>.</w:t>
      </w:r>
    </w:p>
    <w:p w14:paraId="3B8261E2" w14:textId="77777777" w:rsidR="006474CF" w:rsidRDefault="006474CF" w:rsidP="006474CF">
      <w:pPr>
        <w:pStyle w:val="APVMAText"/>
      </w:pPr>
      <w:r>
        <w:t>The APVMA has a policy of encouraging transparency in its activities and seeking community involvement in decision making. Part of that process is the publication of Public Release Summaries for products containing new active constituents. This Public Release Summary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audience to encourage public comment.</w:t>
      </w:r>
    </w:p>
    <w:p w14:paraId="7E40CE1F" w14:textId="77777777" w:rsidR="00F27E0D" w:rsidRDefault="00F27E0D">
      <w:pPr>
        <w:pStyle w:val="APVMAPreliminariesH2"/>
      </w:pPr>
      <w:bookmarkStart w:id="1" w:name="_Toc6472811"/>
      <w:r>
        <w:t>About this document</w:t>
      </w:r>
      <w:bookmarkEnd w:id="1"/>
    </w:p>
    <w:p w14:paraId="17308522" w14:textId="77777777" w:rsidR="00F27E0D" w:rsidRDefault="00F27E0D">
      <w:pPr>
        <w:pStyle w:val="APVMAText"/>
        <w:tabs>
          <w:tab w:val="left" w:pos="1361"/>
        </w:tabs>
      </w:pPr>
      <w:r>
        <w:t xml:space="preserve">This is a </w:t>
      </w:r>
      <w:r>
        <w:rPr>
          <w:lang w:val="en-GB"/>
        </w:rPr>
        <w:t>Public Release Summary.</w:t>
      </w:r>
    </w:p>
    <w:p w14:paraId="3B702538" w14:textId="77777777" w:rsidR="00F27E0D" w:rsidRDefault="00F27E0D">
      <w:pPr>
        <w:pStyle w:val="APVMAText"/>
        <w:tabs>
          <w:tab w:val="left" w:pos="1361"/>
        </w:tabs>
      </w:pPr>
      <w:r>
        <w:t xml:space="preserve">It indicates that the </w:t>
      </w:r>
      <w:r w:rsidR="006C539B">
        <w:t>APVMA</w:t>
      </w:r>
      <w:r>
        <w:t xml:space="preserve"> is considering an application for registration of an agricultural or veterinary chemical. It provides a summary of the APVMA’s assessment, which may include details of:</w:t>
      </w:r>
    </w:p>
    <w:p w14:paraId="5850B434" w14:textId="77777777" w:rsidR="00F27E0D" w:rsidRDefault="00F27E0D">
      <w:pPr>
        <w:pStyle w:val="APVMABullet1"/>
      </w:pPr>
      <w:r>
        <w:t>the toxicology of both the active constituent and product</w:t>
      </w:r>
    </w:p>
    <w:p w14:paraId="2B1E0715" w14:textId="77777777" w:rsidR="00F27E0D" w:rsidRDefault="00F27E0D">
      <w:pPr>
        <w:pStyle w:val="APVMABullet1"/>
      </w:pPr>
      <w:r>
        <w:t>the residues and trade assessment</w:t>
      </w:r>
    </w:p>
    <w:p w14:paraId="3A028274" w14:textId="77777777" w:rsidR="00F27E0D" w:rsidRDefault="00F27E0D">
      <w:pPr>
        <w:pStyle w:val="APVMABullet1"/>
      </w:pPr>
      <w:r>
        <w:t>occupational exposure aspects</w:t>
      </w:r>
    </w:p>
    <w:p w14:paraId="0D535D1B" w14:textId="77777777" w:rsidR="00F27E0D" w:rsidRDefault="00F27E0D">
      <w:pPr>
        <w:pStyle w:val="APVMABullet1"/>
      </w:pPr>
      <w:r>
        <w:t>environmental fate, toxicity, potential exposure and hazard</w:t>
      </w:r>
    </w:p>
    <w:p w14:paraId="52279ACA" w14:textId="77777777" w:rsidR="00F27E0D" w:rsidRDefault="00F27E0D">
      <w:pPr>
        <w:pStyle w:val="APVMABullet1"/>
      </w:pPr>
      <w:proofErr w:type="gramStart"/>
      <w:r>
        <w:t>efficacy</w:t>
      </w:r>
      <w:proofErr w:type="gramEnd"/>
      <w:r>
        <w:t xml:space="preserve"> and target crop or animal safety.</w:t>
      </w:r>
    </w:p>
    <w:p w14:paraId="546A2A3F" w14:textId="77777777" w:rsidR="00F27E0D" w:rsidRDefault="00F27E0D">
      <w:pPr>
        <w:pStyle w:val="APVMAText"/>
        <w:tabs>
          <w:tab w:val="left" w:pos="1361"/>
        </w:tabs>
      </w:pPr>
      <w:r>
        <w:t>Comment is sought from interested stakeholders on the information contained within this document.</w:t>
      </w:r>
    </w:p>
    <w:p w14:paraId="07E39E30" w14:textId="77777777" w:rsidR="00F27E0D" w:rsidRDefault="00F27E0D">
      <w:pPr>
        <w:pStyle w:val="APVMAPreliminariesH2"/>
      </w:pPr>
      <w:bookmarkStart w:id="2" w:name="_Toc6472812"/>
      <w:r>
        <w:t>Making a submission</w:t>
      </w:r>
      <w:bookmarkEnd w:id="2"/>
    </w:p>
    <w:p w14:paraId="716F35D4" w14:textId="5EA7A1DA" w:rsidR="006474CF" w:rsidRDefault="006474CF" w:rsidP="006474CF">
      <w:pPr>
        <w:pStyle w:val="APVMAText"/>
      </w:pPr>
      <w:r>
        <w:t>In accordance with sections 13 of the Agvet Code, the APVMA invites any person to submit a relevant written submission as to whether the application for registration of Frequency Herbicide</w:t>
      </w:r>
      <w:r>
        <w:rPr>
          <w:rFonts w:ascii="Arial Bold" w:hAnsi="Arial Bold"/>
          <w:b/>
        </w:rPr>
        <w:t xml:space="preserve"> </w:t>
      </w:r>
      <w:r>
        <w:t xml:space="preserve">should be granted. 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79534A79" w14:textId="2974D691" w:rsidR="00F27E0D" w:rsidRDefault="00F27E0D">
      <w:pPr>
        <w:pStyle w:val="APVMAText"/>
      </w:pPr>
      <w:r>
        <w:lastRenderedPageBreak/>
        <w:t xml:space="preserve">Submissions must be received by the APVMA by close of business on </w:t>
      </w:r>
      <w:r w:rsidR="006474CF">
        <w:rPr>
          <w:b/>
        </w:rPr>
        <w:t>14 May 2019</w:t>
      </w:r>
      <w:r>
        <w:t xml:space="preserve"> and be directed to the contact listed below. All submissions to the APVMA will be acknowledged in writing via email or by post.</w:t>
      </w:r>
    </w:p>
    <w:p w14:paraId="0B5D0D87" w14:textId="30A91F73" w:rsidR="00F27E0D" w:rsidRDefault="00F27E0D">
      <w:pPr>
        <w:pStyle w:val="APVMAText"/>
      </w:pPr>
      <w:r>
        <w:t>Relevant comments will be taken into account by the APVMA in deciding whether the product should be registered and in determining appropriate conditions of registration and product labelling.</w:t>
      </w:r>
      <w:r w:rsidR="004E0CEA">
        <w:t xml:space="preserve"> </w:t>
      </w:r>
    </w:p>
    <w:p w14:paraId="0BDCBA67" w14:textId="77777777" w:rsidR="00F27E0D" w:rsidRDefault="00F27E0D">
      <w:pPr>
        <w:pStyle w:val="APVMAText"/>
      </w:pPr>
      <w:r>
        <w:t>When making a submission please include:</w:t>
      </w:r>
    </w:p>
    <w:p w14:paraId="2DE7CA66" w14:textId="3930AED6" w:rsidR="00F27E0D" w:rsidRDefault="00D21C3A" w:rsidP="00EB427D">
      <w:pPr>
        <w:pStyle w:val="APVMAText"/>
        <w:numPr>
          <w:ilvl w:val="0"/>
          <w:numId w:val="2"/>
        </w:numPr>
        <w:spacing w:before="120" w:after="120"/>
      </w:pPr>
      <w:r>
        <w:t>c</w:t>
      </w:r>
      <w:r w:rsidR="00F27E0D">
        <w:t>ontact name</w:t>
      </w:r>
    </w:p>
    <w:p w14:paraId="304C81BF" w14:textId="77777777" w:rsidR="00F27E0D" w:rsidRDefault="00D21C3A" w:rsidP="00EB427D">
      <w:pPr>
        <w:pStyle w:val="APVMAText"/>
        <w:numPr>
          <w:ilvl w:val="0"/>
          <w:numId w:val="2"/>
        </w:numPr>
        <w:spacing w:before="120" w:after="120"/>
      </w:pPr>
      <w:r>
        <w:t>c</w:t>
      </w:r>
      <w:r w:rsidR="00F27E0D">
        <w:t>ompany or group name (if relevant)</w:t>
      </w:r>
    </w:p>
    <w:p w14:paraId="021A5C4D" w14:textId="77777777" w:rsidR="00F27E0D" w:rsidRDefault="00D21C3A" w:rsidP="00EB427D">
      <w:pPr>
        <w:pStyle w:val="APVMAText"/>
        <w:numPr>
          <w:ilvl w:val="0"/>
          <w:numId w:val="2"/>
        </w:numPr>
        <w:spacing w:before="120" w:after="120"/>
      </w:pPr>
      <w:r>
        <w:t>e</w:t>
      </w:r>
      <w:r w:rsidR="00F27E0D">
        <w:t>mail or postal address (if available)</w:t>
      </w:r>
    </w:p>
    <w:p w14:paraId="48539644" w14:textId="77777777" w:rsidR="00F27E0D" w:rsidRDefault="00D21C3A" w:rsidP="00EB427D">
      <w:pPr>
        <w:pStyle w:val="APVMAText"/>
        <w:numPr>
          <w:ilvl w:val="0"/>
          <w:numId w:val="2"/>
        </w:numPr>
        <w:spacing w:before="120" w:after="120"/>
      </w:pPr>
      <w:proofErr w:type="gramStart"/>
      <w:r>
        <w:t>t</w:t>
      </w:r>
      <w:r w:rsidR="00F27E0D">
        <w:t>he</w:t>
      </w:r>
      <w:proofErr w:type="gramEnd"/>
      <w:r w:rsidR="00F27E0D">
        <w:t xml:space="preserve"> date you made the submission.</w:t>
      </w:r>
    </w:p>
    <w:p w14:paraId="49B8938F" w14:textId="59F14F57" w:rsidR="00F27E0D" w:rsidRDefault="00F27E0D">
      <w:pPr>
        <w:pStyle w:val="APVMAText"/>
      </w:pPr>
      <w:r>
        <w:t xml:space="preserve">All personal information, and confidential information judged by the APVMA to be </w:t>
      </w:r>
      <w:r w:rsidRPr="00002B5B">
        <w:rPr>
          <w:bCs/>
          <w:iCs/>
        </w:rPr>
        <w:t xml:space="preserve">confidential commercial information </w:t>
      </w:r>
      <w:r w:rsidRPr="00002B5B">
        <w:t>(CCI)</w:t>
      </w:r>
      <w:r w:rsidRPr="00002B5B">
        <w:rPr>
          <w:rStyle w:val="FootnoteReference"/>
        </w:rPr>
        <w:footnoteReference w:id="2"/>
      </w:r>
      <w:r w:rsidRPr="00002B5B">
        <w:t xml:space="preserve"> </w:t>
      </w:r>
      <w:r>
        <w:t>contained in submissions will be treated confidentially.</w:t>
      </w:r>
      <w:r w:rsidR="004E0CEA" w:rsidRPr="004E0CEA">
        <w:t xml:space="preserve"> </w:t>
      </w:r>
      <w:r w:rsidR="004E0CEA">
        <w:t>Unless requested</w:t>
      </w:r>
      <w:r w:rsidR="00B94649">
        <w:t xml:space="preserve"> by the submitter</w:t>
      </w:r>
      <w:r w:rsidR="004E0CEA">
        <w:t xml:space="preserve">, </w:t>
      </w:r>
      <w:r w:rsidR="00804FAB">
        <w:t>the APVMA may release a</w:t>
      </w:r>
      <w:r w:rsidR="004E0CEA">
        <w:t xml:space="preserve"> submission</w:t>
      </w:r>
      <w:r w:rsidR="00B94649">
        <w:t>, with any CCI redacted,</w:t>
      </w:r>
      <w:r w:rsidR="004E0CEA">
        <w:t xml:space="preserve"> to the applicant for comment.</w:t>
      </w:r>
    </w:p>
    <w:p w14:paraId="4901B229" w14:textId="4E51A509" w:rsidR="00F27E0D" w:rsidRDefault="00F27E0D">
      <w:pPr>
        <w:pStyle w:val="APVMAText"/>
      </w:pPr>
      <w:r>
        <w:t xml:space="preserve">Written submissions on the APVMA’s proposal to grant the application for registration that relate to the </w:t>
      </w:r>
      <w:r w:rsidRPr="00002B5B">
        <w:t>grounds for registration</w:t>
      </w:r>
      <w:r>
        <w:t xml:space="preserve"> should be addressed in writing to:</w:t>
      </w:r>
    </w:p>
    <w:p w14:paraId="611CA73C" w14:textId="77777777" w:rsidR="00002B5B" w:rsidRDefault="00002B5B" w:rsidP="00002B5B">
      <w:pPr>
        <w:pStyle w:val="APVMAAddress"/>
        <w:ind w:left="0"/>
      </w:pPr>
      <w:r>
        <w:t>Case Management and Administration Unit</w:t>
      </w:r>
    </w:p>
    <w:p w14:paraId="2348888F" w14:textId="77777777" w:rsidR="00002B5B" w:rsidRDefault="00002B5B" w:rsidP="00002B5B">
      <w:pPr>
        <w:pStyle w:val="APVMAAddress"/>
        <w:ind w:left="0"/>
      </w:pPr>
      <w:r>
        <w:t>Australian Pesticides and Veterinary Medicines Authority</w:t>
      </w:r>
    </w:p>
    <w:p w14:paraId="30AB8EAC" w14:textId="77777777" w:rsidR="00002B5B" w:rsidRDefault="00002B5B" w:rsidP="00002B5B">
      <w:pPr>
        <w:pStyle w:val="APVMAAddress"/>
        <w:ind w:left="0"/>
      </w:pPr>
      <w:r>
        <w:t>PO Box 6182</w:t>
      </w:r>
    </w:p>
    <w:p w14:paraId="408D2338" w14:textId="77777777" w:rsidR="00002B5B" w:rsidRDefault="00002B5B" w:rsidP="00002B5B">
      <w:pPr>
        <w:pStyle w:val="APVMAAddress"/>
        <w:ind w:left="0"/>
      </w:pPr>
      <w:r>
        <w:t>Kingston ACT 2604</w:t>
      </w:r>
    </w:p>
    <w:p w14:paraId="018CE0CE" w14:textId="77777777" w:rsidR="00002B5B" w:rsidRDefault="00002B5B" w:rsidP="00002B5B">
      <w:pPr>
        <w:pStyle w:val="APVMAAddress"/>
      </w:pPr>
    </w:p>
    <w:p w14:paraId="149900ED" w14:textId="64EBF604" w:rsidR="00002B5B" w:rsidRDefault="00002B5B" w:rsidP="00002B5B">
      <w:pPr>
        <w:pStyle w:val="APVMAAddress"/>
        <w:ind w:left="0"/>
      </w:pPr>
      <w:r>
        <w:rPr>
          <w:b/>
        </w:rPr>
        <w:t>Phone:</w:t>
      </w:r>
      <w:r w:rsidR="00AA2707">
        <w:tab/>
        <w:t xml:space="preserve">+61 </w:t>
      </w:r>
      <w:r>
        <w:t>2 6210 4701</w:t>
      </w:r>
    </w:p>
    <w:p w14:paraId="4CC53F84" w14:textId="51AF85CA" w:rsidR="00002B5B" w:rsidRDefault="00002B5B" w:rsidP="00002B5B">
      <w:pPr>
        <w:pStyle w:val="APVMAAddress"/>
        <w:ind w:left="0"/>
      </w:pPr>
      <w:r>
        <w:rPr>
          <w:b/>
        </w:rPr>
        <w:t>Fax:</w:t>
      </w:r>
      <w:r w:rsidR="00AA2707">
        <w:tab/>
        <w:t>+61 2</w:t>
      </w:r>
      <w:r>
        <w:t xml:space="preserve"> 6210 4721</w:t>
      </w:r>
    </w:p>
    <w:p w14:paraId="462291DE" w14:textId="77777777" w:rsidR="00002B5B" w:rsidRDefault="00002B5B" w:rsidP="00002B5B">
      <w:pPr>
        <w:pStyle w:val="APVMAAddress"/>
        <w:ind w:left="0"/>
      </w:pPr>
      <w:r>
        <w:rPr>
          <w:b/>
        </w:rPr>
        <w:t>Email:</w:t>
      </w:r>
      <w:r>
        <w:tab/>
      </w:r>
      <w:hyperlink r:id="rId27" w:history="1">
        <w:r w:rsidRPr="00BB234E">
          <w:rPr>
            <w:rStyle w:val="Hyperlink"/>
          </w:rPr>
          <w:t>enquiries@apvma.gov.au</w:t>
        </w:r>
      </w:hyperlink>
    </w:p>
    <w:p w14:paraId="3742CAD0" w14:textId="77777777" w:rsidR="00F27E0D" w:rsidRDefault="00F27E0D">
      <w:pPr>
        <w:pStyle w:val="APVMAPreliminariesH2"/>
      </w:pPr>
      <w:bookmarkStart w:id="3" w:name="_Toc6472813"/>
      <w:r>
        <w:t>Further information</w:t>
      </w:r>
      <w:bookmarkEnd w:id="3"/>
    </w:p>
    <w:p w14:paraId="186B6D40" w14:textId="4EF16D0A" w:rsidR="00F27E0D" w:rsidRDefault="00F27E0D">
      <w:pPr>
        <w:pStyle w:val="APVMAText"/>
      </w:pPr>
      <w:r>
        <w:t>Further information can be obtained via the contact details provided above.</w:t>
      </w:r>
    </w:p>
    <w:p w14:paraId="6C4AE200" w14:textId="2720014B" w:rsidR="00F27E0D" w:rsidRDefault="00F27E0D">
      <w:pPr>
        <w:pStyle w:val="APVMAText"/>
      </w:pPr>
      <w:r>
        <w:t xml:space="preserve">Copies of technical evaluation reports covering </w:t>
      </w:r>
      <w:r w:rsidR="00B207D6">
        <w:t xml:space="preserve">chemistry, efficacy and safety, </w:t>
      </w:r>
      <w:r>
        <w:t>toxicology, occupational health and safety aspects, residues in food and environmental aspects are available from the APVMA on request.</w:t>
      </w:r>
    </w:p>
    <w:p w14:paraId="7B0668BA" w14:textId="77777777" w:rsidR="006474CF" w:rsidRDefault="00002B5B">
      <w:pPr>
        <w:pStyle w:val="APVMAText"/>
        <w:sectPr w:rsidR="006474CF">
          <w:headerReference w:type="even" r:id="rId28"/>
          <w:headerReference w:type="default" r:id="rId29"/>
          <w:footerReference w:type="even" r:id="rId30"/>
          <w:pgSz w:w="11906" w:h="16838" w:code="9"/>
          <w:pgMar w:top="2835" w:right="1134" w:bottom="1134" w:left="1134" w:header="1701" w:footer="680" w:gutter="0"/>
          <w:pgNumType w:fmt="lowerRoman"/>
          <w:cols w:space="708"/>
          <w:docGrid w:linePitch="360"/>
        </w:sectPr>
      </w:pPr>
      <w:r>
        <w:t>Further information on P</w:t>
      </w:r>
      <w:r w:rsidR="00F27E0D">
        <w:t xml:space="preserve">ublic </w:t>
      </w:r>
      <w:r>
        <w:t>Re</w:t>
      </w:r>
      <w:r w:rsidR="00F27E0D">
        <w:t xml:space="preserve">lease </w:t>
      </w:r>
      <w:r>
        <w:t>S</w:t>
      </w:r>
      <w:r w:rsidR="00F27E0D">
        <w:t xml:space="preserve">ummaries can be found on the </w:t>
      </w:r>
      <w:hyperlink r:id="rId31" w:history="1">
        <w:r w:rsidRPr="006C539B">
          <w:rPr>
            <w:rStyle w:val="Hyperlink"/>
          </w:rPr>
          <w:t>APVMA website</w:t>
        </w:r>
      </w:hyperlink>
      <w:r>
        <w:t>.</w:t>
      </w:r>
    </w:p>
    <w:p w14:paraId="2275AD8F" w14:textId="77777777" w:rsidR="00F27E0D" w:rsidRDefault="00F27E0D">
      <w:pPr>
        <w:pStyle w:val="Heading1"/>
      </w:pPr>
      <w:bookmarkStart w:id="4" w:name="_Toc6472814"/>
      <w:r>
        <w:lastRenderedPageBreak/>
        <w:t>Introduction</w:t>
      </w:r>
      <w:bookmarkEnd w:id="4"/>
    </w:p>
    <w:p w14:paraId="1E7D1396" w14:textId="75072E7D" w:rsidR="006474CF" w:rsidRDefault="006474CF" w:rsidP="006474CF">
      <w:pPr>
        <w:pStyle w:val="APVMAText"/>
      </w:pPr>
      <w:bookmarkStart w:id="5" w:name="_Toc461366927"/>
      <w:r>
        <w:t xml:space="preserve">This publication provides a summary of the data reviewed and an outline of the regulatory considerations for the proposed registration of Frequency Herbicide, containing the new active </w:t>
      </w:r>
      <w:proofErr w:type="spellStart"/>
      <w:r>
        <w:t>topramezone</w:t>
      </w:r>
      <w:proofErr w:type="spellEnd"/>
      <w:r>
        <w:t xml:space="preserve">, in combination with the active </w:t>
      </w:r>
      <w:proofErr w:type="spellStart"/>
      <w:r w:rsidRPr="00246938">
        <w:t>cloquintocet-mexyl</w:t>
      </w:r>
      <w:proofErr w:type="spellEnd"/>
      <w:r>
        <w:t>.</w:t>
      </w:r>
    </w:p>
    <w:p w14:paraId="47CE8C4B" w14:textId="3AB16BB4" w:rsidR="00002B5B" w:rsidRPr="00002B5B" w:rsidRDefault="006474CF" w:rsidP="00002B5B">
      <w:pPr>
        <w:pStyle w:val="Heading2"/>
      </w:pPr>
      <w:bookmarkStart w:id="6" w:name="_Toc6472815"/>
      <w:bookmarkEnd w:id="5"/>
      <w:r>
        <w:t>Applicant</w:t>
      </w:r>
      <w:bookmarkEnd w:id="6"/>
    </w:p>
    <w:p w14:paraId="17EAE5F5" w14:textId="53BECB31" w:rsidR="006474CF" w:rsidRDefault="006474CF" w:rsidP="006474CF">
      <w:pPr>
        <w:spacing w:before="240" w:after="240" w:line="280" w:lineRule="exact"/>
      </w:pPr>
      <w:bookmarkStart w:id="7" w:name="_Toc461366928"/>
      <w:bookmarkStart w:id="8" w:name="_Toc461366929"/>
      <w:r w:rsidRPr="00246938">
        <w:t>BASF Australia Ltd</w:t>
      </w:r>
      <w:r w:rsidR="00AA2707">
        <w:t>.</w:t>
      </w:r>
    </w:p>
    <w:p w14:paraId="661ABE74" w14:textId="2DD87D78" w:rsidR="00F77DED" w:rsidRDefault="006474CF" w:rsidP="00002B5B">
      <w:pPr>
        <w:pStyle w:val="Heading2"/>
      </w:pPr>
      <w:bookmarkStart w:id="9" w:name="_Toc6472816"/>
      <w:bookmarkEnd w:id="7"/>
      <w:r>
        <w:t>Purpose of application</w:t>
      </w:r>
      <w:bookmarkEnd w:id="9"/>
    </w:p>
    <w:p w14:paraId="28B41B33" w14:textId="6D83BD32" w:rsidR="006474CF" w:rsidRDefault="006474CF" w:rsidP="006474CF">
      <w:pPr>
        <w:pStyle w:val="APVMAText"/>
      </w:pPr>
      <w:r w:rsidRPr="00246938">
        <w:t>BASF Australia Ltd</w:t>
      </w:r>
      <w:r>
        <w:t xml:space="preserve"> has applied to the APVMA for registration of the new product Frequency Herbicide, containing </w:t>
      </w:r>
      <w:r w:rsidRPr="00246938">
        <w:t xml:space="preserve">60 g/L </w:t>
      </w:r>
      <w:proofErr w:type="spellStart"/>
      <w:r w:rsidRPr="00246938">
        <w:t>topramezone</w:t>
      </w:r>
      <w:proofErr w:type="spellEnd"/>
      <w:r w:rsidRPr="00246938">
        <w:t xml:space="preserve"> and 60 g/L </w:t>
      </w:r>
      <w:proofErr w:type="spellStart"/>
      <w:r w:rsidRPr="00246938">
        <w:t>cloquintocet-mexyl</w:t>
      </w:r>
      <w:proofErr w:type="spellEnd"/>
      <w:r w:rsidRPr="00246938">
        <w:t>,</w:t>
      </w:r>
      <w:r>
        <w:t xml:space="preserve"> as </w:t>
      </w:r>
      <w:r w:rsidRPr="00FD6A88">
        <w:t xml:space="preserve">a </w:t>
      </w:r>
      <w:proofErr w:type="spellStart"/>
      <w:r w:rsidRPr="00FD6A88">
        <w:t>suspo</w:t>
      </w:r>
      <w:proofErr w:type="spellEnd"/>
      <w:r w:rsidRPr="00FD6A88">
        <w:t>-emulsion (SE) formulation</w:t>
      </w:r>
      <w:r>
        <w:t xml:space="preserve"> containing the new active constituent </w:t>
      </w:r>
      <w:proofErr w:type="spellStart"/>
      <w:r>
        <w:rPr>
          <w:iCs/>
        </w:rPr>
        <w:t>topramezone</w:t>
      </w:r>
      <w:proofErr w:type="spellEnd"/>
      <w:r w:rsidRPr="00F77DED">
        <w:t>.</w:t>
      </w:r>
    </w:p>
    <w:p w14:paraId="1F1AD600" w14:textId="1A1F044D" w:rsidR="00C73E9F" w:rsidRDefault="006474CF" w:rsidP="00002B5B">
      <w:pPr>
        <w:pStyle w:val="Heading2"/>
      </w:pPr>
      <w:bookmarkStart w:id="10" w:name="_Toc6472817"/>
      <w:r>
        <w:t>Proposed claims and use pattern</w:t>
      </w:r>
      <w:bookmarkEnd w:id="10"/>
    </w:p>
    <w:p w14:paraId="5CDB99B6" w14:textId="77777777" w:rsidR="006474CF" w:rsidRDefault="006474CF" w:rsidP="006474CF">
      <w:pPr>
        <w:pStyle w:val="APVMAText"/>
      </w:pPr>
      <w:r w:rsidRPr="00246938">
        <w:t xml:space="preserve">The proposed product Frequency Herbicide is intended for post-emergence weed control in </w:t>
      </w:r>
      <w:r>
        <w:t>wheat, barley and durum.</w:t>
      </w:r>
    </w:p>
    <w:p w14:paraId="3C298FC5" w14:textId="30BC9A73" w:rsidR="00002B5B" w:rsidRDefault="006474CF" w:rsidP="00002B5B">
      <w:pPr>
        <w:pStyle w:val="Heading2"/>
      </w:pPr>
      <w:bookmarkStart w:id="11" w:name="_Toc6472818"/>
      <w:bookmarkEnd w:id="8"/>
      <w:r>
        <w:t>Mode of action</w:t>
      </w:r>
      <w:bookmarkEnd w:id="11"/>
    </w:p>
    <w:p w14:paraId="5D86BA8D" w14:textId="77777777" w:rsidR="006474CF" w:rsidRDefault="006474CF" w:rsidP="006474CF">
      <w:pPr>
        <w:pStyle w:val="APVMAText"/>
      </w:pPr>
      <w:proofErr w:type="spellStart"/>
      <w:r w:rsidRPr="00FD6A88">
        <w:t>Topramezone</w:t>
      </w:r>
      <w:proofErr w:type="spellEnd"/>
      <w:r w:rsidRPr="00FD6A88">
        <w:t xml:space="preserve"> is a highly selective herbicide, which controls a broad spectrum of grass and broadleaf weeds when applied post-emergence. It is an inhibitor of 4-hydroxyphenylpyruvate dioxygenase (4-HPPD) in the biosynthesis of </w:t>
      </w:r>
      <w:proofErr w:type="spellStart"/>
      <w:r w:rsidRPr="00FD6A88">
        <w:t>plastoquinone</w:t>
      </w:r>
      <w:proofErr w:type="spellEnd"/>
      <w:r w:rsidRPr="00FD6A88">
        <w:t xml:space="preserve"> and indirectly of carotenoids. Chloroplast synthesis and function is disturbed. This leads to strong bleaching effects (by oxidative degradation of chlorophyll) particularly on the growing zones of the shoot in sensitive weeds. Concomitantly, growth is inhibited. Under the influence of light, chlorotic</w:t>
      </w:r>
      <w:r>
        <w:t xml:space="preserve"> </w:t>
      </w:r>
      <w:r w:rsidRPr="00FD6A88">
        <w:t xml:space="preserve">tissues become necrotic and plants usually die within 14 days after treatment. </w:t>
      </w:r>
      <w:proofErr w:type="spellStart"/>
      <w:r w:rsidRPr="00FD6A88">
        <w:t>Topramezone</w:t>
      </w:r>
      <w:proofErr w:type="spellEnd"/>
      <w:r w:rsidRPr="00FD6A88">
        <w:t xml:space="preserve"> is taken up via the root and shoot and is translocated in the plant both acropetally and </w:t>
      </w:r>
      <w:proofErr w:type="spellStart"/>
      <w:r w:rsidRPr="00FD6A88">
        <w:t>basipetally</w:t>
      </w:r>
      <w:proofErr w:type="spellEnd"/>
      <w:r w:rsidRPr="00FD6A88">
        <w:t>.</w:t>
      </w:r>
    </w:p>
    <w:p w14:paraId="4DA3EAD0" w14:textId="77777777" w:rsidR="006474CF" w:rsidRDefault="006474CF" w:rsidP="006474CF">
      <w:pPr>
        <w:pStyle w:val="APVMAText"/>
        <w:sectPr w:rsidR="006474CF">
          <w:headerReference w:type="default" r:id="rId32"/>
          <w:pgSz w:w="11906" w:h="16838" w:code="9"/>
          <w:pgMar w:top="2835" w:right="1134" w:bottom="1134" w:left="1134" w:header="1701" w:footer="680" w:gutter="0"/>
          <w:cols w:space="708"/>
          <w:docGrid w:linePitch="360"/>
        </w:sectPr>
      </w:pPr>
      <w:proofErr w:type="spellStart"/>
      <w:r w:rsidRPr="00FD6A88">
        <w:t>Cloquintocet-mexyl</w:t>
      </w:r>
      <w:proofErr w:type="spellEnd"/>
      <w:r w:rsidRPr="00FD6A88">
        <w:t xml:space="preserve"> is </w:t>
      </w:r>
      <w:proofErr w:type="gramStart"/>
      <w:r w:rsidRPr="00FD6A88">
        <w:t>a</w:t>
      </w:r>
      <w:proofErr w:type="gramEnd"/>
      <w:r w:rsidRPr="00FD6A88">
        <w:t xml:space="preserve"> herbicide </w:t>
      </w:r>
      <w:proofErr w:type="spellStart"/>
      <w:r w:rsidRPr="00FD6A88">
        <w:t>safener</w:t>
      </w:r>
      <w:proofErr w:type="spellEnd"/>
      <w:r w:rsidRPr="00FD6A88">
        <w:t xml:space="preserve"> used to improve cereal crop tolerance. </w:t>
      </w:r>
      <w:proofErr w:type="spellStart"/>
      <w:r w:rsidRPr="00FD6A88">
        <w:t>Safeners</w:t>
      </w:r>
      <w:proofErr w:type="spellEnd"/>
      <w:r w:rsidRPr="00FD6A88">
        <w:t xml:space="preserve"> are used extensively in cereals to protect crops from damage caused by selective herbicides without compromising weed control efficacy. The mechanism of </w:t>
      </w:r>
      <w:proofErr w:type="spellStart"/>
      <w:r w:rsidRPr="00FD6A88">
        <w:t>safener</w:t>
      </w:r>
      <w:proofErr w:type="spellEnd"/>
      <w:r w:rsidRPr="00FD6A88">
        <w:t xml:space="preserve"> action most widely accepted is that these chemicals enhance crop tolerance by inducing the expression of proteins involved in the metabolism of herbicides, thus accelerating their detoxification.</w:t>
      </w:r>
    </w:p>
    <w:p w14:paraId="7AE833FF" w14:textId="77777777" w:rsidR="00F27E0D" w:rsidRDefault="00F27E0D">
      <w:pPr>
        <w:pStyle w:val="Heading1"/>
        <w:rPr>
          <w:lang w:val="en-GB"/>
        </w:rPr>
      </w:pPr>
      <w:bookmarkStart w:id="12" w:name="_Toc6472819"/>
      <w:r>
        <w:rPr>
          <w:lang w:val="en-GB"/>
        </w:rPr>
        <w:lastRenderedPageBreak/>
        <w:t>Chemistry and manufacture</w:t>
      </w:r>
      <w:bookmarkEnd w:id="12"/>
    </w:p>
    <w:p w14:paraId="11F67087" w14:textId="77777777" w:rsidR="002846E7" w:rsidRDefault="002846E7" w:rsidP="002846E7">
      <w:pPr>
        <w:pStyle w:val="Heading2"/>
      </w:pPr>
      <w:bookmarkStart w:id="13" w:name="_Toc6472820"/>
      <w:r>
        <w:t>Active constituent</w:t>
      </w:r>
      <w:bookmarkEnd w:id="13"/>
    </w:p>
    <w:p w14:paraId="244CA1DA" w14:textId="77FC0636" w:rsidR="006474CF" w:rsidRDefault="006474CF" w:rsidP="006474CF">
      <w:pPr>
        <w:pStyle w:val="APVMAText"/>
      </w:pPr>
      <w:proofErr w:type="spellStart"/>
      <w:r>
        <w:t>Topramezone</w:t>
      </w:r>
      <w:proofErr w:type="spellEnd"/>
      <w:r>
        <w:t xml:space="preserve"> (pure substance, 99.8</w:t>
      </w:r>
      <w:r w:rsidR="00EA2FEF">
        <w:t xml:space="preserve"> per cent</w:t>
      </w:r>
      <w:r>
        <w:t>) is an odourless, white crystalline solid at room temperature, with a melting range of 220.9</w:t>
      </w:r>
      <w:r w:rsidR="00DD43CB">
        <w:t>–</w:t>
      </w:r>
      <w:r>
        <w:t xml:space="preserve">222.2 °C. </w:t>
      </w:r>
      <w:proofErr w:type="spellStart"/>
      <w:r>
        <w:t>Topramezone</w:t>
      </w:r>
      <w:proofErr w:type="spellEnd"/>
      <w:r>
        <w:t xml:space="preserve"> (technical grade active ingredient (TGAI), 99.6</w:t>
      </w:r>
      <w:r w:rsidR="00EA2FEF">
        <w:t xml:space="preserve"> per cent</w:t>
      </w:r>
      <w:r>
        <w:t>) is a beige powdery fine</w:t>
      </w:r>
      <w:r w:rsidR="00DD43CB">
        <w:t>—</w:t>
      </w:r>
      <w:r>
        <w:t xml:space="preserve">crystalline solid with a faint aromatic odour. </w:t>
      </w:r>
      <w:proofErr w:type="spellStart"/>
      <w:r>
        <w:t>Topramezone</w:t>
      </w:r>
      <w:proofErr w:type="spellEnd"/>
      <w:r>
        <w:t xml:space="preserve"> has a low vapour pressure of &lt; 1 x 10</w:t>
      </w:r>
      <w:r w:rsidR="00DD43CB">
        <w:t>–</w:t>
      </w:r>
      <w:r>
        <w:t xml:space="preserve">12 </w:t>
      </w:r>
      <w:proofErr w:type="spellStart"/>
      <w:r>
        <w:t>hPa</w:t>
      </w:r>
      <w:proofErr w:type="spellEnd"/>
      <w:r>
        <w:t xml:space="preserve"> at 20 °C and 25 °C, and there is no indication of sublimation up to the decomposition temperature of ~300 °C. The solubility of </w:t>
      </w:r>
      <w:proofErr w:type="spellStart"/>
      <w:r>
        <w:t>topramezone</w:t>
      </w:r>
      <w:proofErr w:type="spellEnd"/>
      <w:r>
        <w:t xml:space="preserve"> in deionized water was 510 mg/L and it reacts as a weak acid (</w:t>
      </w:r>
      <w:proofErr w:type="spellStart"/>
      <w:r>
        <w:t>pKa</w:t>
      </w:r>
      <w:proofErr w:type="spellEnd"/>
      <w:r>
        <w:t xml:space="preserve"> 4.06). </w:t>
      </w:r>
      <w:proofErr w:type="spellStart"/>
      <w:r>
        <w:t>Topramezone</w:t>
      </w:r>
      <w:proofErr w:type="spellEnd"/>
      <w:r>
        <w:t xml:space="preserve"> has no potential for bioaccumulation, a</w:t>
      </w:r>
      <w:r w:rsidR="00DD43CB">
        <w:t xml:space="preserve">s at pH 7 the log </w:t>
      </w:r>
      <w:proofErr w:type="gramStart"/>
      <w:r w:rsidR="00DD43CB">
        <w:t>Pow</w:t>
      </w:r>
      <w:proofErr w:type="gramEnd"/>
      <w:r w:rsidR="00DD43CB">
        <w:t xml:space="preserve"> is -1.52.</w:t>
      </w:r>
    </w:p>
    <w:p w14:paraId="2AE9DB5F" w14:textId="2A564056" w:rsidR="006474CF" w:rsidRDefault="006474CF" w:rsidP="006474CF">
      <w:pPr>
        <w:pStyle w:val="APVMAText"/>
      </w:pPr>
      <w:r>
        <w:t xml:space="preserve">The APVMA has evaluated the chemistry (manufacturing process, quality control procedures, batch analysis, analytical methods, physio-chemical properties and spectroscopic data) and toxicological aspects of the active constituent </w:t>
      </w:r>
      <w:proofErr w:type="spellStart"/>
      <w:r>
        <w:t>topramezone</w:t>
      </w:r>
      <w:proofErr w:type="spellEnd"/>
      <w:r>
        <w:t xml:space="preserve"> and found them to be acceptable. The active constituent was approved on 27 July 2016 u</w:t>
      </w:r>
      <w:r w:rsidR="00DD43CB">
        <w:t>nder the approval number 69090.</w:t>
      </w:r>
    </w:p>
    <w:p w14:paraId="6891A7AC" w14:textId="77777777" w:rsidR="006474CF" w:rsidRDefault="006474CF" w:rsidP="006474CF">
      <w:pPr>
        <w:pStyle w:val="APVMAText"/>
        <w:rPr>
          <w:szCs w:val="20"/>
        </w:rPr>
      </w:pPr>
      <w:r>
        <w:t xml:space="preserve">The active constituent </w:t>
      </w:r>
      <w:proofErr w:type="spellStart"/>
      <w:r>
        <w:t>topramezone</w:t>
      </w:r>
      <w:proofErr w:type="spellEnd"/>
      <w:r>
        <w:t xml:space="preserve"> is manufactured overseas. Details of the chemical name, structure, and physicochemical properties of </w:t>
      </w:r>
      <w:proofErr w:type="spellStart"/>
      <w:r>
        <w:t>topramezone</w:t>
      </w:r>
      <w:proofErr w:type="spellEnd"/>
      <w:r>
        <w:t xml:space="preserve"> are listed below (Tables 1–2).</w:t>
      </w:r>
    </w:p>
    <w:p w14:paraId="519B4112" w14:textId="5345445E" w:rsidR="005D4B34" w:rsidRDefault="005D4B34" w:rsidP="005D4B34">
      <w:pPr>
        <w:pStyle w:val="Caption"/>
      </w:pPr>
      <w:bookmarkStart w:id="14" w:name="_Toc6472802"/>
      <w:r>
        <w:t xml:space="preserve">Table </w:t>
      </w:r>
      <w:r w:rsidR="00D21C3A">
        <w:rPr>
          <w:noProof/>
        </w:rPr>
        <w:fldChar w:fldCharType="begin"/>
      </w:r>
      <w:r w:rsidR="00D21C3A">
        <w:rPr>
          <w:noProof/>
        </w:rPr>
        <w:instrText xml:space="preserve"> SEQ Table \* ARABIC </w:instrText>
      </w:r>
      <w:r w:rsidR="00D21C3A">
        <w:rPr>
          <w:noProof/>
        </w:rPr>
        <w:fldChar w:fldCharType="separate"/>
      </w:r>
      <w:r w:rsidR="00FC32D4">
        <w:rPr>
          <w:noProof/>
        </w:rPr>
        <w:t>1</w:t>
      </w:r>
      <w:r w:rsidR="00D21C3A">
        <w:rPr>
          <w:noProof/>
        </w:rPr>
        <w:fldChar w:fldCharType="end"/>
      </w:r>
      <w:r>
        <w:t>:</w:t>
      </w:r>
      <w:r w:rsidRPr="005D4B34">
        <w:t xml:space="preserve"> </w:t>
      </w:r>
      <w:r>
        <w:t xml:space="preserve">Nomenclature and structural formula of the active constituent </w:t>
      </w:r>
      <w:proofErr w:type="spellStart"/>
      <w:r w:rsidR="006474CF" w:rsidRPr="00E74C9A">
        <w:t>topramezone</w:t>
      </w:r>
      <w:bookmarkEnd w:id="14"/>
      <w:proofErr w:type="spellEnd"/>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6474CF" w14:paraId="4E5BD598" w14:textId="77777777" w:rsidTr="00AA2707">
        <w:trPr>
          <w:tblHeader/>
        </w:trPr>
        <w:tc>
          <w:tcPr>
            <w:tcW w:w="1580" w:type="pct"/>
            <w:shd w:val="clear" w:color="auto" w:fill="E6E6E6"/>
          </w:tcPr>
          <w:p w14:paraId="4C1C24E2" w14:textId="77777777" w:rsidR="006474CF" w:rsidRDefault="006474CF" w:rsidP="006474CF">
            <w:pPr>
              <w:pStyle w:val="APVMATableHead"/>
              <w:spacing w:before="120"/>
            </w:pPr>
            <w:r>
              <w:t>Common Name (ISO):</w:t>
            </w:r>
          </w:p>
        </w:tc>
        <w:tc>
          <w:tcPr>
            <w:tcW w:w="3420" w:type="pct"/>
          </w:tcPr>
          <w:p w14:paraId="6EBFC7AB" w14:textId="6D1557F4" w:rsidR="006474CF" w:rsidRDefault="006474CF" w:rsidP="006474CF">
            <w:pPr>
              <w:pStyle w:val="APVMATableText"/>
            </w:pPr>
            <w:proofErr w:type="spellStart"/>
            <w:r w:rsidRPr="00E74C9A">
              <w:t>Topramezone</w:t>
            </w:r>
            <w:proofErr w:type="spellEnd"/>
          </w:p>
        </w:tc>
      </w:tr>
      <w:tr w:rsidR="006474CF" w14:paraId="390E3B4F" w14:textId="77777777" w:rsidTr="00AA2707">
        <w:trPr>
          <w:tblHeader/>
        </w:trPr>
        <w:tc>
          <w:tcPr>
            <w:tcW w:w="1580" w:type="pct"/>
            <w:shd w:val="clear" w:color="auto" w:fill="E6E6E6"/>
          </w:tcPr>
          <w:p w14:paraId="341E0668" w14:textId="77777777" w:rsidR="006474CF" w:rsidRDefault="006474CF" w:rsidP="006474CF">
            <w:pPr>
              <w:pStyle w:val="APVMATableHead"/>
              <w:spacing w:before="120"/>
            </w:pPr>
            <w:r>
              <w:t>iupac name:</w:t>
            </w:r>
          </w:p>
        </w:tc>
        <w:tc>
          <w:tcPr>
            <w:tcW w:w="3420" w:type="pct"/>
          </w:tcPr>
          <w:p w14:paraId="7EE8839E" w14:textId="66DC1271" w:rsidR="006474CF" w:rsidRDefault="006474CF" w:rsidP="006474CF">
            <w:pPr>
              <w:pStyle w:val="APVMATableText"/>
            </w:pPr>
            <w:r w:rsidRPr="00E74C9A">
              <w:t>[3-(4,5-dihydro-1,2-oxazol-3-yl)-4-(methanesulfonyl)-2-methylphenyl](5-hydroxy-1-methyl-1</w:t>
            </w:r>
            <w:r w:rsidRPr="00E74C9A">
              <w:rPr>
                <w:i/>
              </w:rPr>
              <w:t>H</w:t>
            </w:r>
            <w:r w:rsidRPr="00E74C9A">
              <w:t>-pyrazol-4-yl)methanone</w:t>
            </w:r>
          </w:p>
        </w:tc>
      </w:tr>
      <w:tr w:rsidR="006474CF" w14:paraId="512F1555" w14:textId="77777777" w:rsidTr="00AA2707">
        <w:trPr>
          <w:tblHeader/>
        </w:trPr>
        <w:tc>
          <w:tcPr>
            <w:tcW w:w="1580" w:type="pct"/>
            <w:shd w:val="clear" w:color="auto" w:fill="E6E6E6"/>
          </w:tcPr>
          <w:p w14:paraId="103E04B1" w14:textId="77777777" w:rsidR="006474CF" w:rsidRDefault="006474CF" w:rsidP="006474CF">
            <w:pPr>
              <w:pStyle w:val="APVMATableHead"/>
              <w:spacing w:before="120"/>
            </w:pPr>
            <w:r>
              <w:t>CAS Registry Number:</w:t>
            </w:r>
          </w:p>
        </w:tc>
        <w:tc>
          <w:tcPr>
            <w:tcW w:w="3420" w:type="pct"/>
          </w:tcPr>
          <w:p w14:paraId="3646B233" w14:textId="23BC5AFC" w:rsidR="006474CF" w:rsidRDefault="006474CF" w:rsidP="006474CF">
            <w:pPr>
              <w:pStyle w:val="APVMATableText"/>
            </w:pPr>
            <w:r w:rsidRPr="00E74C9A">
              <w:t>210631-68-8</w:t>
            </w:r>
          </w:p>
        </w:tc>
      </w:tr>
      <w:tr w:rsidR="006474CF" w14:paraId="2B64E1EF" w14:textId="77777777" w:rsidTr="00AA2707">
        <w:trPr>
          <w:tblHeader/>
        </w:trPr>
        <w:tc>
          <w:tcPr>
            <w:tcW w:w="1580" w:type="pct"/>
            <w:shd w:val="clear" w:color="auto" w:fill="E6E6E6"/>
          </w:tcPr>
          <w:p w14:paraId="165250AC" w14:textId="77777777" w:rsidR="006474CF" w:rsidRDefault="006474CF" w:rsidP="006474CF">
            <w:pPr>
              <w:pStyle w:val="APVMATableHead"/>
              <w:spacing w:before="120"/>
            </w:pPr>
            <w:r>
              <w:t>molecular Formula:</w:t>
            </w:r>
          </w:p>
        </w:tc>
        <w:tc>
          <w:tcPr>
            <w:tcW w:w="3420" w:type="pct"/>
          </w:tcPr>
          <w:p w14:paraId="6EED9473" w14:textId="0BFB3889" w:rsidR="006474CF" w:rsidRDefault="006474CF" w:rsidP="006474CF">
            <w:pPr>
              <w:pStyle w:val="APVMATableText"/>
            </w:pPr>
            <w:r w:rsidRPr="00E74C9A">
              <w:t>C</w:t>
            </w:r>
            <w:r w:rsidRPr="00E74C9A">
              <w:rPr>
                <w:vertAlign w:val="subscript"/>
              </w:rPr>
              <w:t>16</w:t>
            </w:r>
            <w:r w:rsidRPr="00E74C9A">
              <w:t>H</w:t>
            </w:r>
            <w:r w:rsidRPr="00E74C9A">
              <w:rPr>
                <w:vertAlign w:val="subscript"/>
              </w:rPr>
              <w:t>17</w:t>
            </w:r>
            <w:r w:rsidRPr="00E74C9A">
              <w:t>N</w:t>
            </w:r>
            <w:r w:rsidRPr="00E74C9A">
              <w:rPr>
                <w:vertAlign w:val="subscript"/>
              </w:rPr>
              <w:t>3</w:t>
            </w:r>
            <w:r w:rsidRPr="00E74C9A">
              <w:t>O</w:t>
            </w:r>
            <w:r w:rsidRPr="00E74C9A">
              <w:rPr>
                <w:vertAlign w:val="subscript"/>
              </w:rPr>
              <w:t>5</w:t>
            </w:r>
            <w:r w:rsidRPr="00E74C9A">
              <w:t>S</w:t>
            </w:r>
          </w:p>
        </w:tc>
      </w:tr>
      <w:tr w:rsidR="006474CF" w14:paraId="090685FA" w14:textId="77777777" w:rsidTr="00AA2707">
        <w:trPr>
          <w:tblHeader/>
        </w:trPr>
        <w:tc>
          <w:tcPr>
            <w:tcW w:w="1580" w:type="pct"/>
            <w:shd w:val="clear" w:color="auto" w:fill="E6E6E6"/>
          </w:tcPr>
          <w:p w14:paraId="583C65DD" w14:textId="77777777" w:rsidR="006474CF" w:rsidRDefault="006474CF" w:rsidP="006474CF">
            <w:pPr>
              <w:pStyle w:val="APVMATableHead"/>
              <w:spacing w:before="120"/>
            </w:pPr>
            <w:r>
              <w:t>Molecular Weight:</w:t>
            </w:r>
          </w:p>
        </w:tc>
        <w:tc>
          <w:tcPr>
            <w:tcW w:w="3420" w:type="pct"/>
          </w:tcPr>
          <w:p w14:paraId="201CB989" w14:textId="3FB4A215" w:rsidR="006474CF" w:rsidRDefault="006474CF" w:rsidP="006474CF">
            <w:pPr>
              <w:pStyle w:val="APVMATableText"/>
            </w:pPr>
            <w:r w:rsidRPr="00E74C9A">
              <w:t>363.39 g/</w:t>
            </w:r>
            <w:proofErr w:type="spellStart"/>
            <w:r w:rsidRPr="00E74C9A">
              <w:t>mol</w:t>
            </w:r>
            <w:proofErr w:type="spellEnd"/>
          </w:p>
        </w:tc>
      </w:tr>
      <w:tr w:rsidR="006474CF" w14:paraId="3F5E7FA2" w14:textId="77777777" w:rsidTr="00AA2707">
        <w:trPr>
          <w:tblHeader/>
        </w:trPr>
        <w:tc>
          <w:tcPr>
            <w:tcW w:w="1580" w:type="pct"/>
            <w:shd w:val="clear" w:color="auto" w:fill="E6E6E6"/>
          </w:tcPr>
          <w:p w14:paraId="5A4E8D0E" w14:textId="77777777" w:rsidR="006474CF" w:rsidRDefault="006474CF" w:rsidP="006474CF">
            <w:pPr>
              <w:pStyle w:val="APVMATableHead"/>
              <w:spacing w:before="120"/>
            </w:pPr>
            <w:r>
              <w:t>Structural Formula:</w:t>
            </w:r>
          </w:p>
        </w:tc>
        <w:tc>
          <w:tcPr>
            <w:tcW w:w="3420" w:type="pct"/>
          </w:tcPr>
          <w:p w14:paraId="128625A2" w14:textId="35CE94F7" w:rsidR="006474CF" w:rsidRDefault="006474CF" w:rsidP="006474CF">
            <w:pPr>
              <w:pStyle w:val="APVMATableText"/>
            </w:pPr>
            <w:r w:rsidRPr="00E74C9A">
              <w:rPr>
                <w:noProof/>
                <w:lang w:eastAsia="en-AU"/>
              </w:rPr>
              <w:drawing>
                <wp:anchor distT="0" distB="0" distL="114300" distR="114300" simplePos="0" relativeHeight="251662336" behindDoc="0" locked="0" layoutInCell="1" allowOverlap="1" wp14:anchorId="51359102" wp14:editId="3B8B6469">
                  <wp:simplePos x="0" y="0"/>
                  <wp:positionH relativeFrom="column">
                    <wp:posOffset>635</wp:posOffset>
                  </wp:positionH>
                  <wp:positionV relativeFrom="paragraph">
                    <wp:posOffset>41275</wp:posOffset>
                  </wp:positionV>
                  <wp:extent cx="1569004" cy="990600"/>
                  <wp:effectExtent l="0" t="0" r="0" b="0"/>
                  <wp:wrapSquare wrapText="bothSides"/>
                  <wp:docPr id="6" name="Picture 6" descr="structural formula of toprame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569004" cy="990600"/>
                          </a:xfrm>
                          <a:prstGeom prst="rect">
                            <a:avLst/>
                          </a:prstGeom>
                        </pic:spPr>
                      </pic:pic>
                    </a:graphicData>
                  </a:graphic>
                </wp:anchor>
              </w:drawing>
            </w:r>
          </w:p>
        </w:tc>
      </w:tr>
    </w:tbl>
    <w:p w14:paraId="52D9AF10" w14:textId="77777777" w:rsidR="006474CF" w:rsidRDefault="006474CF" w:rsidP="005D1EFB">
      <w:pPr>
        <w:pStyle w:val="InstructionalText"/>
        <w:rPr>
          <w:color w:val="auto"/>
          <w:lang w:val="en-GB"/>
        </w:rPr>
        <w:sectPr w:rsidR="006474CF">
          <w:pgSz w:w="11906" w:h="16838" w:code="9"/>
          <w:pgMar w:top="2835" w:right="1134" w:bottom="1134" w:left="1134" w:header="1701" w:footer="680" w:gutter="0"/>
          <w:cols w:space="708"/>
          <w:docGrid w:linePitch="360"/>
        </w:sectPr>
      </w:pPr>
    </w:p>
    <w:p w14:paraId="3F92F2FB" w14:textId="0522F172" w:rsidR="00E1321B" w:rsidRDefault="00DD43CB" w:rsidP="00DD43CB">
      <w:pPr>
        <w:pStyle w:val="Caption"/>
      </w:pPr>
      <w:bookmarkStart w:id="15" w:name="_Toc6472803"/>
      <w:r>
        <w:lastRenderedPageBreak/>
        <w:t xml:space="preserve">Table </w:t>
      </w:r>
      <w:r w:rsidR="00D77AF5">
        <w:rPr>
          <w:noProof/>
        </w:rPr>
        <w:fldChar w:fldCharType="begin"/>
      </w:r>
      <w:r w:rsidR="00D77AF5">
        <w:rPr>
          <w:noProof/>
        </w:rPr>
        <w:instrText xml:space="preserve"> SEQ Table \* ARABIC </w:instrText>
      </w:r>
      <w:r w:rsidR="00D77AF5">
        <w:rPr>
          <w:noProof/>
        </w:rPr>
        <w:fldChar w:fldCharType="separate"/>
      </w:r>
      <w:r w:rsidR="00FC32D4">
        <w:rPr>
          <w:noProof/>
        </w:rPr>
        <w:t>2</w:t>
      </w:r>
      <w:r w:rsidR="00D77AF5">
        <w:rPr>
          <w:noProof/>
        </w:rPr>
        <w:fldChar w:fldCharType="end"/>
      </w:r>
      <w:r>
        <w:t xml:space="preserve">: Key physicochemical properties of the active constituent </w:t>
      </w:r>
      <w:proofErr w:type="spellStart"/>
      <w:r w:rsidRPr="00E74C9A">
        <w:t>topramezone</w:t>
      </w:r>
      <w:bookmarkEnd w:id="15"/>
      <w:proofErr w:type="spellEnd"/>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2616"/>
        <w:gridCol w:w="7022"/>
      </w:tblGrid>
      <w:tr w:rsidR="006474CF" w14:paraId="5B0D7D90" w14:textId="77777777" w:rsidTr="00AA2707">
        <w:tc>
          <w:tcPr>
            <w:tcW w:w="1357" w:type="pct"/>
            <w:shd w:val="clear" w:color="auto" w:fill="E6E6E6"/>
          </w:tcPr>
          <w:p w14:paraId="038056C3" w14:textId="77777777" w:rsidR="006474CF" w:rsidRDefault="006474CF" w:rsidP="00C560CF">
            <w:pPr>
              <w:pStyle w:val="APVMATableHead"/>
              <w:keepNext w:val="0"/>
              <w:keepLines w:val="0"/>
              <w:spacing w:before="120"/>
            </w:pPr>
            <w:r>
              <w:t>Physical Form:</w:t>
            </w:r>
          </w:p>
        </w:tc>
        <w:tc>
          <w:tcPr>
            <w:tcW w:w="3643" w:type="pct"/>
          </w:tcPr>
          <w:p w14:paraId="78279F6C" w14:textId="6EF9E4FA" w:rsidR="006474CF" w:rsidRDefault="006474CF" w:rsidP="00C560CF">
            <w:pPr>
              <w:pStyle w:val="APVMATableText"/>
            </w:pPr>
            <w:r>
              <w:t>White crystallin</w:t>
            </w:r>
            <w:r w:rsidR="00AA2707">
              <w:t>e solid (pure substance, 99.8%)</w:t>
            </w:r>
          </w:p>
          <w:p w14:paraId="6D8D2691" w14:textId="311B1C83" w:rsidR="006474CF" w:rsidRDefault="00D77AF5" w:rsidP="00C560CF">
            <w:pPr>
              <w:pStyle w:val="APVMATableText"/>
            </w:pPr>
            <w:r>
              <w:t>Beige powdery fine–</w:t>
            </w:r>
            <w:r w:rsidR="006474CF">
              <w:t>crystalline solid (TGAI, 99.6% purity)</w:t>
            </w:r>
          </w:p>
        </w:tc>
      </w:tr>
      <w:tr w:rsidR="00BD010E" w14:paraId="1BD06161" w14:textId="77777777" w:rsidTr="00AA2707">
        <w:tc>
          <w:tcPr>
            <w:tcW w:w="1357" w:type="pct"/>
            <w:shd w:val="clear" w:color="auto" w:fill="E6E6E6"/>
          </w:tcPr>
          <w:p w14:paraId="2F96E4F1" w14:textId="6350122E" w:rsidR="00BD010E" w:rsidRDefault="00BD010E" w:rsidP="00C560CF">
            <w:pPr>
              <w:pStyle w:val="APVMATableHead"/>
              <w:keepNext w:val="0"/>
              <w:keepLines w:val="0"/>
              <w:spacing w:before="120"/>
            </w:pPr>
            <w:r>
              <w:t>Odour:</w:t>
            </w:r>
          </w:p>
        </w:tc>
        <w:tc>
          <w:tcPr>
            <w:tcW w:w="3643" w:type="pct"/>
          </w:tcPr>
          <w:p w14:paraId="7F61E4C3" w14:textId="77777777" w:rsidR="00BD010E" w:rsidRDefault="00BD010E" w:rsidP="00C560CF">
            <w:pPr>
              <w:pStyle w:val="APVMATableText"/>
            </w:pPr>
            <w:r>
              <w:t>Odourless (pure substance, 99.8%)</w:t>
            </w:r>
          </w:p>
          <w:p w14:paraId="4AD9AD0B" w14:textId="69920E04" w:rsidR="00BD010E" w:rsidRDefault="00BD010E" w:rsidP="00C560CF">
            <w:pPr>
              <w:pStyle w:val="APVMATableText"/>
            </w:pPr>
            <w:r>
              <w:t>Faint aromatic odour (TGAI, 99.6% purity)</w:t>
            </w:r>
          </w:p>
        </w:tc>
      </w:tr>
      <w:tr w:rsidR="00BD010E" w14:paraId="5F03DEE5" w14:textId="77777777" w:rsidTr="00AA2707">
        <w:tc>
          <w:tcPr>
            <w:tcW w:w="1357" w:type="pct"/>
            <w:shd w:val="clear" w:color="auto" w:fill="E6E6E6"/>
          </w:tcPr>
          <w:p w14:paraId="24348CAC" w14:textId="2DB8A8C1" w:rsidR="00BD010E" w:rsidRDefault="00BD010E" w:rsidP="00C560CF">
            <w:pPr>
              <w:pStyle w:val="APVMATableHead"/>
              <w:keepNext w:val="0"/>
              <w:keepLines w:val="0"/>
              <w:spacing w:before="120"/>
            </w:pPr>
            <w:r>
              <w:t>Melting range:</w:t>
            </w:r>
          </w:p>
        </w:tc>
        <w:tc>
          <w:tcPr>
            <w:tcW w:w="3643" w:type="pct"/>
          </w:tcPr>
          <w:p w14:paraId="0F057270" w14:textId="5C8AB055" w:rsidR="00BD010E" w:rsidRDefault="00D77AF5" w:rsidP="00D77AF5">
            <w:pPr>
              <w:pStyle w:val="APVMATableText"/>
            </w:pPr>
            <w:r>
              <w:t>220.9–</w:t>
            </w:r>
            <w:r w:rsidR="00BD010E">
              <w:t>222.2 °C (pure substance, 99.8%)</w:t>
            </w:r>
          </w:p>
        </w:tc>
      </w:tr>
      <w:tr w:rsidR="00BD010E" w14:paraId="29C526C1" w14:textId="77777777" w:rsidTr="00AA2707">
        <w:tc>
          <w:tcPr>
            <w:tcW w:w="1357" w:type="pct"/>
            <w:shd w:val="clear" w:color="auto" w:fill="E6E6E6"/>
          </w:tcPr>
          <w:p w14:paraId="328AD77A" w14:textId="3827E923" w:rsidR="00BD010E" w:rsidRDefault="00BD010E" w:rsidP="00C560CF">
            <w:pPr>
              <w:pStyle w:val="APVMATableHead"/>
              <w:keepNext w:val="0"/>
              <w:keepLines w:val="0"/>
              <w:spacing w:before="120"/>
            </w:pPr>
            <w:r>
              <w:t>boiling point:</w:t>
            </w:r>
          </w:p>
        </w:tc>
        <w:tc>
          <w:tcPr>
            <w:tcW w:w="3643" w:type="pct"/>
          </w:tcPr>
          <w:p w14:paraId="13792676" w14:textId="541CE8D7" w:rsidR="00BD010E" w:rsidRDefault="005709D7" w:rsidP="00C560CF">
            <w:pPr>
              <w:pStyle w:val="APVMATableText"/>
            </w:pPr>
            <w:r>
              <w:t>Not measurable—</w:t>
            </w:r>
            <w:r w:rsidR="00BD010E">
              <w:t>decomposition above ~300 °C</w:t>
            </w:r>
          </w:p>
        </w:tc>
      </w:tr>
      <w:tr w:rsidR="00BD010E" w14:paraId="072BD35E" w14:textId="77777777" w:rsidTr="00AA2707">
        <w:tc>
          <w:tcPr>
            <w:tcW w:w="1357" w:type="pct"/>
            <w:shd w:val="clear" w:color="auto" w:fill="E6E6E6"/>
          </w:tcPr>
          <w:p w14:paraId="0B6C8233" w14:textId="676F6884" w:rsidR="00BD010E" w:rsidRDefault="00BD010E" w:rsidP="00C560CF">
            <w:pPr>
              <w:pStyle w:val="APVMATableHead"/>
              <w:keepNext w:val="0"/>
              <w:keepLines w:val="0"/>
              <w:spacing w:before="120"/>
            </w:pPr>
            <w:r>
              <w:t>relative density</w:t>
            </w:r>
          </w:p>
        </w:tc>
        <w:tc>
          <w:tcPr>
            <w:tcW w:w="3643" w:type="pct"/>
          </w:tcPr>
          <w:p w14:paraId="5CCB87F6" w14:textId="30D181F9" w:rsidR="00BD010E" w:rsidRDefault="00BD010E" w:rsidP="00C560CF">
            <w:pPr>
              <w:pStyle w:val="APVMATableText"/>
            </w:pPr>
            <w:r w:rsidRPr="008616E9">
              <w:rPr>
                <w:color w:val="000000" w:themeColor="text1"/>
              </w:rPr>
              <w:t>1.411 (20 °C)</w:t>
            </w:r>
          </w:p>
        </w:tc>
      </w:tr>
      <w:tr w:rsidR="00BD010E" w14:paraId="2AB42D12" w14:textId="77777777" w:rsidTr="00AA2707">
        <w:tc>
          <w:tcPr>
            <w:tcW w:w="1357" w:type="pct"/>
            <w:shd w:val="clear" w:color="auto" w:fill="E6E6E6"/>
          </w:tcPr>
          <w:p w14:paraId="37587F50" w14:textId="6374F893" w:rsidR="00BD010E" w:rsidRDefault="00BD010E" w:rsidP="00C560CF">
            <w:pPr>
              <w:pStyle w:val="APVMATableHead"/>
              <w:keepNext w:val="0"/>
              <w:keepLines w:val="0"/>
              <w:spacing w:before="120"/>
            </w:pPr>
            <w:r>
              <w:t>surface tension:</w:t>
            </w:r>
          </w:p>
        </w:tc>
        <w:tc>
          <w:tcPr>
            <w:tcW w:w="3643" w:type="pct"/>
          </w:tcPr>
          <w:p w14:paraId="5918E273" w14:textId="2D3D6C4F" w:rsidR="00BD010E" w:rsidRDefault="00BD010E" w:rsidP="00C560CF">
            <w:pPr>
              <w:pStyle w:val="APVMATableText"/>
            </w:pPr>
            <w:r>
              <w:rPr>
                <w:color w:val="000000" w:themeColor="text1"/>
              </w:rPr>
              <w:t xml:space="preserve">69 </w:t>
            </w:r>
            <w:proofErr w:type="spellStart"/>
            <w:r>
              <w:rPr>
                <w:color w:val="000000" w:themeColor="text1"/>
              </w:rPr>
              <w:t>mN</w:t>
            </w:r>
            <w:proofErr w:type="spellEnd"/>
            <w:r>
              <w:rPr>
                <w:color w:val="000000" w:themeColor="text1"/>
              </w:rPr>
              <w:t xml:space="preserve">/m (1.0% solution, 20 </w:t>
            </w:r>
            <w:r>
              <w:t>°C)</w:t>
            </w:r>
          </w:p>
        </w:tc>
      </w:tr>
      <w:tr w:rsidR="00BD010E" w14:paraId="27FCF2CB" w14:textId="77777777" w:rsidTr="00AA2707">
        <w:trPr>
          <w:trHeight w:val="613"/>
        </w:trPr>
        <w:tc>
          <w:tcPr>
            <w:tcW w:w="1357" w:type="pct"/>
            <w:shd w:val="clear" w:color="auto" w:fill="E6E6E6"/>
          </w:tcPr>
          <w:p w14:paraId="5D31D677" w14:textId="7E523C92" w:rsidR="00BD010E" w:rsidRDefault="00BD010E" w:rsidP="00C560CF">
            <w:pPr>
              <w:pStyle w:val="APVMATableHead"/>
              <w:keepNext w:val="0"/>
              <w:keepLines w:val="0"/>
              <w:spacing w:before="120"/>
            </w:pPr>
            <w:r>
              <w:t>solubility in water:</w:t>
            </w:r>
          </w:p>
        </w:tc>
        <w:tc>
          <w:tcPr>
            <w:tcW w:w="3643" w:type="pct"/>
          </w:tcPr>
          <w:p w14:paraId="0F127D1A" w14:textId="77777777" w:rsidR="00BD010E" w:rsidRDefault="00BD010E" w:rsidP="00C560CF">
            <w:pPr>
              <w:pStyle w:val="APVMATableText"/>
              <w:rPr>
                <w:color w:val="000000" w:themeColor="text1"/>
              </w:rPr>
            </w:pPr>
            <w:r>
              <w:t xml:space="preserve">510 mg/L in deionized water (pH 3.1, </w:t>
            </w:r>
            <w:r w:rsidRPr="009A5DE2">
              <w:rPr>
                <w:color w:val="000000" w:themeColor="text1"/>
              </w:rPr>
              <w:t>20 °C</w:t>
            </w:r>
            <w:r>
              <w:rPr>
                <w:color w:val="000000" w:themeColor="text1"/>
              </w:rPr>
              <w:t>)</w:t>
            </w:r>
          </w:p>
          <w:p w14:paraId="5BFD85A5" w14:textId="53560451" w:rsidR="00BD010E" w:rsidRPr="00B75B0D" w:rsidRDefault="00BD010E" w:rsidP="00C560CF">
            <w:pPr>
              <w:pStyle w:val="APVMATableText"/>
              <w:rPr>
                <w:color w:val="4F81BD" w:themeColor="accent1"/>
              </w:rPr>
            </w:pPr>
            <w:r>
              <w:rPr>
                <w:color w:val="000000" w:themeColor="text1"/>
              </w:rPr>
              <w:t xml:space="preserve">&gt;100 g/L in alkaline medium (pH &gt;9, </w:t>
            </w:r>
            <w:r w:rsidRPr="009A5DE2">
              <w:rPr>
                <w:color w:val="000000" w:themeColor="text1"/>
              </w:rPr>
              <w:t>20 °C</w:t>
            </w:r>
            <w:r>
              <w:rPr>
                <w:color w:val="000000" w:themeColor="text1"/>
              </w:rPr>
              <w:t>)</w:t>
            </w:r>
          </w:p>
        </w:tc>
      </w:tr>
      <w:tr w:rsidR="00BD010E" w14:paraId="0A70896D" w14:textId="77777777" w:rsidTr="00AA2707">
        <w:tc>
          <w:tcPr>
            <w:tcW w:w="1357" w:type="pct"/>
            <w:shd w:val="clear" w:color="auto" w:fill="E6E6E6"/>
          </w:tcPr>
          <w:p w14:paraId="2DFB2625" w14:textId="4C611CB7" w:rsidR="00BD010E" w:rsidRDefault="00BD010E" w:rsidP="00C560CF">
            <w:pPr>
              <w:pStyle w:val="APVMATableHead"/>
              <w:keepNext w:val="0"/>
              <w:keepLines w:val="0"/>
              <w:spacing w:before="120"/>
            </w:pPr>
            <w:r>
              <w:t>organic solvent solubility:</w:t>
            </w:r>
          </w:p>
        </w:tc>
        <w:tc>
          <w:tcPr>
            <w:tcW w:w="3643" w:type="pct"/>
          </w:tcPr>
          <w:p w14:paraId="17A887AD" w14:textId="77777777" w:rsidR="00BD010E" w:rsidRDefault="00BD010E" w:rsidP="00C560CF">
            <w:pPr>
              <w:pStyle w:val="APVMATableText"/>
            </w:pPr>
            <w:r>
              <w:t>Acetone: 7 g/L</w:t>
            </w:r>
          </w:p>
          <w:p w14:paraId="3769ABB3" w14:textId="77777777" w:rsidR="00BD010E" w:rsidRDefault="00BD010E" w:rsidP="00C560CF">
            <w:pPr>
              <w:pStyle w:val="APVMATableText"/>
              <w:rPr>
                <w:color w:val="000000" w:themeColor="text1"/>
              </w:rPr>
            </w:pPr>
            <w:r w:rsidRPr="00251768">
              <w:rPr>
                <w:color w:val="000000" w:themeColor="text1"/>
              </w:rPr>
              <w:t>Acetonitrile:</w:t>
            </w:r>
            <w:r>
              <w:rPr>
                <w:color w:val="000000" w:themeColor="text1"/>
              </w:rPr>
              <w:t xml:space="preserve"> 6.8 g/L </w:t>
            </w:r>
          </w:p>
          <w:p w14:paraId="6BECC02D" w14:textId="77777777" w:rsidR="00BD010E" w:rsidRDefault="00BD010E" w:rsidP="00C560CF">
            <w:pPr>
              <w:pStyle w:val="APVMATableText"/>
              <w:rPr>
                <w:color w:val="000000" w:themeColor="text1"/>
              </w:rPr>
            </w:pPr>
            <w:r w:rsidRPr="00251768">
              <w:rPr>
                <w:color w:val="000000" w:themeColor="text1"/>
              </w:rPr>
              <w:t>Dichloromethane:</w:t>
            </w:r>
            <w:r>
              <w:rPr>
                <w:color w:val="000000" w:themeColor="text1"/>
              </w:rPr>
              <w:t xml:space="preserve"> 120 g/L</w:t>
            </w:r>
          </w:p>
          <w:p w14:paraId="7495697E" w14:textId="77777777" w:rsidR="00BD010E" w:rsidRDefault="00BD010E" w:rsidP="00C560CF">
            <w:pPr>
              <w:pStyle w:val="APVMATableText"/>
              <w:rPr>
                <w:color w:val="000000" w:themeColor="text1"/>
              </w:rPr>
            </w:pPr>
            <w:r w:rsidRPr="00251768">
              <w:rPr>
                <w:color w:val="000000" w:themeColor="text1"/>
              </w:rPr>
              <w:t>Ethyl acetate:</w:t>
            </w:r>
            <w:r>
              <w:rPr>
                <w:color w:val="000000" w:themeColor="text1"/>
              </w:rPr>
              <w:t xml:space="preserve"> 3.8 g/L</w:t>
            </w:r>
          </w:p>
          <w:p w14:paraId="22FCFD63" w14:textId="77777777" w:rsidR="00BD010E" w:rsidRDefault="00BD010E" w:rsidP="00C560CF">
            <w:pPr>
              <w:pStyle w:val="APVMATableText"/>
              <w:rPr>
                <w:color w:val="000000" w:themeColor="text1"/>
              </w:rPr>
            </w:pPr>
            <w:r w:rsidRPr="00251768">
              <w:rPr>
                <w:color w:val="000000" w:themeColor="text1"/>
              </w:rPr>
              <w:t>n-Heptane:</w:t>
            </w:r>
            <w:r>
              <w:rPr>
                <w:color w:val="000000" w:themeColor="text1"/>
              </w:rPr>
              <w:t xml:space="preserve"> &lt;0.01 g/L</w:t>
            </w:r>
          </w:p>
          <w:p w14:paraId="5E91871F" w14:textId="77777777" w:rsidR="00BD010E" w:rsidRDefault="00BD010E" w:rsidP="00C560CF">
            <w:pPr>
              <w:pStyle w:val="APVMATableText"/>
              <w:rPr>
                <w:color w:val="000000" w:themeColor="text1"/>
              </w:rPr>
            </w:pPr>
            <w:r>
              <w:rPr>
                <w:color w:val="000000" w:themeColor="text1"/>
              </w:rPr>
              <w:t>Methanol: 1.8 g/L</w:t>
            </w:r>
          </w:p>
          <w:p w14:paraId="0FF98708" w14:textId="77777777" w:rsidR="00BD010E" w:rsidRDefault="00BD010E" w:rsidP="00C560CF">
            <w:pPr>
              <w:pStyle w:val="APVMATableText"/>
            </w:pPr>
            <w:r>
              <w:t>1-Octanol: 0.4 g/L</w:t>
            </w:r>
          </w:p>
          <w:p w14:paraId="72BDFE6B" w14:textId="77777777" w:rsidR="00BD010E" w:rsidRDefault="00BD010E" w:rsidP="00C560CF">
            <w:pPr>
              <w:pStyle w:val="APVMATableText"/>
            </w:pPr>
            <w:r>
              <w:t>2-Propanol: 0.2 g/L</w:t>
            </w:r>
          </w:p>
          <w:p w14:paraId="7DD637C4" w14:textId="77777777" w:rsidR="00BD010E" w:rsidRDefault="00BD010E" w:rsidP="00C560CF">
            <w:pPr>
              <w:pStyle w:val="APVMATableText"/>
            </w:pPr>
            <w:r>
              <w:t>Toluene: 3.7 g/L</w:t>
            </w:r>
          </w:p>
          <w:p w14:paraId="16F32F76" w14:textId="1E2665CC" w:rsidR="00BD010E" w:rsidRDefault="00BD010E" w:rsidP="00C560CF">
            <w:pPr>
              <w:pStyle w:val="APVMATableText"/>
            </w:pPr>
            <w:r>
              <w:t xml:space="preserve">All reported at </w:t>
            </w:r>
            <w:r w:rsidRPr="009A5DE2">
              <w:rPr>
                <w:color w:val="000000" w:themeColor="text1"/>
              </w:rPr>
              <w:t>20 °C</w:t>
            </w:r>
          </w:p>
        </w:tc>
      </w:tr>
      <w:tr w:rsidR="00BD010E" w14:paraId="31783CA9" w14:textId="77777777" w:rsidTr="00AA2707">
        <w:tc>
          <w:tcPr>
            <w:tcW w:w="1357" w:type="pct"/>
            <w:shd w:val="clear" w:color="auto" w:fill="E6E6E6"/>
          </w:tcPr>
          <w:p w14:paraId="1A54DFFC" w14:textId="03C4060A" w:rsidR="00BD010E" w:rsidRDefault="00BD010E" w:rsidP="00C560CF">
            <w:pPr>
              <w:pStyle w:val="APVMATableHead"/>
              <w:keepNext w:val="0"/>
              <w:keepLines w:val="0"/>
              <w:spacing w:before="120"/>
            </w:pPr>
            <w:r>
              <w:t>Dissociation constant (pk</w:t>
            </w:r>
            <w:r w:rsidRPr="00B75B0D">
              <w:rPr>
                <w:vertAlign w:val="subscript"/>
              </w:rPr>
              <w:t>a</w:t>
            </w:r>
            <w:r w:rsidRPr="009A5578">
              <w:t>)</w:t>
            </w:r>
            <w:r>
              <w:t>:</w:t>
            </w:r>
          </w:p>
        </w:tc>
        <w:tc>
          <w:tcPr>
            <w:tcW w:w="3643" w:type="pct"/>
          </w:tcPr>
          <w:p w14:paraId="452181AA" w14:textId="65D56BF8" w:rsidR="00BD010E" w:rsidRDefault="00BD010E" w:rsidP="00C560CF">
            <w:pPr>
              <w:pStyle w:val="APVMATableText"/>
            </w:pPr>
            <w:r>
              <w:t xml:space="preserve">4.06 at </w:t>
            </w:r>
            <w:r w:rsidRPr="009A5DE2">
              <w:rPr>
                <w:color w:val="000000" w:themeColor="text1"/>
              </w:rPr>
              <w:t>20 °C</w:t>
            </w:r>
          </w:p>
        </w:tc>
      </w:tr>
      <w:tr w:rsidR="00BD010E" w14:paraId="00972763" w14:textId="77777777" w:rsidTr="00AA2707">
        <w:tc>
          <w:tcPr>
            <w:tcW w:w="1357" w:type="pct"/>
            <w:shd w:val="clear" w:color="auto" w:fill="E6E6E6"/>
          </w:tcPr>
          <w:p w14:paraId="6CBBFA6E" w14:textId="6302F354" w:rsidR="00BD010E" w:rsidRDefault="00BD010E" w:rsidP="00C560CF">
            <w:pPr>
              <w:pStyle w:val="APVMATableHead"/>
              <w:keepNext w:val="0"/>
              <w:keepLines w:val="0"/>
              <w:spacing w:before="120"/>
            </w:pPr>
            <w:r>
              <w:t>Octanol/water Partition coefficient (log k</w:t>
            </w:r>
            <w:r w:rsidRPr="00B75B0D">
              <w:rPr>
                <w:vertAlign w:val="subscript"/>
              </w:rPr>
              <w:t>ow</w:t>
            </w:r>
            <w:r>
              <w:t>/K</w:t>
            </w:r>
            <w:r w:rsidRPr="00B75B0D">
              <w:rPr>
                <w:vertAlign w:val="subscript"/>
              </w:rPr>
              <w:t>OW</w:t>
            </w:r>
            <w:r>
              <w:t>):</w:t>
            </w:r>
          </w:p>
        </w:tc>
        <w:tc>
          <w:tcPr>
            <w:tcW w:w="3643" w:type="pct"/>
          </w:tcPr>
          <w:p w14:paraId="4C02FA45" w14:textId="77777777" w:rsidR="00BD010E" w:rsidRDefault="00BD010E" w:rsidP="00C560CF">
            <w:pPr>
              <w:pStyle w:val="APVMATableText"/>
            </w:pPr>
            <w:r>
              <w:t>-1.13 (unbuffered)</w:t>
            </w:r>
          </w:p>
          <w:p w14:paraId="2947FC77" w14:textId="77777777" w:rsidR="00BD010E" w:rsidRDefault="00BD010E" w:rsidP="00C560CF">
            <w:pPr>
              <w:pStyle w:val="APVMATableText"/>
            </w:pPr>
            <w:r>
              <w:t>-0.81 (pH 4)</w:t>
            </w:r>
          </w:p>
          <w:p w14:paraId="49AD1B13" w14:textId="77777777" w:rsidR="00BD010E" w:rsidRDefault="00BD010E" w:rsidP="00C560CF">
            <w:pPr>
              <w:pStyle w:val="APVMATableText"/>
            </w:pPr>
            <w:r>
              <w:t>-1.52 (pH 7)</w:t>
            </w:r>
          </w:p>
          <w:p w14:paraId="10F48A70" w14:textId="77777777" w:rsidR="00BD010E" w:rsidRDefault="00BD010E" w:rsidP="00C560CF">
            <w:pPr>
              <w:pStyle w:val="APVMATableText"/>
            </w:pPr>
            <w:r>
              <w:t>-2.34 (pH 9)</w:t>
            </w:r>
          </w:p>
          <w:p w14:paraId="02834267" w14:textId="106F98B2" w:rsidR="00BD010E" w:rsidRDefault="00BD010E" w:rsidP="00C560CF">
            <w:pPr>
              <w:pStyle w:val="APVMATableText"/>
            </w:pPr>
            <w:r>
              <w:t xml:space="preserve">All reported as log Pow, at </w:t>
            </w:r>
            <w:r w:rsidRPr="009A5DE2">
              <w:rPr>
                <w:color w:val="000000" w:themeColor="text1"/>
              </w:rPr>
              <w:t>20 °C</w:t>
            </w:r>
          </w:p>
        </w:tc>
      </w:tr>
      <w:tr w:rsidR="00BD010E" w14:paraId="45A0CF49" w14:textId="77777777" w:rsidTr="00AA2707">
        <w:tc>
          <w:tcPr>
            <w:tcW w:w="1357" w:type="pct"/>
            <w:shd w:val="clear" w:color="auto" w:fill="E6E6E6"/>
          </w:tcPr>
          <w:p w14:paraId="41CEBCC3" w14:textId="76B7B5CA" w:rsidR="00BD010E" w:rsidRDefault="00BD010E" w:rsidP="00C560CF">
            <w:pPr>
              <w:pStyle w:val="APVMATableHead"/>
              <w:keepNext w:val="0"/>
              <w:keepLines w:val="0"/>
              <w:spacing w:before="120"/>
            </w:pPr>
            <w:r>
              <w:t>Vapour Pressure:</w:t>
            </w:r>
          </w:p>
        </w:tc>
        <w:tc>
          <w:tcPr>
            <w:tcW w:w="3643" w:type="pct"/>
          </w:tcPr>
          <w:p w14:paraId="332C4D5E" w14:textId="62BC920F" w:rsidR="00BD010E" w:rsidRDefault="00BD010E" w:rsidP="00C560CF">
            <w:pPr>
              <w:pStyle w:val="APVMATableText"/>
            </w:pPr>
            <w:r>
              <w:rPr>
                <w:color w:val="000000" w:themeColor="text1"/>
              </w:rPr>
              <w:t>&lt;</w:t>
            </w:r>
            <w:r w:rsidRPr="009A5DE2">
              <w:rPr>
                <w:color w:val="000000" w:themeColor="text1"/>
              </w:rPr>
              <w:t>1 x 10</w:t>
            </w:r>
            <w:r w:rsidRPr="009A5DE2">
              <w:rPr>
                <w:color w:val="000000" w:themeColor="text1"/>
                <w:vertAlign w:val="superscript"/>
              </w:rPr>
              <w:t>-12</w:t>
            </w:r>
            <w:r w:rsidRPr="009A5DE2">
              <w:rPr>
                <w:color w:val="000000" w:themeColor="text1"/>
              </w:rPr>
              <w:t xml:space="preserve"> </w:t>
            </w:r>
            <w:proofErr w:type="spellStart"/>
            <w:r w:rsidRPr="009A5DE2">
              <w:rPr>
                <w:color w:val="000000" w:themeColor="text1"/>
              </w:rPr>
              <w:t>hPa</w:t>
            </w:r>
            <w:proofErr w:type="spellEnd"/>
            <w:r w:rsidRPr="009A5DE2">
              <w:rPr>
                <w:color w:val="000000" w:themeColor="text1"/>
              </w:rPr>
              <w:t xml:space="preserve"> (20 °C and 25 °C)</w:t>
            </w:r>
          </w:p>
        </w:tc>
      </w:tr>
      <w:tr w:rsidR="00BD010E" w14:paraId="619EFAFE" w14:textId="77777777" w:rsidTr="00AA2707">
        <w:tc>
          <w:tcPr>
            <w:tcW w:w="1357" w:type="pct"/>
            <w:shd w:val="clear" w:color="auto" w:fill="E6E6E6"/>
          </w:tcPr>
          <w:p w14:paraId="453D0FF1" w14:textId="472E5A38" w:rsidR="00BD010E" w:rsidRDefault="00BD010E" w:rsidP="00C560CF">
            <w:pPr>
              <w:pStyle w:val="APVMATableHead"/>
              <w:keepNext w:val="0"/>
              <w:keepLines w:val="0"/>
              <w:spacing w:before="120"/>
            </w:pPr>
            <w:r>
              <w:t>Henry’s Law Constant:</w:t>
            </w:r>
          </w:p>
        </w:tc>
        <w:tc>
          <w:tcPr>
            <w:tcW w:w="3643" w:type="pct"/>
          </w:tcPr>
          <w:p w14:paraId="52996405" w14:textId="75BBCAB7" w:rsidR="00BD010E" w:rsidRPr="00BD010E" w:rsidRDefault="00BD010E" w:rsidP="00C560CF">
            <w:pPr>
              <w:pStyle w:val="APVMATableText"/>
            </w:pPr>
            <w:r>
              <w:rPr>
                <w:color w:val="000000" w:themeColor="text1"/>
              </w:rPr>
              <w:t>&lt;7.125</w:t>
            </w:r>
            <w:r w:rsidRPr="009A5DE2">
              <w:rPr>
                <w:color w:val="000000" w:themeColor="text1"/>
              </w:rPr>
              <w:t xml:space="preserve"> x 10</w:t>
            </w:r>
            <w:r w:rsidRPr="009A5DE2">
              <w:rPr>
                <w:color w:val="000000" w:themeColor="text1"/>
                <w:vertAlign w:val="superscript"/>
              </w:rPr>
              <w:t>-1</w:t>
            </w:r>
            <w:r>
              <w:rPr>
                <w:color w:val="000000" w:themeColor="text1"/>
                <w:vertAlign w:val="superscript"/>
              </w:rPr>
              <w:t>4</w:t>
            </w:r>
            <w:r w:rsidRPr="009A5DE2">
              <w:rPr>
                <w:color w:val="000000" w:themeColor="text1"/>
              </w:rPr>
              <w:t xml:space="preserve"> </w:t>
            </w:r>
            <w:r>
              <w:rPr>
                <w:color w:val="000000" w:themeColor="text1"/>
              </w:rPr>
              <w:t>k</w:t>
            </w:r>
            <w:r w:rsidRPr="009A5DE2">
              <w:rPr>
                <w:color w:val="000000" w:themeColor="text1"/>
              </w:rPr>
              <w:t>Pa</w:t>
            </w:r>
            <w:r>
              <w:rPr>
                <w:color w:val="000000" w:themeColor="text1"/>
              </w:rPr>
              <w:t>m</w:t>
            </w:r>
            <w:r w:rsidRPr="009A5DE2">
              <w:rPr>
                <w:color w:val="000000" w:themeColor="text1"/>
                <w:vertAlign w:val="superscript"/>
              </w:rPr>
              <w:t>3</w:t>
            </w:r>
            <w:r>
              <w:rPr>
                <w:color w:val="000000" w:themeColor="text1"/>
              </w:rPr>
              <w:t>mol</w:t>
            </w:r>
            <w:r w:rsidRPr="009A5DE2">
              <w:rPr>
                <w:color w:val="000000" w:themeColor="text1"/>
                <w:vertAlign w:val="superscript"/>
              </w:rPr>
              <w:t>-1</w:t>
            </w:r>
            <w:r w:rsidRPr="009A5DE2">
              <w:rPr>
                <w:color w:val="000000" w:themeColor="text1"/>
              </w:rPr>
              <w:t xml:space="preserve"> (20 °C</w:t>
            </w:r>
            <w:r>
              <w:rPr>
                <w:color w:val="000000" w:themeColor="text1"/>
              </w:rPr>
              <w:t>)</w:t>
            </w:r>
          </w:p>
        </w:tc>
      </w:tr>
      <w:tr w:rsidR="00BD010E" w14:paraId="747AE3F9" w14:textId="77777777" w:rsidTr="00AA2707">
        <w:tc>
          <w:tcPr>
            <w:tcW w:w="1357" w:type="pct"/>
            <w:shd w:val="clear" w:color="auto" w:fill="E6E6E6"/>
          </w:tcPr>
          <w:p w14:paraId="2B0FC0AF" w14:textId="7548F3A4" w:rsidR="00BD010E" w:rsidRDefault="00BD010E" w:rsidP="00C560CF">
            <w:pPr>
              <w:pStyle w:val="APVMATableHead"/>
              <w:keepNext w:val="0"/>
              <w:keepLines w:val="0"/>
              <w:spacing w:before="120"/>
            </w:pPr>
            <w:r>
              <w:t>stability:</w:t>
            </w:r>
          </w:p>
        </w:tc>
        <w:tc>
          <w:tcPr>
            <w:tcW w:w="3643" w:type="pct"/>
          </w:tcPr>
          <w:p w14:paraId="3531705F" w14:textId="77777777" w:rsidR="00BD010E" w:rsidRDefault="00BD010E" w:rsidP="00C560CF">
            <w:pPr>
              <w:pStyle w:val="APVMATableText"/>
              <w:rPr>
                <w:color w:val="000000" w:themeColor="text1"/>
              </w:rPr>
            </w:pPr>
            <w:r w:rsidRPr="003D78EA">
              <w:rPr>
                <w:color w:val="000000" w:themeColor="text1"/>
              </w:rPr>
              <w:t xml:space="preserve">Stable for two </w:t>
            </w:r>
            <w:r>
              <w:rPr>
                <w:color w:val="000000" w:themeColor="text1"/>
              </w:rPr>
              <w:t>years under ambient conditions</w:t>
            </w:r>
          </w:p>
          <w:p w14:paraId="165FCE52" w14:textId="44B0AE26" w:rsidR="00BD010E" w:rsidRDefault="00BD010E" w:rsidP="00C560CF">
            <w:pPr>
              <w:pStyle w:val="APVMATableText"/>
            </w:pPr>
            <w:r w:rsidRPr="003D78EA">
              <w:rPr>
                <w:color w:val="000000" w:themeColor="text1"/>
              </w:rPr>
              <w:t>Stable w</w:t>
            </w:r>
            <w:r>
              <w:rPr>
                <w:color w:val="000000" w:themeColor="text1"/>
              </w:rPr>
              <w:t>hen stored at 54 °C for 14 days</w:t>
            </w:r>
          </w:p>
        </w:tc>
      </w:tr>
      <w:tr w:rsidR="00BD010E" w14:paraId="42293904" w14:textId="77777777" w:rsidTr="00AA2707">
        <w:tc>
          <w:tcPr>
            <w:tcW w:w="1357" w:type="pct"/>
            <w:shd w:val="clear" w:color="auto" w:fill="E6E6E6"/>
          </w:tcPr>
          <w:p w14:paraId="2988AC89" w14:textId="0209A20C" w:rsidR="00BD010E" w:rsidRDefault="00BD010E" w:rsidP="00C560CF">
            <w:pPr>
              <w:pStyle w:val="APVMATableHead"/>
              <w:keepNext w:val="0"/>
              <w:keepLines w:val="0"/>
              <w:spacing w:before="120"/>
            </w:pPr>
            <w:r>
              <w:lastRenderedPageBreak/>
              <w:t>hydrolysis rate:</w:t>
            </w:r>
          </w:p>
        </w:tc>
        <w:tc>
          <w:tcPr>
            <w:tcW w:w="3643" w:type="pct"/>
          </w:tcPr>
          <w:p w14:paraId="7B4FDEF4" w14:textId="3B42F140" w:rsidR="00BD010E" w:rsidRDefault="00BD010E" w:rsidP="00C560CF">
            <w:pPr>
              <w:pStyle w:val="APVMATableText"/>
            </w:pPr>
            <w:r w:rsidRPr="003D78EA">
              <w:rPr>
                <w:color w:val="000000" w:themeColor="text1"/>
              </w:rPr>
              <w:t>Stable to hydrolysis in pH 4, 7 and 9 at 25 °C for 30 days and at 50 °C for 5 days in the absence of light</w:t>
            </w:r>
          </w:p>
        </w:tc>
      </w:tr>
      <w:tr w:rsidR="00BD010E" w14:paraId="078123B4" w14:textId="77777777" w:rsidTr="00AA2707">
        <w:trPr>
          <w:trHeight w:val="613"/>
        </w:trPr>
        <w:tc>
          <w:tcPr>
            <w:tcW w:w="1357" w:type="pct"/>
            <w:shd w:val="clear" w:color="auto" w:fill="E6E6E6"/>
          </w:tcPr>
          <w:p w14:paraId="427D2A64" w14:textId="724E696E" w:rsidR="00BD010E" w:rsidRDefault="00BD010E" w:rsidP="00C560CF">
            <w:pPr>
              <w:pStyle w:val="APVMATableHead"/>
              <w:keepNext w:val="0"/>
              <w:keepLines w:val="0"/>
              <w:spacing w:before="120"/>
            </w:pPr>
            <w:r>
              <w:t>photodegredation:</w:t>
            </w:r>
          </w:p>
        </w:tc>
        <w:tc>
          <w:tcPr>
            <w:tcW w:w="3643" w:type="pct"/>
          </w:tcPr>
          <w:p w14:paraId="2FFF796A" w14:textId="77777777" w:rsidR="00BD010E" w:rsidRPr="00484F23" w:rsidRDefault="00BD010E" w:rsidP="00C560CF">
            <w:pPr>
              <w:pStyle w:val="APVMATableText"/>
              <w:rPr>
                <w:color w:val="000000" w:themeColor="text1"/>
              </w:rPr>
            </w:pPr>
            <w:r w:rsidRPr="00484F23">
              <w:rPr>
                <w:color w:val="000000" w:themeColor="text1"/>
              </w:rPr>
              <w:t>Half</w:t>
            </w:r>
            <w:r>
              <w:rPr>
                <w:color w:val="000000" w:themeColor="text1"/>
              </w:rPr>
              <w:t>-</w:t>
            </w:r>
            <w:r w:rsidRPr="00484F23">
              <w:rPr>
                <w:color w:val="000000" w:themeColor="text1"/>
              </w:rPr>
              <w:t xml:space="preserve">life of 72 days when </w:t>
            </w:r>
            <w:r w:rsidRPr="00484F23">
              <w:rPr>
                <w:color w:val="000000" w:themeColor="text1"/>
                <w:vertAlign w:val="superscript"/>
              </w:rPr>
              <w:t>14</w:t>
            </w:r>
            <w:r w:rsidRPr="00484F23">
              <w:rPr>
                <w:color w:val="000000" w:themeColor="text1"/>
              </w:rPr>
              <w:t>C-topramezone (</w:t>
            </w:r>
            <w:proofErr w:type="spellStart"/>
            <w:r w:rsidRPr="00484F23">
              <w:rPr>
                <w:color w:val="000000" w:themeColor="text1"/>
              </w:rPr>
              <w:t>Pyrazol</w:t>
            </w:r>
            <w:proofErr w:type="spellEnd"/>
            <w:r w:rsidRPr="00484F23">
              <w:rPr>
                <w:color w:val="000000" w:themeColor="text1"/>
              </w:rPr>
              <w:t xml:space="preserve"> label) was irradiated extensively for 30 days in natural water </w:t>
            </w:r>
            <w:r>
              <w:rPr>
                <w:color w:val="000000" w:themeColor="text1"/>
              </w:rPr>
              <w:t>at 22 °C</w:t>
            </w:r>
          </w:p>
          <w:p w14:paraId="56D0134C" w14:textId="76E1AAE6" w:rsidR="00BD010E" w:rsidRPr="00B75B0D" w:rsidRDefault="00BD010E" w:rsidP="00C560CF">
            <w:pPr>
              <w:pStyle w:val="APVMATableText"/>
              <w:rPr>
                <w:color w:val="4F81BD" w:themeColor="accent1"/>
              </w:rPr>
            </w:pPr>
            <w:r w:rsidRPr="00484F23">
              <w:rPr>
                <w:color w:val="000000" w:themeColor="text1"/>
                <w:vertAlign w:val="superscript"/>
              </w:rPr>
              <w:t>14</w:t>
            </w:r>
            <w:r w:rsidRPr="00484F23">
              <w:rPr>
                <w:color w:val="000000" w:themeColor="text1"/>
              </w:rPr>
              <w:t>C-Topramezone (</w:t>
            </w:r>
            <w:proofErr w:type="spellStart"/>
            <w:r w:rsidRPr="00484F23">
              <w:rPr>
                <w:color w:val="000000" w:themeColor="text1"/>
              </w:rPr>
              <w:t>Pyrazol</w:t>
            </w:r>
            <w:proofErr w:type="spellEnd"/>
            <w:r w:rsidRPr="00484F23">
              <w:rPr>
                <w:color w:val="000000" w:themeColor="text1"/>
              </w:rPr>
              <w:t xml:space="preserve"> label) was stable when irradiated extensively for 17 days in aqueous buffer solutions under sterile condi</w:t>
            </w:r>
            <w:r>
              <w:rPr>
                <w:color w:val="000000" w:themeColor="text1"/>
              </w:rPr>
              <w:t>tions at pH 5 and pH 9 at 22 °C</w:t>
            </w:r>
          </w:p>
        </w:tc>
      </w:tr>
      <w:tr w:rsidR="00BD010E" w14:paraId="2DFAA7D2" w14:textId="77777777" w:rsidTr="00AA2707">
        <w:trPr>
          <w:trHeight w:val="613"/>
        </w:trPr>
        <w:tc>
          <w:tcPr>
            <w:tcW w:w="1357" w:type="pct"/>
            <w:shd w:val="clear" w:color="auto" w:fill="E6E6E6"/>
          </w:tcPr>
          <w:p w14:paraId="004362BF" w14:textId="452FA090" w:rsidR="00BD010E" w:rsidRDefault="00BD010E" w:rsidP="00C560CF">
            <w:pPr>
              <w:pStyle w:val="APVMATableHead"/>
              <w:keepNext w:val="0"/>
              <w:keepLines w:val="0"/>
              <w:spacing w:before="120"/>
            </w:pPr>
            <w:r>
              <w:t>UV/ViS absorption Spectra:</w:t>
            </w:r>
          </w:p>
        </w:tc>
        <w:tc>
          <w:tcPr>
            <w:tcW w:w="3643" w:type="pct"/>
          </w:tcPr>
          <w:p w14:paraId="4A664020" w14:textId="77777777" w:rsidR="00BD010E" w:rsidRPr="00C75679" w:rsidRDefault="00BD010E" w:rsidP="00C560CF">
            <w:pPr>
              <w:pStyle w:val="APVMATableText"/>
              <w:rPr>
                <w:color w:val="000000" w:themeColor="text1"/>
              </w:rPr>
            </w:pPr>
            <w:r w:rsidRPr="00C75679">
              <w:rPr>
                <w:color w:val="000000" w:themeColor="text1"/>
              </w:rPr>
              <w:t xml:space="preserve">Ɛ </w:t>
            </w:r>
            <w:r>
              <w:rPr>
                <w:color w:val="000000" w:themeColor="text1"/>
              </w:rPr>
              <w:t xml:space="preserve">= </w:t>
            </w:r>
            <w:r w:rsidRPr="00C75679">
              <w:rPr>
                <w:color w:val="000000" w:themeColor="text1"/>
              </w:rPr>
              <w:t>27011 Lmol</w:t>
            </w:r>
            <w:r w:rsidRPr="00C75679">
              <w:rPr>
                <w:color w:val="000000" w:themeColor="text1"/>
                <w:vertAlign w:val="superscript"/>
              </w:rPr>
              <w:t>-1</w:t>
            </w:r>
            <w:r w:rsidRPr="00C75679">
              <w:rPr>
                <w:color w:val="000000" w:themeColor="text1"/>
              </w:rPr>
              <w:t>cm</w:t>
            </w:r>
            <w:r w:rsidRPr="00C75679">
              <w:rPr>
                <w:color w:val="000000" w:themeColor="text1"/>
                <w:vertAlign w:val="superscript"/>
              </w:rPr>
              <w:t>-1</w:t>
            </w:r>
            <w:r>
              <w:rPr>
                <w:color w:val="000000" w:themeColor="text1"/>
              </w:rPr>
              <w:t xml:space="preserve"> </w:t>
            </w:r>
            <w:r w:rsidRPr="00C75679">
              <w:rPr>
                <w:color w:val="000000" w:themeColor="text1"/>
              </w:rPr>
              <w:t>at 207 nm</w:t>
            </w:r>
          </w:p>
          <w:p w14:paraId="4FB6EE28" w14:textId="77777777" w:rsidR="00BD010E" w:rsidRPr="00C75679" w:rsidRDefault="00BD010E" w:rsidP="00C560CF">
            <w:pPr>
              <w:pStyle w:val="APVMATableText"/>
              <w:rPr>
                <w:color w:val="000000" w:themeColor="text1"/>
              </w:rPr>
            </w:pPr>
            <w:r w:rsidRPr="00C75679">
              <w:rPr>
                <w:color w:val="000000" w:themeColor="text1"/>
              </w:rPr>
              <w:t xml:space="preserve">Ɛ </w:t>
            </w:r>
            <w:r>
              <w:rPr>
                <w:color w:val="000000" w:themeColor="text1"/>
              </w:rPr>
              <w:t xml:space="preserve">= </w:t>
            </w:r>
            <w:r w:rsidRPr="00C75679">
              <w:rPr>
                <w:color w:val="000000" w:themeColor="text1"/>
              </w:rPr>
              <w:t>8601 Lmol</w:t>
            </w:r>
            <w:r w:rsidRPr="00C75679">
              <w:rPr>
                <w:color w:val="000000" w:themeColor="text1"/>
                <w:vertAlign w:val="superscript"/>
              </w:rPr>
              <w:t>-1</w:t>
            </w:r>
            <w:r w:rsidRPr="00C75679">
              <w:rPr>
                <w:color w:val="000000" w:themeColor="text1"/>
              </w:rPr>
              <w:t>cm</w:t>
            </w:r>
            <w:r w:rsidRPr="00C75679">
              <w:rPr>
                <w:color w:val="000000" w:themeColor="text1"/>
                <w:vertAlign w:val="superscript"/>
              </w:rPr>
              <w:t>-1</w:t>
            </w:r>
            <w:r>
              <w:rPr>
                <w:color w:val="000000" w:themeColor="text1"/>
              </w:rPr>
              <w:t xml:space="preserve"> </w:t>
            </w:r>
            <w:r w:rsidRPr="00C75679">
              <w:rPr>
                <w:color w:val="000000" w:themeColor="text1"/>
              </w:rPr>
              <w:t>at 272 nm</w:t>
            </w:r>
          </w:p>
          <w:p w14:paraId="37DB48E7" w14:textId="77777777" w:rsidR="00BD010E" w:rsidRPr="00C75679" w:rsidRDefault="00BD010E" w:rsidP="00C560CF">
            <w:pPr>
              <w:pStyle w:val="APVMATableText"/>
              <w:rPr>
                <w:color w:val="000000" w:themeColor="text1"/>
              </w:rPr>
            </w:pPr>
            <w:r w:rsidRPr="00C75679">
              <w:rPr>
                <w:color w:val="000000" w:themeColor="text1"/>
              </w:rPr>
              <w:t xml:space="preserve">Ɛ </w:t>
            </w:r>
            <w:r>
              <w:rPr>
                <w:color w:val="000000" w:themeColor="text1"/>
              </w:rPr>
              <w:t xml:space="preserve">= </w:t>
            </w:r>
            <w:r w:rsidRPr="00C75679">
              <w:rPr>
                <w:color w:val="000000" w:themeColor="text1"/>
              </w:rPr>
              <w:t>5800 Lmol</w:t>
            </w:r>
            <w:r w:rsidRPr="00C75679">
              <w:rPr>
                <w:color w:val="000000" w:themeColor="text1"/>
                <w:vertAlign w:val="superscript"/>
              </w:rPr>
              <w:t>-1</w:t>
            </w:r>
            <w:r w:rsidRPr="00C75679">
              <w:rPr>
                <w:color w:val="000000" w:themeColor="text1"/>
              </w:rPr>
              <w:t>cm</w:t>
            </w:r>
            <w:r w:rsidRPr="00C75679">
              <w:rPr>
                <w:color w:val="000000" w:themeColor="text1"/>
                <w:vertAlign w:val="superscript"/>
              </w:rPr>
              <w:t>-1</w:t>
            </w:r>
            <w:r>
              <w:rPr>
                <w:color w:val="000000" w:themeColor="text1"/>
              </w:rPr>
              <w:t xml:space="preserve"> </w:t>
            </w:r>
            <w:r w:rsidRPr="00C75679">
              <w:rPr>
                <w:color w:val="000000" w:themeColor="text1"/>
              </w:rPr>
              <w:t>at 300 nm</w:t>
            </w:r>
          </w:p>
          <w:p w14:paraId="342FEF43" w14:textId="72888D9F" w:rsidR="00BD010E" w:rsidRPr="00B75B0D" w:rsidRDefault="00BD010E" w:rsidP="00C560CF">
            <w:pPr>
              <w:pStyle w:val="APVMATableText"/>
              <w:rPr>
                <w:color w:val="4F81BD" w:themeColor="accent1"/>
              </w:rPr>
            </w:pPr>
            <w:r w:rsidRPr="00C75679">
              <w:rPr>
                <w:color w:val="000000" w:themeColor="text1"/>
              </w:rPr>
              <w:t xml:space="preserve">Ɛ </w:t>
            </w:r>
            <w:r>
              <w:rPr>
                <w:color w:val="000000" w:themeColor="text1"/>
              </w:rPr>
              <w:t xml:space="preserve">= </w:t>
            </w:r>
            <w:r w:rsidRPr="00C75679">
              <w:rPr>
                <w:color w:val="000000" w:themeColor="text1"/>
              </w:rPr>
              <w:t>96 Lmol</w:t>
            </w:r>
            <w:r w:rsidRPr="00C75679">
              <w:rPr>
                <w:color w:val="000000" w:themeColor="text1"/>
                <w:vertAlign w:val="superscript"/>
              </w:rPr>
              <w:t>-1</w:t>
            </w:r>
            <w:r w:rsidRPr="00C75679">
              <w:rPr>
                <w:color w:val="000000" w:themeColor="text1"/>
              </w:rPr>
              <w:t>cm</w:t>
            </w:r>
            <w:r w:rsidRPr="00C75679">
              <w:rPr>
                <w:color w:val="000000" w:themeColor="text1"/>
                <w:vertAlign w:val="superscript"/>
              </w:rPr>
              <w:t>-1</w:t>
            </w:r>
            <w:r>
              <w:rPr>
                <w:color w:val="000000" w:themeColor="text1"/>
              </w:rPr>
              <w:t xml:space="preserve"> </w:t>
            </w:r>
            <w:r w:rsidRPr="00C75679">
              <w:rPr>
                <w:color w:val="000000" w:themeColor="text1"/>
              </w:rPr>
              <w:t>at 410 nm</w:t>
            </w:r>
          </w:p>
        </w:tc>
      </w:tr>
      <w:tr w:rsidR="00BD010E" w14:paraId="4ECBF0F0" w14:textId="77777777" w:rsidTr="00AA2707">
        <w:trPr>
          <w:trHeight w:val="613"/>
        </w:trPr>
        <w:tc>
          <w:tcPr>
            <w:tcW w:w="1357" w:type="pct"/>
            <w:shd w:val="clear" w:color="auto" w:fill="E6E6E6"/>
          </w:tcPr>
          <w:p w14:paraId="0404FA49" w14:textId="4F2F9B0A" w:rsidR="00BD010E" w:rsidRDefault="00BD010E" w:rsidP="00C560CF">
            <w:pPr>
              <w:pStyle w:val="APVMATableHead"/>
              <w:keepNext w:val="0"/>
              <w:keepLines w:val="0"/>
              <w:spacing w:before="120"/>
            </w:pPr>
            <w:r>
              <w:t>flammability:</w:t>
            </w:r>
          </w:p>
        </w:tc>
        <w:tc>
          <w:tcPr>
            <w:tcW w:w="3643" w:type="pct"/>
          </w:tcPr>
          <w:p w14:paraId="4E027193" w14:textId="5E3A1CA7" w:rsidR="00BD010E" w:rsidRPr="00B75B0D" w:rsidRDefault="00BD010E" w:rsidP="00C560CF">
            <w:pPr>
              <w:pStyle w:val="APVMATableText"/>
              <w:rPr>
                <w:color w:val="4F81BD" w:themeColor="accent1"/>
              </w:rPr>
            </w:pPr>
            <w:r w:rsidRPr="00B718CE">
              <w:rPr>
                <w:color w:val="000000" w:themeColor="text1"/>
              </w:rPr>
              <w:t>Not flammable</w:t>
            </w:r>
          </w:p>
        </w:tc>
      </w:tr>
      <w:tr w:rsidR="00BD010E" w14:paraId="6E1E9A1C" w14:textId="77777777" w:rsidTr="00AA2707">
        <w:trPr>
          <w:trHeight w:val="613"/>
        </w:trPr>
        <w:tc>
          <w:tcPr>
            <w:tcW w:w="1357" w:type="pct"/>
            <w:shd w:val="clear" w:color="auto" w:fill="E6E6E6"/>
          </w:tcPr>
          <w:p w14:paraId="00E70D8B" w14:textId="705BA998" w:rsidR="00BD010E" w:rsidRDefault="00BD010E" w:rsidP="00C560CF">
            <w:pPr>
              <w:pStyle w:val="APVMATableHead"/>
              <w:keepNext w:val="0"/>
              <w:keepLines w:val="0"/>
              <w:spacing w:before="120"/>
            </w:pPr>
            <w:r>
              <w:t>flash point:</w:t>
            </w:r>
          </w:p>
        </w:tc>
        <w:tc>
          <w:tcPr>
            <w:tcW w:w="3643" w:type="pct"/>
          </w:tcPr>
          <w:p w14:paraId="3AFF459E" w14:textId="4F45771C" w:rsidR="00BD010E" w:rsidRPr="00B75B0D" w:rsidRDefault="00BD010E" w:rsidP="00D77AF5">
            <w:pPr>
              <w:pStyle w:val="APVMATableText"/>
              <w:rPr>
                <w:color w:val="4F81BD" w:themeColor="accent1"/>
              </w:rPr>
            </w:pPr>
            <w:r w:rsidRPr="00B718CE">
              <w:rPr>
                <w:color w:val="000000" w:themeColor="text1"/>
              </w:rPr>
              <w:t>Not applicable</w:t>
            </w:r>
            <w:r w:rsidR="00D77AF5">
              <w:rPr>
                <w:color w:val="000000" w:themeColor="text1"/>
              </w:rPr>
              <w:t>—</w:t>
            </w:r>
            <w:r w:rsidRPr="00B718CE">
              <w:rPr>
                <w:color w:val="000000" w:themeColor="text1"/>
              </w:rPr>
              <w:t>solid at room temperatures</w:t>
            </w:r>
          </w:p>
        </w:tc>
      </w:tr>
      <w:tr w:rsidR="00BD010E" w14:paraId="3FA93C58" w14:textId="77777777" w:rsidTr="00AA2707">
        <w:trPr>
          <w:trHeight w:val="613"/>
        </w:trPr>
        <w:tc>
          <w:tcPr>
            <w:tcW w:w="1357" w:type="pct"/>
            <w:shd w:val="clear" w:color="auto" w:fill="E6E6E6"/>
          </w:tcPr>
          <w:p w14:paraId="4379AB17" w14:textId="2C43C2C6" w:rsidR="00BD010E" w:rsidRDefault="00BD010E" w:rsidP="00C560CF">
            <w:pPr>
              <w:pStyle w:val="APVMATableHead"/>
              <w:keepNext w:val="0"/>
              <w:keepLines w:val="0"/>
              <w:spacing w:before="120"/>
            </w:pPr>
            <w:r>
              <w:t>Auto-flammability:</w:t>
            </w:r>
          </w:p>
        </w:tc>
        <w:tc>
          <w:tcPr>
            <w:tcW w:w="3643" w:type="pct"/>
          </w:tcPr>
          <w:p w14:paraId="2DA575E9" w14:textId="28C7D823" w:rsidR="00BD010E" w:rsidRPr="00B718CE" w:rsidRDefault="00BD010E" w:rsidP="00C560CF">
            <w:pPr>
              <w:pStyle w:val="APVMATableText"/>
              <w:rPr>
                <w:color w:val="000000" w:themeColor="text1"/>
              </w:rPr>
            </w:pPr>
            <w:r w:rsidRPr="00B718CE">
              <w:rPr>
                <w:color w:val="000000" w:themeColor="text1"/>
              </w:rPr>
              <w:t>Not observed at temperatures up to 400 °C</w:t>
            </w:r>
          </w:p>
        </w:tc>
      </w:tr>
      <w:tr w:rsidR="00BD010E" w14:paraId="755789DA" w14:textId="77777777" w:rsidTr="00AA2707">
        <w:trPr>
          <w:trHeight w:val="613"/>
        </w:trPr>
        <w:tc>
          <w:tcPr>
            <w:tcW w:w="1357" w:type="pct"/>
            <w:shd w:val="clear" w:color="auto" w:fill="E6E6E6"/>
          </w:tcPr>
          <w:p w14:paraId="77747CD6" w14:textId="3E93EF36" w:rsidR="00BD010E" w:rsidRDefault="00BD010E" w:rsidP="00C560CF">
            <w:pPr>
              <w:pStyle w:val="APVMATableHead"/>
              <w:keepNext w:val="0"/>
              <w:keepLines w:val="0"/>
              <w:spacing w:before="120"/>
            </w:pPr>
            <w:r>
              <w:t>explosive properties:</w:t>
            </w:r>
          </w:p>
        </w:tc>
        <w:tc>
          <w:tcPr>
            <w:tcW w:w="3643" w:type="pct"/>
          </w:tcPr>
          <w:p w14:paraId="4AE604EB" w14:textId="15BB7B0D" w:rsidR="00BD010E" w:rsidRPr="00B718CE" w:rsidRDefault="00BD010E" w:rsidP="00C560CF">
            <w:pPr>
              <w:pStyle w:val="APVMATableText"/>
              <w:rPr>
                <w:color w:val="000000" w:themeColor="text1"/>
              </w:rPr>
            </w:pPr>
            <w:r w:rsidRPr="00B718CE">
              <w:rPr>
                <w:color w:val="000000" w:themeColor="text1"/>
              </w:rPr>
              <w:t>Not explosive</w:t>
            </w:r>
          </w:p>
        </w:tc>
      </w:tr>
      <w:tr w:rsidR="00BD010E" w14:paraId="374D15D3" w14:textId="77777777" w:rsidTr="00AA2707">
        <w:trPr>
          <w:trHeight w:val="613"/>
        </w:trPr>
        <w:tc>
          <w:tcPr>
            <w:tcW w:w="1357" w:type="pct"/>
            <w:shd w:val="clear" w:color="auto" w:fill="E6E6E6"/>
          </w:tcPr>
          <w:p w14:paraId="01F5BB29" w14:textId="4C4CB6D2" w:rsidR="00BD010E" w:rsidRDefault="00BD010E" w:rsidP="00C560CF">
            <w:pPr>
              <w:pStyle w:val="APVMATableHead"/>
              <w:keepNext w:val="0"/>
              <w:keepLines w:val="0"/>
              <w:spacing w:before="120"/>
            </w:pPr>
            <w:r>
              <w:t>oxidizing properties:</w:t>
            </w:r>
          </w:p>
        </w:tc>
        <w:tc>
          <w:tcPr>
            <w:tcW w:w="3643" w:type="pct"/>
          </w:tcPr>
          <w:p w14:paraId="4B19C951" w14:textId="546C6E60" w:rsidR="00BD010E" w:rsidRPr="00B718CE" w:rsidRDefault="00BD010E" w:rsidP="00C560CF">
            <w:pPr>
              <w:pStyle w:val="APVMATableText"/>
              <w:rPr>
                <w:color w:val="000000" w:themeColor="text1"/>
              </w:rPr>
            </w:pPr>
            <w:r w:rsidRPr="00B718CE">
              <w:rPr>
                <w:color w:val="000000" w:themeColor="text1"/>
              </w:rPr>
              <w:t>Not oxidising</w:t>
            </w:r>
          </w:p>
        </w:tc>
      </w:tr>
      <w:tr w:rsidR="00BD010E" w14:paraId="0C1431AB" w14:textId="77777777" w:rsidTr="00AA2707">
        <w:trPr>
          <w:trHeight w:val="613"/>
        </w:trPr>
        <w:tc>
          <w:tcPr>
            <w:tcW w:w="1357" w:type="pct"/>
            <w:shd w:val="clear" w:color="auto" w:fill="E6E6E6"/>
          </w:tcPr>
          <w:p w14:paraId="08907D30" w14:textId="360E65B7" w:rsidR="00BD010E" w:rsidRDefault="00BD010E" w:rsidP="00C560CF">
            <w:pPr>
              <w:pStyle w:val="APVMATableHead"/>
              <w:keepNext w:val="0"/>
              <w:keepLines w:val="0"/>
              <w:spacing w:before="120"/>
            </w:pPr>
            <w:r>
              <w:t>dangerous goods classification:</w:t>
            </w:r>
          </w:p>
        </w:tc>
        <w:tc>
          <w:tcPr>
            <w:tcW w:w="3643" w:type="pct"/>
          </w:tcPr>
          <w:p w14:paraId="2A1F412D" w14:textId="5ED32BBE" w:rsidR="00BD010E" w:rsidRPr="00B718CE" w:rsidRDefault="00BD010E" w:rsidP="00C560CF">
            <w:pPr>
              <w:pStyle w:val="APVMATableText"/>
              <w:rPr>
                <w:color w:val="000000" w:themeColor="text1"/>
              </w:rPr>
            </w:pPr>
            <w:r>
              <w:rPr>
                <w:color w:val="000000" w:themeColor="text1"/>
              </w:rPr>
              <w:t>Not classified as a dangerous good</w:t>
            </w:r>
          </w:p>
        </w:tc>
      </w:tr>
    </w:tbl>
    <w:p w14:paraId="4F65CCC0" w14:textId="77777777" w:rsidR="00BD010E" w:rsidRDefault="00BD010E" w:rsidP="00BD010E">
      <w:pPr>
        <w:pStyle w:val="APVMAText"/>
        <w:jc w:val="both"/>
      </w:pPr>
      <w:r>
        <w:t xml:space="preserve">On the basis of the data provided, and the toxicological assessment, the following APVMA Active Constituent Standard has been established for </w:t>
      </w:r>
      <w:proofErr w:type="spellStart"/>
      <w:r>
        <w:rPr>
          <w:color w:val="000000" w:themeColor="text1"/>
        </w:rPr>
        <w:t>topramezone</w:t>
      </w:r>
      <w:proofErr w:type="spellEnd"/>
      <w:r w:rsidRPr="000876FA">
        <w:rPr>
          <w:color w:val="000000" w:themeColor="text1"/>
        </w:rPr>
        <w:t xml:space="preserve"> </w:t>
      </w:r>
      <w:r>
        <w:t>active constituent.</w:t>
      </w:r>
    </w:p>
    <w:tbl>
      <w:tblPr>
        <w:tblStyle w:val="TableGrid"/>
        <w:tblW w:w="5000" w:type="pct"/>
        <w:tblBorders>
          <w:left w:val="none" w:sz="0" w:space="0" w:color="auto"/>
        </w:tblBorders>
        <w:tblLook w:val="04A0" w:firstRow="1" w:lastRow="0" w:firstColumn="1" w:lastColumn="0" w:noHBand="0" w:noVBand="1"/>
        <w:tblCaption w:val="proposed standard for topramezone active constituent"/>
        <w:tblDescription w:val="This table specifies the proposed minimum purity for the APVMA standard for topramezone active constituent (minimum 970 g/kg). "/>
      </w:tblPr>
      <w:tblGrid>
        <w:gridCol w:w="3212"/>
        <w:gridCol w:w="3212"/>
        <w:gridCol w:w="3214"/>
      </w:tblGrid>
      <w:tr w:rsidR="00BD010E" w14:paraId="704F4876" w14:textId="77777777" w:rsidTr="00AA2707">
        <w:trPr>
          <w:trHeight w:val="594"/>
          <w:tblHeader/>
        </w:trPr>
        <w:tc>
          <w:tcPr>
            <w:tcW w:w="1666" w:type="pct"/>
            <w:tcBorders>
              <w:right w:val="nil"/>
            </w:tcBorders>
            <w:shd w:val="clear" w:color="auto" w:fill="D9D9D9" w:themeFill="background1" w:themeFillShade="D9"/>
            <w:vAlign w:val="center"/>
          </w:tcPr>
          <w:p w14:paraId="0F6CB3CD" w14:textId="77777777" w:rsidR="00BD010E" w:rsidRPr="001956B8" w:rsidRDefault="00BD010E" w:rsidP="00BD010E">
            <w:pPr>
              <w:pStyle w:val="APVMATableHead"/>
              <w:rPr>
                <w:lang w:val="en-GB"/>
              </w:rPr>
            </w:pPr>
            <w:r w:rsidRPr="001956B8">
              <w:rPr>
                <w:lang w:val="en-GB"/>
              </w:rPr>
              <w:t>CONSTITUENT</w:t>
            </w:r>
          </w:p>
        </w:tc>
        <w:tc>
          <w:tcPr>
            <w:tcW w:w="1666" w:type="pct"/>
            <w:tcBorders>
              <w:left w:val="nil"/>
              <w:right w:val="nil"/>
            </w:tcBorders>
            <w:shd w:val="clear" w:color="auto" w:fill="D9D9D9" w:themeFill="background1" w:themeFillShade="D9"/>
            <w:vAlign w:val="center"/>
          </w:tcPr>
          <w:p w14:paraId="583A6EFA" w14:textId="77777777" w:rsidR="00BD010E" w:rsidRPr="001956B8" w:rsidRDefault="00BD010E" w:rsidP="00BD010E">
            <w:pPr>
              <w:pStyle w:val="APVMATableHead"/>
              <w:rPr>
                <w:lang w:val="en-GB"/>
              </w:rPr>
            </w:pPr>
            <w:r w:rsidRPr="001956B8">
              <w:t>SPECIFICATION</w:t>
            </w:r>
          </w:p>
        </w:tc>
        <w:tc>
          <w:tcPr>
            <w:tcW w:w="1667" w:type="pct"/>
            <w:tcBorders>
              <w:left w:val="nil"/>
              <w:right w:val="nil"/>
            </w:tcBorders>
            <w:shd w:val="clear" w:color="auto" w:fill="D9D9D9" w:themeFill="background1" w:themeFillShade="D9"/>
            <w:vAlign w:val="center"/>
          </w:tcPr>
          <w:p w14:paraId="54C04CCD" w14:textId="77777777" w:rsidR="00BD010E" w:rsidRPr="001956B8" w:rsidRDefault="00BD010E" w:rsidP="00BD010E">
            <w:pPr>
              <w:pStyle w:val="APVMATableHead"/>
              <w:rPr>
                <w:lang w:val="en-GB"/>
              </w:rPr>
            </w:pPr>
            <w:r w:rsidRPr="001956B8">
              <w:rPr>
                <w:lang w:val="en-GB"/>
              </w:rPr>
              <w:t>LEVEL</w:t>
            </w:r>
          </w:p>
        </w:tc>
      </w:tr>
      <w:tr w:rsidR="00BD010E" w14:paraId="162753D5" w14:textId="77777777" w:rsidTr="00AA2707">
        <w:trPr>
          <w:trHeight w:val="595"/>
        </w:trPr>
        <w:tc>
          <w:tcPr>
            <w:tcW w:w="1666" w:type="pct"/>
            <w:tcBorders>
              <w:right w:val="nil"/>
            </w:tcBorders>
            <w:vAlign w:val="center"/>
          </w:tcPr>
          <w:p w14:paraId="2C9BB79A" w14:textId="77777777" w:rsidR="00BD010E" w:rsidRPr="001956B8" w:rsidRDefault="00BD010E" w:rsidP="00BD010E">
            <w:pPr>
              <w:pStyle w:val="APVMATableText"/>
              <w:rPr>
                <w:lang w:val="en-GB"/>
              </w:rPr>
            </w:pPr>
            <w:proofErr w:type="spellStart"/>
            <w:r w:rsidRPr="001956B8">
              <w:t>topramezone</w:t>
            </w:r>
            <w:proofErr w:type="spellEnd"/>
          </w:p>
        </w:tc>
        <w:tc>
          <w:tcPr>
            <w:tcW w:w="1666" w:type="pct"/>
            <w:tcBorders>
              <w:left w:val="nil"/>
              <w:right w:val="nil"/>
            </w:tcBorders>
            <w:vAlign w:val="center"/>
          </w:tcPr>
          <w:p w14:paraId="6CDF559A" w14:textId="77777777" w:rsidR="00BD010E" w:rsidRPr="001956B8" w:rsidRDefault="00BD010E" w:rsidP="00BD010E">
            <w:pPr>
              <w:pStyle w:val="APVMATableText"/>
              <w:rPr>
                <w:lang w:val="en-GB"/>
              </w:rPr>
            </w:pPr>
            <w:proofErr w:type="spellStart"/>
            <w:r w:rsidRPr="001956B8">
              <w:t>topramezone</w:t>
            </w:r>
            <w:proofErr w:type="spellEnd"/>
          </w:p>
        </w:tc>
        <w:tc>
          <w:tcPr>
            <w:tcW w:w="1667" w:type="pct"/>
            <w:tcBorders>
              <w:left w:val="nil"/>
              <w:right w:val="nil"/>
            </w:tcBorders>
            <w:vAlign w:val="center"/>
          </w:tcPr>
          <w:p w14:paraId="4EE3D9CC" w14:textId="77777777" w:rsidR="00BD010E" w:rsidRPr="001956B8" w:rsidRDefault="00BD010E" w:rsidP="00BD010E">
            <w:pPr>
              <w:pStyle w:val="APVMATableText"/>
              <w:rPr>
                <w:lang w:val="en-GB"/>
              </w:rPr>
            </w:pPr>
            <w:r w:rsidRPr="001956B8">
              <w:rPr>
                <w:lang w:val="en-GB"/>
              </w:rPr>
              <w:t>970 g/kg minimum</w:t>
            </w:r>
          </w:p>
        </w:tc>
      </w:tr>
    </w:tbl>
    <w:p w14:paraId="270B1611" w14:textId="14332BBD" w:rsidR="00D27695" w:rsidRPr="00BD010E" w:rsidRDefault="00843B41" w:rsidP="00BD010E">
      <w:pPr>
        <w:pStyle w:val="Heading2"/>
      </w:pPr>
      <w:bookmarkStart w:id="16" w:name="_Toc6472821"/>
      <w:r w:rsidRPr="00BD010E">
        <w:t>Formulated product</w:t>
      </w:r>
      <w:bookmarkEnd w:id="16"/>
    </w:p>
    <w:p w14:paraId="37776169" w14:textId="1CA1CAF4" w:rsidR="00BD010E" w:rsidRDefault="00BD010E" w:rsidP="00BD010E">
      <w:pPr>
        <w:pStyle w:val="APVMAText"/>
        <w:spacing w:before="280"/>
        <w:jc w:val="both"/>
        <w:rPr>
          <w:color w:val="000000" w:themeColor="text1"/>
          <w:szCs w:val="20"/>
        </w:rPr>
      </w:pPr>
      <w:r w:rsidRPr="00034A8D">
        <w:rPr>
          <w:color w:val="000000" w:themeColor="text1"/>
        </w:rPr>
        <w:t xml:space="preserve">Frequency Herbicide is a </w:t>
      </w:r>
      <w:proofErr w:type="spellStart"/>
      <w:r w:rsidRPr="00034A8D">
        <w:rPr>
          <w:color w:val="000000" w:themeColor="text1"/>
        </w:rPr>
        <w:t>suspo</w:t>
      </w:r>
      <w:proofErr w:type="spellEnd"/>
      <w:r w:rsidRPr="00034A8D">
        <w:rPr>
          <w:color w:val="000000" w:themeColor="text1"/>
        </w:rPr>
        <w:t xml:space="preserve">-emulsion (SE) formulation containing the new active </w:t>
      </w:r>
      <w:r>
        <w:rPr>
          <w:color w:val="000000" w:themeColor="text1"/>
        </w:rPr>
        <w:t xml:space="preserve">constituent </w:t>
      </w:r>
      <w:proofErr w:type="spellStart"/>
      <w:r w:rsidRPr="00034A8D">
        <w:rPr>
          <w:color w:val="000000" w:themeColor="text1"/>
        </w:rPr>
        <w:t>topramezone</w:t>
      </w:r>
      <w:proofErr w:type="spellEnd"/>
      <w:r w:rsidRPr="00034A8D">
        <w:rPr>
          <w:color w:val="000000" w:themeColor="text1"/>
        </w:rPr>
        <w:t xml:space="preserve"> and the approved active </w:t>
      </w:r>
      <w:r>
        <w:rPr>
          <w:color w:val="000000" w:themeColor="text1"/>
        </w:rPr>
        <w:t xml:space="preserve">constituent </w:t>
      </w:r>
      <w:proofErr w:type="spellStart"/>
      <w:r w:rsidRPr="00034A8D">
        <w:rPr>
          <w:color w:val="000000" w:themeColor="text1"/>
        </w:rPr>
        <w:t>cloquintocet-mexyl</w:t>
      </w:r>
      <w:proofErr w:type="spellEnd"/>
      <w:r>
        <w:rPr>
          <w:color w:val="000000" w:themeColor="text1"/>
        </w:rPr>
        <w:t xml:space="preserve">, which is included as </w:t>
      </w:r>
      <w:proofErr w:type="gramStart"/>
      <w:r>
        <w:rPr>
          <w:color w:val="000000" w:themeColor="text1"/>
        </w:rPr>
        <w:t>a</w:t>
      </w:r>
      <w:proofErr w:type="gramEnd"/>
      <w:r>
        <w:rPr>
          <w:color w:val="000000" w:themeColor="text1"/>
        </w:rPr>
        <w:t xml:space="preserve"> herbicide </w:t>
      </w:r>
      <w:proofErr w:type="spellStart"/>
      <w:r>
        <w:rPr>
          <w:color w:val="000000" w:themeColor="text1"/>
        </w:rPr>
        <w:t>safener</w:t>
      </w:r>
      <w:proofErr w:type="spellEnd"/>
      <w:r w:rsidRPr="00034A8D">
        <w:rPr>
          <w:color w:val="000000" w:themeColor="text1"/>
        </w:rPr>
        <w:t xml:space="preserve">. The product Frequency Herbicide will be manufactured </w:t>
      </w:r>
      <w:r>
        <w:rPr>
          <w:color w:val="000000" w:themeColor="text1"/>
        </w:rPr>
        <w:t>overseas</w:t>
      </w:r>
      <w:r w:rsidRPr="00034A8D">
        <w:rPr>
          <w:color w:val="000000" w:themeColor="text1"/>
        </w:rPr>
        <w:t>.</w:t>
      </w:r>
      <w:r>
        <w:rPr>
          <w:color w:val="000000" w:themeColor="text1"/>
        </w:rPr>
        <w:t xml:space="preserve"> The product will be packaged in </w:t>
      </w:r>
      <w:r w:rsidR="00AA2707">
        <w:t>5</w:t>
      </w:r>
      <w:r>
        <w:t xml:space="preserve"> L to</w:t>
      </w:r>
      <w:r w:rsidRPr="00EA2D97">
        <w:t xml:space="preserve"> 1000</w:t>
      </w:r>
      <w:r>
        <w:t xml:space="preserve"> </w:t>
      </w:r>
      <w:r w:rsidRPr="00EA2D97">
        <w:t>L</w:t>
      </w:r>
      <w:r>
        <w:t xml:space="preserve"> </w:t>
      </w:r>
      <w:r>
        <w:rPr>
          <w:noProof/>
          <w:lang w:eastAsia="en-AU"/>
        </w:rPr>
        <w:t xml:space="preserve">fluorinated high denisty polyethylene (HDPE) or </w:t>
      </w:r>
      <w:r>
        <w:t xml:space="preserve">COEX (HDPE with barrier) </w:t>
      </w:r>
      <w:r>
        <w:rPr>
          <w:noProof/>
          <w:lang w:eastAsia="en-AU"/>
        </w:rPr>
        <w:t>containers.</w:t>
      </w:r>
      <w:r w:rsidRPr="002E0238">
        <w:rPr>
          <w:color w:val="000000" w:themeColor="text1"/>
          <w:szCs w:val="20"/>
        </w:rPr>
        <w:t xml:space="preserve"> </w:t>
      </w:r>
      <w:r w:rsidR="003F3902">
        <w:t>Tables three</w:t>
      </w:r>
      <w:r>
        <w:t xml:space="preserve"> and </w:t>
      </w:r>
      <w:r w:rsidR="003F3902">
        <w:t>four</w:t>
      </w:r>
      <w:r>
        <w:t xml:space="preserve"> outline some key aspects of the formulation and physicochemical properties of the product. </w:t>
      </w:r>
      <w:r w:rsidRPr="005306BD">
        <w:rPr>
          <w:color w:val="000000" w:themeColor="text1"/>
          <w:szCs w:val="20"/>
        </w:rPr>
        <w:t>Suitable details of the product formulation, specifications for the ingredients, manufacture process and quality control, product specifications, stability data for the product when stored in the proposed packaging, analytical methods for the active constituents in the product, and details of the packagin</w:t>
      </w:r>
      <w:r w:rsidR="00AA2707">
        <w:rPr>
          <w:color w:val="000000" w:themeColor="text1"/>
          <w:szCs w:val="20"/>
        </w:rPr>
        <w:t>g, were provided and evaluated.</w:t>
      </w:r>
    </w:p>
    <w:p w14:paraId="6FF1511D" w14:textId="64035A31" w:rsidR="00DD43CB" w:rsidRDefault="00BD010E" w:rsidP="00FC32D4">
      <w:pPr>
        <w:pStyle w:val="APVMAText"/>
      </w:pPr>
      <w:r>
        <w:lastRenderedPageBreak/>
        <w:t xml:space="preserve">Based on the assessment, the APVMA is satisfied that the product will remain stable for at least </w:t>
      </w:r>
      <w:r w:rsidR="000E3142">
        <w:t>two</w:t>
      </w:r>
      <w:r>
        <w:t xml:space="preserve"> years when stored under normal conditions in the proposed commercial packaging.</w:t>
      </w:r>
    </w:p>
    <w:p w14:paraId="53001AE5" w14:textId="61BEBB40" w:rsidR="00E1321B" w:rsidRDefault="00DD43CB" w:rsidP="00FC32D4">
      <w:pPr>
        <w:pStyle w:val="Caption"/>
      </w:pPr>
      <w:bookmarkStart w:id="17" w:name="_Toc6472804"/>
      <w:r>
        <w:t xml:space="preserve">Table </w:t>
      </w:r>
      <w:r w:rsidR="00D77AF5">
        <w:rPr>
          <w:noProof/>
        </w:rPr>
        <w:fldChar w:fldCharType="begin"/>
      </w:r>
      <w:r w:rsidR="00D77AF5">
        <w:rPr>
          <w:noProof/>
        </w:rPr>
        <w:instrText xml:space="preserve"> SEQ Table \* ARABIC </w:instrText>
      </w:r>
      <w:r w:rsidR="00D77AF5">
        <w:rPr>
          <w:noProof/>
        </w:rPr>
        <w:fldChar w:fldCharType="separate"/>
      </w:r>
      <w:r w:rsidR="00FC32D4">
        <w:rPr>
          <w:noProof/>
        </w:rPr>
        <w:t>3</w:t>
      </w:r>
      <w:r w:rsidR="00D77AF5">
        <w:rPr>
          <w:noProof/>
        </w:rPr>
        <w:fldChar w:fldCharType="end"/>
      </w:r>
      <w:r>
        <w:t xml:space="preserve">: Key </w:t>
      </w:r>
      <w:r w:rsidRPr="00FC32D4">
        <w:t>aspects</w:t>
      </w:r>
      <w:r>
        <w:t xml:space="preserve"> of the formulation of the product </w:t>
      </w:r>
      <w:proofErr w:type="spellStart"/>
      <w:r w:rsidRPr="00E74C9A">
        <w:t>topramezone</w:t>
      </w:r>
      <w:bookmarkEnd w:id="17"/>
      <w:proofErr w:type="spellEnd"/>
    </w:p>
    <w:tbl>
      <w:tblPr>
        <w:tblW w:w="5000" w:type="pct"/>
        <w:tblBorders>
          <w:top w:val="single" w:sz="4" w:space="0" w:color="auto"/>
          <w:bottom w:val="single" w:sz="4" w:space="0" w:color="auto"/>
          <w:insideH w:val="single" w:sz="4" w:space="0" w:color="auto"/>
        </w:tblBorders>
        <w:tblLook w:val="0620" w:firstRow="1" w:lastRow="0" w:firstColumn="0" w:lastColumn="0" w:noHBand="1" w:noVBand="1"/>
        <w:tblCaption w:val="Key aspects of the formulation of the product"/>
        <w:tblDescription w:val="Details of the product formulation "/>
      </w:tblPr>
      <w:tblGrid>
        <w:gridCol w:w="2901"/>
        <w:gridCol w:w="6737"/>
      </w:tblGrid>
      <w:tr w:rsidR="00FC32D4" w14:paraId="0FBB426B" w14:textId="77777777" w:rsidTr="00AA2707">
        <w:trPr>
          <w:cantSplit/>
        </w:trPr>
        <w:tc>
          <w:tcPr>
            <w:tcW w:w="1505" w:type="pct"/>
            <w:shd w:val="clear" w:color="auto" w:fill="E6E6E6"/>
          </w:tcPr>
          <w:p w14:paraId="4614B169" w14:textId="77777777" w:rsidR="00FC32D4" w:rsidRDefault="00FC32D4" w:rsidP="00FC32D4">
            <w:pPr>
              <w:pStyle w:val="APVMATableHead"/>
              <w:spacing w:before="120" w:after="120"/>
            </w:pPr>
            <w:r>
              <w:t>distinguishing name:</w:t>
            </w:r>
          </w:p>
        </w:tc>
        <w:tc>
          <w:tcPr>
            <w:tcW w:w="3495" w:type="pct"/>
          </w:tcPr>
          <w:p w14:paraId="64169432" w14:textId="581EAE03" w:rsidR="00FC32D4" w:rsidRDefault="00FC32D4" w:rsidP="00FC32D4">
            <w:pPr>
              <w:pStyle w:val="APVMATableText"/>
            </w:pPr>
            <w:r>
              <w:t>Frequency Herbicide</w:t>
            </w:r>
          </w:p>
        </w:tc>
      </w:tr>
      <w:tr w:rsidR="00FC32D4" w14:paraId="11DA4BF7" w14:textId="77777777" w:rsidTr="00AA2707">
        <w:tc>
          <w:tcPr>
            <w:tcW w:w="1505" w:type="pct"/>
            <w:shd w:val="clear" w:color="auto" w:fill="E6E6E6"/>
          </w:tcPr>
          <w:p w14:paraId="1DEFC3E9" w14:textId="77777777" w:rsidR="00FC32D4" w:rsidRDefault="00FC32D4" w:rsidP="00FC32D4">
            <w:pPr>
              <w:pStyle w:val="APVMATableHead"/>
              <w:spacing w:before="120" w:after="120"/>
            </w:pPr>
            <w:r>
              <w:t>formulation type:</w:t>
            </w:r>
          </w:p>
        </w:tc>
        <w:tc>
          <w:tcPr>
            <w:tcW w:w="3495" w:type="pct"/>
          </w:tcPr>
          <w:p w14:paraId="267BC1A3" w14:textId="2C069583" w:rsidR="00FC32D4" w:rsidRDefault="00FC32D4" w:rsidP="00FC32D4">
            <w:pPr>
              <w:pStyle w:val="APVMATableText"/>
            </w:pPr>
            <w:proofErr w:type="spellStart"/>
            <w:r w:rsidRPr="004C4F6C">
              <w:t>Suspo</w:t>
            </w:r>
            <w:proofErr w:type="spellEnd"/>
            <w:r w:rsidRPr="004C4F6C">
              <w:t xml:space="preserve">-emulsion </w:t>
            </w:r>
            <w:r>
              <w:t>(SE)</w:t>
            </w:r>
          </w:p>
        </w:tc>
      </w:tr>
      <w:tr w:rsidR="00FC32D4" w14:paraId="57FC6F77" w14:textId="77777777" w:rsidTr="00AA2707">
        <w:tc>
          <w:tcPr>
            <w:tcW w:w="1505" w:type="pct"/>
            <w:shd w:val="clear" w:color="auto" w:fill="E6E6E6"/>
          </w:tcPr>
          <w:p w14:paraId="7EA10809" w14:textId="77777777" w:rsidR="00FC32D4" w:rsidRDefault="00FC32D4" w:rsidP="00FC32D4">
            <w:pPr>
              <w:pStyle w:val="APVMATableHead"/>
              <w:spacing w:before="120" w:after="120"/>
            </w:pPr>
            <w:r>
              <w:t>active constituent concentration/s:</w:t>
            </w:r>
          </w:p>
        </w:tc>
        <w:tc>
          <w:tcPr>
            <w:tcW w:w="3495" w:type="pct"/>
          </w:tcPr>
          <w:p w14:paraId="106CE58F" w14:textId="13A29610" w:rsidR="00FC32D4" w:rsidRDefault="00FC32D4" w:rsidP="00FC32D4">
            <w:pPr>
              <w:pStyle w:val="APVMATableText"/>
            </w:pPr>
            <w:proofErr w:type="spellStart"/>
            <w:r>
              <w:t>T</w:t>
            </w:r>
            <w:r w:rsidRPr="004C4F6C">
              <w:t>opramezone</w:t>
            </w:r>
            <w:proofErr w:type="spellEnd"/>
            <w:r w:rsidRPr="004C4F6C">
              <w:t xml:space="preserve"> </w:t>
            </w:r>
            <w:r>
              <w:t>(</w:t>
            </w:r>
            <w:r w:rsidRPr="004C4F6C">
              <w:t>60 g/L</w:t>
            </w:r>
            <w:r>
              <w:t>)</w:t>
            </w:r>
            <w:r w:rsidRPr="004C4F6C">
              <w:t xml:space="preserve"> and </w:t>
            </w:r>
            <w:proofErr w:type="spellStart"/>
            <w:r w:rsidRPr="004C4F6C">
              <w:t>cloquintocet-mexyl</w:t>
            </w:r>
            <w:proofErr w:type="spellEnd"/>
            <w:r>
              <w:t xml:space="preserve"> (</w:t>
            </w:r>
            <w:r w:rsidRPr="004C4F6C">
              <w:t>60 g/L</w:t>
            </w:r>
            <w:r>
              <w:t>)</w:t>
            </w:r>
          </w:p>
        </w:tc>
      </w:tr>
    </w:tbl>
    <w:p w14:paraId="4774F3CB" w14:textId="6FE1CC95" w:rsidR="00E1321B" w:rsidRDefault="00FC32D4" w:rsidP="00FC32D4">
      <w:pPr>
        <w:pStyle w:val="Caption"/>
      </w:pPr>
      <w:bookmarkStart w:id="18" w:name="_Toc6472805"/>
      <w:r>
        <w:t xml:space="preserve">Table </w:t>
      </w:r>
      <w:r w:rsidR="00D77AF5">
        <w:rPr>
          <w:noProof/>
        </w:rPr>
        <w:fldChar w:fldCharType="begin"/>
      </w:r>
      <w:r w:rsidR="00D77AF5">
        <w:rPr>
          <w:noProof/>
        </w:rPr>
        <w:instrText xml:space="preserve"> SEQ Table \* ARABIC </w:instrText>
      </w:r>
      <w:r w:rsidR="00D77AF5">
        <w:rPr>
          <w:noProof/>
        </w:rPr>
        <w:fldChar w:fldCharType="separate"/>
      </w:r>
      <w:r>
        <w:rPr>
          <w:noProof/>
        </w:rPr>
        <w:t>4</w:t>
      </w:r>
      <w:r w:rsidR="00D77AF5">
        <w:rPr>
          <w:noProof/>
        </w:rPr>
        <w:fldChar w:fldCharType="end"/>
      </w:r>
      <w:r>
        <w:t xml:space="preserve">: Physicochemical properties of the product </w:t>
      </w:r>
      <w:proofErr w:type="spellStart"/>
      <w:r w:rsidRPr="00E74C9A">
        <w:t>topramezone</w:t>
      </w:r>
      <w:bookmarkEnd w:id="18"/>
      <w:proofErr w:type="spellEnd"/>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471"/>
        <w:gridCol w:w="7167"/>
      </w:tblGrid>
      <w:tr w:rsidR="00BD010E" w14:paraId="3DB5ACDA" w14:textId="77777777" w:rsidTr="004F0A8F">
        <w:tc>
          <w:tcPr>
            <w:tcW w:w="1282" w:type="pct"/>
            <w:shd w:val="clear" w:color="auto" w:fill="E6E6E6"/>
          </w:tcPr>
          <w:p w14:paraId="6CB97C19" w14:textId="77777777" w:rsidR="00BD010E" w:rsidRDefault="00BD010E" w:rsidP="00C560CF">
            <w:pPr>
              <w:pStyle w:val="APVMATableHead"/>
              <w:keepNext w:val="0"/>
              <w:keepLines w:val="0"/>
              <w:spacing w:before="120"/>
            </w:pPr>
            <w:r>
              <w:t>physical form:</w:t>
            </w:r>
          </w:p>
        </w:tc>
        <w:tc>
          <w:tcPr>
            <w:tcW w:w="3718" w:type="pct"/>
          </w:tcPr>
          <w:p w14:paraId="22DAC49E" w14:textId="1D60D3F6" w:rsidR="00BD010E" w:rsidRDefault="00BD010E" w:rsidP="00C560CF">
            <w:pPr>
              <w:pStyle w:val="APVMATableText"/>
            </w:pPr>
            <w:r>
              <w:rPr>
                <w:color w:val="000000"/>
              </w:rPr>
              <w:t>Light beige, liquid</w:t>
            </w:r>
            <w:r w:rsidRPr="00C03F12">
              <w:rPr>
                <w:color w:val="000000"/>
              </w:rPr>
              <w:t xml:space="preserve"> suspension</w:t>
            </w:r>
          </w:p>
        </w:tc>
      </w:tr>
      <w:tr w:rsidR="00BD010E" w14:paraId="3B0C64F0" w14:textId="77777777" w:rsidTr="004F0A8F">
        <w:tc>
          <w:tcPr>
            <w:tcW w:w="1282" w:type="pct"/>
            <w:shd w:val="clear" w:color="auto" w:fill="E6E6E6"/>
          </w:tcPr>
          <w:p w14:paraId="7DB4FDA9" w14:textId="70BFBD91" w:rsidR="00BD010E" w:rsidRDefault="00BD010E" w:rsidP="00C560CF">
            <w:pPr>
              <w:pStyle w:val="APVMATableHead"/>
              <w:keepNext w:val="0"/>
              <w:keepLines w:val="0"/>
              <w:spacing w:before="120"/>
            </w:pPr>
            <w:r>
              <w:t>odour</w:t>
            </w:r>
          </w:p>
        </w:tc>
        <w:tc>
          <w:tcPr>
            <w:tcW w:w="3718" w:type="pct"/>
          </w:tcPr>
          <w:p w14:paraId="23742DC3" w14:textId="511BEDFC" w:rsidR="00BD010E" w:rsidRPr="002B1122" w:rsidRDefault="00BD010E" w:rsidP="00C560CF">
            <w:pPr>
              <w:pStyle w:val="APVMATableText"/>
              <w:rPr>
                <w:color w:val="4F81BD" w:themeColor="accent1"/>
              </w:rPr>
            </w:pPr>
            <w:r>
              <w:rPr>
                <w:color w:val="000000"/>
              </w:rPr>
              <w:t>Moderate aromatic odour</w:t>
            </w:r>
          </w:p>
        </w:tc>
      </w:tr>
      <w:tr w:rsidR="00BD010E" w14:paraId="712113BF" w14:textId="77777777" w:rsidTr="004F0A8F">
        <w:tc>
          <w:tcPr>
            <w:tcW w:w="1282" w:type="pct"/>
            <w:shd w:val="clear" w:color="auto" w:fill="E6E6E6"/>
          </w:tcPr>
          <w:p w14:paraId="65890F85" w14:textId="77AE9114" w:rsidR="00BD010E" w:rsidRDefault="00BD010E" w:rsidP="00C560CF">
            <w:pPr>
              <w:pStyle w:val="APVMATableHead"/>
              <w:keepNext w:val="0"/>
              <w:keepLines w:val="0"/>
              <w:spacing w:before="120"/>
            </w:pPr>
            <w:r>
              <w:t>pH:</w:t>
            </w:r>
          </w:p>
        </w:tc>
        <w:tc>
          <w:tcPr>
            <w:tcW w:w="3718" w:type="pct"/>
          </w:tcPr>
          <w:p w14:paraId="56255455" w14:textId="3785C3E0" w:rsidR="00BD010E" w:rsidRDefault="00BD010E" w:rsidP="00C560CF">
            <w:pPr>
              <w:pStyle w:val="APVMATableText"/>
            </w:pPr>
            <w:r w:rsidRPr="004B2E4A">
              <w:rPr>
                <w:color w:val="000000" w:themeColor="text1"/>
              </w:rPr>
              <w:t xml:space="preserve">4.0 (1% in pure water) </w:t>
            </w:r>
          </w:p>
        </w:tc>
      </w:tr>
      <w:tr w:rsidR="00BD010E" w14:paraId="5BA43E35" w14:textId="77777777" w:rsidTr="004F0A8F">
        <w:trPr>
          <w:trHeight w:val="423"/>
        </w:trPr>
        <w:tc>
          <w:tcPr>
            <w:tcW w:w="1282" w:type="pct"/>
            <w:shd w:val="clear" w:color="auto" w:fill="E6E6E6"/>
          </w:tcPr>
          <w:p w14:paraId="1CFF828C" w14:textId="581EC6C1" w:rsidR="00BD010E" w:rsidRDefault="00BD010E" w:rsidP="00C560CF">
            <w:pPr>
              <w:pStyle w:val="APVMATableHead"/>
              <w:keepNext w:val="0"/>
              <w:keepLines w:val="0"/>
              <w:spacing w:before="120"/>
            </w:pPr>
            <w:r>
              <w:t>acidity:</w:t>
            </w:r>
          </w:p>
        </w:tc>
        <w:tc>
          <w:tcPr>
            <w:tcW w:w="3718" w:type="pct"/>
          </w:tcPr>
          <w:p w14:paraId="113FE797" w14:textId="21B82E5C" w:rsidR="00BD010E" w:rsidRDefault="00BD010E" w:rsidP="00C560CF">
            <w:pPr>
              <w:pStyle w:val="APVMATableText"/>
            </w:pPr>
            <w:r w:rsidRPr="00C03F12">
              <w:rPr>
                <w:color w:val="000000"/>
              </w:rPr>
              <w:t>0.2%</w:t>
            </w:r>
            <w:r>
              <w:rPr>
                <w:color w:val="000000"/>
              </w:rPr>
              <w:t xml:space="preserve"> </w:t>
            </w:r>
            <w:r>
              <w:t>(calculated as H</w:t>
            </w:r>
            <w:r w:rsidRPr="00FC6B43">
              <w:rPr>
                <w:vertAlign w:val="subscript"/>
              </w:rPr>
              <w:t>2</w:t>
            </w:r>
            <w:r>
              <w:t>SO</w:t>
            </w:r>
            <w:r w:rsidRPr="00FC6B43">
              <w:rPr>
                <w:vertAlign w:val="subscript"/>
              </w:rPr>
              <w:t>4</w:t>
            </w:r>
            <w:r>
              <w:t>)</w:t>
            </w:r>
          </w:p>
        </w:tc>
      </w:tr>
      <w:tr w:rsidR="00BD010E" w14:paraId="6F732D37" w14:textId="77777777" w:rsidTr="004F0A8F">
        <w:trPr>
          <w:trHeight w:val="373"/>
        </w:trPr>
        <w:tc>
          <w:tcPr>
            <w:tcW w:w="1282" w:type="pct"/>
            <w:shd w:val="clear" w:color="auto" w:fill="E6E6E6"/>
          </w:tcPr>
          <w:p w14:paraId="46F3537E" w14:textId="4F15E7C3" w:rsidR="00BD010E" w:rsidRDefault="00BD010E" w:rsidP="00C560CF">
            <w:pPr>
              <w:pStyle w:val="APVMATableHead"/>
              <w:keepNext w:val="0"/>
              <w:keepLines w:val="0"/>
              <w:spacing w:before="120"/>
            </w:pPr>
            <w:r>
              <w:t>density:</w:t>
            </w:r>
          </w:p>
        </w:tc>
        <w:tc>
          <w:tcPr>
            <w:tcW w:w="3718" w:type="pct"/>
          </w:tcPr>
          <w:p w14:paraId="7FD6D340" w14:textId="31D74BED" w:rsidR="00BD010E" w:rsidRDefault="00BD010E" w:rsidP="00C560CF">
            <w:pPr>
              <w:pStyle w:val="APVMATableText"/>
              <w:rPr>
                <w:noProof/>
                <w:lang w:eastAsia="en-AU"/>
              </w:rPr>
            </w:pPr>
            <w:r w:rsidRPr="004B2E4A">
              <w:t>1.033 g/m</w:t>
            </w:r>
            <w:r w:rsidRPr="004B2E4A">
              <w:rPr>
                <w:vertAlign w:val="superscript"/>
              </w:rPr>
              <w:t>3</w:t>
            </w:r>
            <w:r>
              <w:rPr>
                <w:vertAlign w:val="superscript"/>
              </w:rPr>
              <w:t xml:space="preserve"> </w:t>
            </w:r>
            <w:r w:rsidRPr="004B2E4A">
              <w:t>at 20</w:t>
            </w:r>
            <w:r>
              <w:t xml:space="preserve"> </w:t>
            </w:r>
            <w:r w:rsidRPr="004B2E4A">
              <w:t>°C</w:t>
            </w:r>
          </w:p>
        </w:tc>
      </w:tr>
      <w:tr w:rsidR="00BD010E" w14:paraId="6D8D4EFD" w14:textId="77777777" w:rsidTr="004F0A8F">
        <w:trPr>
          <w:trHeight w:val="493"/>
        </w:trPr>
        <w:tc>
          <w:tcPr>
            <w:tcW w:w="1282" w:type="pct"/>
            <w:shd w:val="clear" w:color="auto" w:fill="E6E6E6"/>
          </w:tcPr>
          <w:p w14:paraId="309A97A2" w14:textId="531E21CC" w:rsidR="00BD010E" w:rsidRDefault="00BD010E" w:rsidP="00C560CF">
            <w:pPr>
              <w:pStyle w:val="APVMATableHead"/>
              <w:keepNext w:val="0"/>
              <w:keepLines w:val="0"/>
              <w:spacing w:before="120"/>
            </w:pPr>
            <w:r>
              <w:t>dynamic Viscosity:</w:t>
            </w:r>
          </w:p>
        </w:tc>
        <w:tc>
          <w:tcPr>
            <w:tcW w:w="3718" w:type="pct"/>
          </w:tcPr>
          <w:p w14:paraId="2B888809" w14:textId="77777777" w:rsidR="00BD010E" w:rsidRDefault="00BD010E" w:rsidP="00C560CF">
            <w:pPr>
              <w:pStyle w:val="APVMATableText"/>
              <w:rPr>
                <w:noProof/>
                <w:lang w:eastAsia="en-AU"/>
              </w:rPr>
            </w:pPr>
            <w:r>
              <w:rPr>
                <w:noProof/>
                <w:lang w:eastAsia="en-AU"/>
              </w:rPr>
              <w:t>923 mPa.s (1 s</w:t>
            </w:r>
            <w:r w:rsidRPr="004B2E4A">
              <w:rPr>
                <w:noProof/>
                <w:vertAlign w:val="superscript"/>
                <w:lang w:eastAsia="en-AU"/>
              </w:rPr>
              <w:t>-1</w:t>
            </w:r>
            <w:r>
              <w:rPr>
                <w:noProof/>
                <w:lang w:eastAsia="en-AU"/>
              </w:rPr>
              <w:t xml:space="preserve">, 20 </w:t>
            </w:r>
            <w:r w:rsidRPr="00463DED">
              <w:t>°C</w:t>
            </w:r>
            <w:r>
              <w:t>)</w:t>
            </w:r>
            <w:r>
              <w:rPr>
                <w:noProof/>
                <w:lang w:eastAsia="en-AU"/>
              </w:rPr>
              <w:t xml:space="preserve"> </w:t>
            </w:r>
          </w:p>
          <w:p w14:paraId="2FD778F1" w14:textId="77777777" w:rsidR="00BD010E" w:rsidRDefault="00BD010E" w:rsidP="00C560CF">
            <w:pPr>
              <w:pStyle w:val="APVMATableText"/>
              <w:rPr>
                <w:noProof/>
                <w:lang w:eastAsia="en-AU"/>
              </w:rPr>
            </w:pPr>
            <w:r>
              <w:rPr>
                <w:noProof/>
                <w:lang w:eastAsia="en-AU"/>
              </w:rPr>
              <w:t>210 mPa.s (10 s</w:t>
            </w:r>
            <w:r w:rsidRPr="004B2E4A">
              <w:rPr>
                <w:noProof/>
                <w:vertAlign w:val="superscript"/>
                <w:lang w:eastAsia="en-AU"/>
              </w:rPr>
              <w:t>-1</w:t>
            </w:r>
            <w:r>
              <w:rPr>
                <w:noProof/>
                <w:lang w:eastAsia="en-AU"/>
              </w:rPr>
              <w:t xml:space="preserve">, 20 </w:t>
            </w:r>
            <w:r w:rsidRPr="00463DED">
              <w:t>°C</w:t>
            </w:r>
            <w:r>
              <w:t>)</w:t>
            </w:r>
          </w:p>
          <w:p w14:paraId="78478DD0" w14:textId="77777777" w:rsidR="00BD010E" w:rsidRDefault="00BD010E" w:rsidP="00C560CF">
            <w:pPr>
              <w:pStyle w:val="APVMATableText"/>
              <w:rPr>
                <w:noProof/>
                <w:lang w:eastAsia="en-AU"/>
              </w:rPr>
            </w:pPr>
            <w:r>
              <w:rPr>
                <w:noProof/>
                <w:lang w:eastAsia="en-AU"/>
              </w:rPr>
              <w:t>78 mPa.s (100 s</w:t>
            </w:r>
            <w:r w:rsidRPr="004B2E4A">
              <w:rPr>
                <w:noProof/>
                <w:vertAlign w:val="superscript"/>
                <w:lang w:eastAsia="en-AU"/>
              </w:rPr>
              <w:t>-1</w:t>
            </w:r>
            <w:r>
              <w:rPr>
                <w:noProof/>
                <w:lang w:eastAsia="en-AU"/>
              </w:rPr>
              <w:t xml:space="preserve">, 20 </w:t>
            </w:r>
            <w:r w:rsidRPr="00463DED">
              <w:t>°C</w:t>
            </w:r>
            <w:r>
              <w:t>)</w:t>
            </w:r>
          </w:p>
          <w:p w14:paraId="35B7F70C" w14:textId="6C1863B7" w:rsidR="00BD010E" w:rsidRDefault="00BD010E" w:rsidP="00C560CF">
            <w:pPr>
              <w:pStyle w:val="APVMATableText"/>
              <w:rPr>
                <w:noProof/>
                <w:lang w:eastAsia="en-AU"/>
              </w:rPr>
            </w:pPr>
            <w:r>
              <w:rPr>
                <w:noProof/>
                <w:lang w:eastAsia="en-AU"/>
              </w:rPr>
              <w:t>63 mPa.s (200 s</w:t>
            </w:r>
            <w:r w:rsidRPr="004B2E4A">
              <w:rPr>
                <w:noProof/>
                <w:vertAlign w:val="superscript"/>
                <w:lang w:eastAsia="en-AU"/>
              </w:rPr>
              <w:t>-1</w:t>
            </w:r>
            <w:r>
              <w:rPr>
                <w:noProof/>
                <w:lang w:eastAsia="en-AU"/>
              </w:rPr>
              <w:t xml:space="preserve">, 20 </w:t>
            </w:r>
            <w:r w:rsidRPr="00463DED">
              <w:t>°C</w:t>
            </w:r>
            <w:r>
              <w:t>)</w:t>
            </w:r>
          </w:p>
        </w:tc>
      </w:tr>
      <w:tr w:rsidR="00BD010E" w14:paraId="4D7BB832" w14:textId="77777777" w:rsidTr="004F0A8F">
        <w:trPr>
          <w:trHeight w:val="493"/>
        </w:trPr>
        <w:tc>
          <w:tcPr>
            <w:tcW w:w="1282" w:type="pct"/>
            <w:shd w:val="clear" w:color="auto" w:fill="E6E6E6"/>
          </w:tcPr>
          <w:p w14:paraId="611C32A0" w14:textId="0EEBE0C7" w:rsidR="00BD010E" w:rsidRDefault="00BD010E" w:rsidP="00C560CF">
            <w:pPr>
              <w:pStyle w:val="APVMATableHead"/>
              <w:keepNext w:val="0"/>
              <w:keepLines w:val="0"/>
              <w:spacing w:before="120"/>
            </w:pPr>
            <w:r>
              <w:t>surface tension</w:t>
            </w:r>
          </w:p>
        </w:tc>
        <w:tc>
          <w:tcPr>
            <w:tcW w:w="3718" w:type="pct"/>
          </w:tcPr>
          <w:p w14:paraId="7EB646C2" w14:textId="7B757E79" w:rsidR="00BD010E" w:rsidRDefault="00BD010E" w:rsidP="00C560CF">
            <w:pPr>
              <w:pStyle w:val="APVMATableText"/>
              <w:rPr>
                <w:noProof/>
                <w:lang w:eastAsia="en-AU"/>
              </w:rPr>
            </w:pPr>
            <w:r>
              <w:rPr>
                <w:noProof/>
                <w:lang w:eastAsia="en-AU"/>
              </w:rPr>
              <w:t xml:space="preserve">42.5 mN/m (0.1% in pure water, 20 </w:t>
            </w:r>
            <w:r w:rsidRPr="00463DED">
              <w:t>°C</w:t>
            </w:r>
            <w:r w:rsidR="00AA2707">
              <w:rPr>
                <w:noProof/>
                <w:lang w:eastAsia="en-AU"/>
              </w:rPr>
              <w:t>)</w:t>
            </w:r>
          </w:p>
          <w:p w14:paraId="11CF0190" w14:textId="31C5743E" w:rsidR="00BD010E" w:rsidRDefault="00BD010E" w:rsidP="00C560CF">
            <w:pPr>
              <w:pStyle w:val="APVMATableText"/>
              <w:rPr>
                <w:noProof/>
                <w:lang w:eastAsia="en-AU"/>
              </w:rPr>
            </w:pPr>
            <w:r>
              <w:rPr>
                <w:noProof/>
                <w:lang w:eastAsia="en-AU"/>
              </w:rPr>
              <w:t xml:space="preserve">41.6 mN/m (0.2% in pure water, 20 </w:t>
            </w:r>
            <w:r w:rsidRPr="00463DED">
              <w:t>°C</w:t>
            </w:r>
            <w:r>
              <w:rPr>
                <w:noProof/>
                <w:lang w:eastAsia="en-AU"/>
              </w:rPr>
              <w:t>)</w:t>
            </w:r>
          </w:p>
        </w:tc>
      </w:tr>
      <w:tr w:rsidR="00BD010E" w14:paraId="13086811" w14:textId="77777777" w:rsidTr="004F0A8F">
        <w:trPr>
          <w:trHeight w:val="435"/>
        </w:trPr>
        <w:tc>
          <w:tcPr>
            <w:tcW w:w="1282" w:type="pct"/>
            <w:shd w:val="clear" w:color="auto" w:fill="E6E6E6"/>
          </w:tcPr>
          <w:p w14:paraId="1E562990" w14:textId="439A5780" w:rsidR="00BD010E" w:rsidRDefault="00BD010E" w:rsidP="00C560CF">
            <w:pPr>
              <w:pStyle w:val="APVMATableHead"/>
              <w:keepNext w:val="0"/>
              <w:keepLines w:val="0"/>
              <w:spacing w:before="120"/>
            </w:pPr>
            <w:r>
              <w:t>pourability:</w:t>
            </w:r>
          </w:p>
        </w:tc>
        <w:tc>
          <w:tcPr>
            <w:tcW w:w="3718" w:type="pct"/>
          </w:tcPr>
          <w:p w14:paraId="79D11792" w14:textId="77777777" w:rsidR="00BD010E" w:rsidRDefault="00BD010E" w:rsidP="00C560CF">
            <w:pPr>
              <w:pStyle w:val="APVMATableText"/>
              <w:rPr>
                <w:noProof/>
                <w:lang w:eastAsia="en-AU"/>
              </w:rPr>
            </w:pPr>
            <w:r>
              <w:rPr>
                <w:noProof/>
                <w:lang w:eastAsia="en-AU"/>
              </w:rPr>
              <w:t>1.19% (w/w) poured residue</w:t>
            </w:r>
          </w:p>
          <w:p w14:paraId="6A853328" w14:textId="65824156" w:rsidR="00BD010E" w:rsidRDefault="00BD010E" w:rsidP="00C560CF">
            <w:pPr>
              <w:pStyle w:val="APVMATableText"/>
            </w:pPr>
            <w:r>
              <w:rPr>
                <w:noProof/>
                <w:lang w:eastAsia="en-AU"/>
              </w:rPr>
              <w:t>0.18% (w/w) rinsed residue after 1st rinse</w:t>
            </w:r>
          </w:p>
        </w:tc>
      </w:tr>
      <w:tr w:rsidR="00BD010E" w14:paraId="4DBAA7FA" w14:textId="77777777" w:rsidTr="004F0A8F">
        <w:trPr>
          <w:trHeight w:val="435"/>
        </w:trPr>
        <w:tc>
          <w:tcPr>
            <w:tcW w:w="1282" w:type="pct"/>
            <w:shd w:val="clear" w:color="auto" w:fill="E6E6E6"/>
          </w:tcPr>
          <w:p w14:paraId="448D022F" w14:textId="2467A886" w:rsidR="00BD010E" w:rsidRDefault="00BD010E" w:rsidP="00C560CF">
            <w:pPr>
              <w:pStyle w:val="APVMATableHead"/>
              <w:keepNext w:val="0"/>
              <w:keepLines w:val="0"/>
              <w:spacing w:before="120"/>
            </w:pPr>
            <w:r>
              <w:t>dispersion stability:</w:t>
            </w:r>
          </w:p>
        </w:tc>
        <w:tc>
          <w:tcPr>
            <w:tcW w:w="3718" w:type="pct"/>
          </w:tcPr>
          <w:p w14:paraId="51115F7A" w14:textId="77777777" w:rsidR="00BD010E" w:rsidRDefault="00BD010E" w:rsidP="00C560CF">
            <w:pPr>
              <w:pStyle w:val="APVMATableText"/>
              <w:rPr>
                <w:noProof/>
                <w:lang w:eastAsia="en-AU"/>
              </w:rPr>
            </w:pPr>
            <w:r>
              <w:rPr>
                <w:noProof/>
                <w:lang w:eastAsia="en-AU"/>
              </w:rPr>
              <w:t>0.1</w:t>
            </w:r>
            <w:r w:rsidRPr="007B14E7">
              <w:rPr>
                <w:noProof/>
                <w:lang w:eastAsia="en-AU"/>
              </w:rPr>
              <w:t xml:space="preserve">% </w:t>
            </w:r>
            <w:r>
              <w:rPr>
                <w:noProof/>
                <w:lang w:eastAsia="en-AU"/>
              </w:rPr>
              <w:t>solution: 0 mL at 0.5 hr, completely redispersed at 24 hr, and 0 mL at 24.5 hr</w:t>
            </w:r>
          </w:p>
          <w:p w14:paraId="70998CC7" w14:textId="5E681B3C" w:rsidR="00BD010E" w:rsidRDefault="00BD010E" w:rsidP="00C560CF">
            <w:pPr>
              <w:pStyle w:val="APVMATableText"/>
              <w:rPr>
                <w:noProof/>
                <w:lang w:eastAsia="en-AU"/>
              </w:rPr>
            </w:pPr>
            <w:r>
              <w:rPr>
                <w:noProof/>
                <w:lang w:eastAsia="en-AU"/>
              </w:rPr>
              <w:t>0.2</w:t>
            </w:r>
            <w:r w:rsidRPr="007B14E7">
              <w:rPr>
                <w:noProof/>
                <w:lang w:eastAsia="en-AU"/>
              </w:rPr>
              <w:t xml:space="preserve">% </w:t>
            </w:r>
            <w:r>
              <w:rPr>
                <w:noProof/>
                <w:lang w:eastAsia="en-AU"/>
              </w:rPr>
              <w:t>solution: &lt;0.04 mL at 0.5 hr, completely redisperse</w:t>
            </w:r>
            <w:r w:rsidR="00276C28">
              <w:rPr>
                <w:noProof/>
                <w:lang w:eastAsia="en-AU"/>
              </w:rPr>
              <w:t>d at 24 hr, and 0 mL at 24.5 hr</w:t>
            </w:r>
          </w:p>
        </w:tc>
      </w:tr>
      <w:tr w:rsidR="00BD010E" w14:paraId="0E0019E7" w14:textId="77777777" w:rsidTr="004F0A8F">
        <w:trPr>
          <w:trHeight w:val="435"/>
        </w:trPr>
        <w:tc>
          <w:tcPr>
            <w:tcW w:w="1282" w:type="pct"/>
            <w:shd w:val="clear" w:color="auto" w:fill="E6E6E6"/>
          </w:tcPr>
          <w:p w14:paraId="04A4EC4E" w14:textId="4AC2816C" w:rsidR="00BD010E" w:rsidRDefault="00BD010E" w:rsidP="00C560CF">
            <w:pPr>
              <w:pStyle w:val="APVMATableHead"/>
              <w:keepNext w:val="0"/>
              <w:keepLines w:val="0"/>
              <w:spacing w:before="120"/>
            </w:pPr>
            <w:r>
              <w:t>wet sieve test:</w:t>
            </w:r>
          </w:p>
        </w:tc>
        <w:tc>
          <w:tcPr>
            <w:tcW w:w="3718" w:type="pct"/>
          </w:tcPr>
          <w:p w14:paraId="460A237C" w14:textId="5176CE6B" w:rsidR="00BD010E" w:rsidRDefault="00BD010E" w:rsidP="00C560CF">
            <w:pPr>
              <w:pStyle w:val="APVMATableText"/>
              <w:rPr>
                <w:noProof/>
                <w:lang w:eastAsia="en-AU"/>
              </w:rPr>
            </w:pPr>
            <w:r w:rsidRPr="00C03F12">
              <w:rPr>
                <w:color w:val="000000"/>
                <w:lang w:eastAsia="en-AU"/>
              </w:rPr>
              <w:t>0.90%</w:t>
            </w:r>
            <w:r>
              <w:rPr>
                <w:color w:val="000000"/>
                <w:lang w:eastAsia="en-AU"/>
              </w:rPr>
              <w:t xml:space="preserve"> (</w:t>
            </w:r>
            <w:r w:rsidRPr="00D2324F">
              <w:t xml:space="preserve">75 </w:t>
            </w:r>
            <w:proofErr w:type="spellStart"/>
            <w:r w:rsidRPr="00D2324F">
              <w:t>μm</w:t>
            </w:r>
            <w:proofErr w:type="spellEnd"/>
            <w:r w:rsidR="00AA2707">
              <w:t xml:space="preserve"> sieve)</w:t>
            </w:r>
          </w:p>
        </w:tc>
      </w:tr>
      <w:tr w:rsidR="00BD010E" w14:paraId="4DE970EE" w14:textId="77777777" w:rsidTr="004F0A8F">
        <w:trPr>
          <w:trHeight w:val="435"/>
        </w:trPr>
        <w:tc>
          <w:tcPr>
            <w:tcW w:w="1282" w:type="pct"/>
            <w:shd w:val="clear" w:color="auto" w:fill="E6E6E6"/>
          </w:tcPr>
          <w:p w14:paraId="6E5E0212" w14:textId="51531CA4" w:rsidR="00BD010E" w:rsidRDefault="00BD010E" w:rsidP="00C560CF">
            <w:pPr>
              <w:pStyle w:val="APVMATableHead"/>
              <w:keepNext w:val="0"/>
              <w:keepLines w:val="0"/>
              <w:spacing w:before="120"/>
            </w:pPr>
            <w:r>
              <w:t>persistent foam:</w:t>
            </w:r>
          </w:p>
        </w:tc>
        <w:tc>
          <w:tcPr>
            <w:tcW w:w="3718" w:type="pct"/>
          </w:tcPr>
          <w:p w14:paraId="27825451" w14:textId="22A9F49D" w:rsidR="00BD010E" w:rsidRDefault="00BD010E" w:rsidP="00C560CF">
            <w:pPr>
              <w:pStyle w:val="APVMATableText"/>
              <w:rPr>
                <w:noProof/>
                <w:lang w:eastAsia="en-AU"/>
              </w:rPr>
            </w:pPr>
            <w:r w:rsidRPr="00C03F12">
              <w:rPr>
                <w:color w:val="000000"/>
              </w:rPr>
              <w:t xml:space="preserve">0 mL after 0, 1, 3 and 12 min </w:t>
            </w:r>
            <w:r w:rsidRPr="003B33A0">
              <w:rPr>
                <w:color w:val="000000"/>
                <w:lang w:eastAsia="en-AU"/>
              </w:rPr>
              <w:t>(0.1%</w:t>
            </w:r>
            <w:r>
              <w:rPr>
                <w:color w:val="000000"/>
                <w:lang w:eastAsia="en-AU"/>
              </w:rPr>
              <w:t xml:space="preserve"> and 0.2% solutions</w:t>
            </w:r>
            <w:r w:rsidRPr="003B33A0">
              <w:rPr>
                <w:color w:val="000000"/>
                <w:lang w:eastAsia="en-AU"/>
              </w:rPr>
              <w:t xml:space="preserve"> in pure water)</w:t>
            </w:r>
          </w:p>
        </w:tc>
      </w:tr>
      <w:tr w:rsidR="00BD010E" w14:paraId="67A282D2" w14:textId="77777777" w:rsidTr="004F0A8F">
        <w:trPr>
          <w:trHeight w:val="435"/>
        </w:trPr>
        <w:tc>
          <w:tcPr>
            <w:tcW w:w="1282" w:type="pct"/>
            <w:shd w:val="clear" w:color="auto" w:fill="E6E6E6"/>
          </w:tcPr>
          <w:p w14:paraId="7299975A" w14:textId="1E943DC5" w:rsidR="00BD010E" w:rsidRDefault="00BD010E" w:rsidP="00C560CF">
            <w:pPr>
              <w:pStyle w:val="APVMATableHead"/>
              <w:keepNext w:val="0"/>
              <w:keepLines w:val="0"/>
              <w:spacing w:before="120"/>
            </w:pPr>
            <w:r>
              <w:t>particle size distribution:</w:t>
            </w:r>
          </w:p>
        </w:tc>
        <w:tc>
          <w:tcPr>
            <w:tcW w:w="3718" w:type="pct"/>
          </w:tcPr>
          <w:p w14:paraId="6D19DF68" w14:textId="77777777" w:rsidR="00BD010E" w:rsidRDefault="00BD010E" w:rsidP="00C560CF">
            <w:pPr>
              <w:pStyle w:val="APVMATableText"/>
              <w:rPr>
                <w:color w:val="000000"/>
                <w:lang w:eastAsia="en-AU"/>
              </w:rPr>
            </w:pPr>
            <w:r w:rsidRPr="00C03F12">
              <w:rPr>
                <w:color w:val="000000"/>
                <w:lang w:eastAsia="en-AU"/>
              </w:rPr>
              <w:t xml:space="preserve">d10% = 0.9 </w:t>
            </w:r>
            <w:proofErr w:type="spellStart"/>
            <w:r w:rsidRPr="00C03F12">
              <w:rPr>
                <w:color w:val="000000"/>
                <w:lang w:eastAsia="en-AU"/>
              </w:rPr>
              <w:t>μm</w:t>
            </w:r>
            <w:proofErr w:type="spellEnd"/>
            <w:r w:rsidRPr="00C03F12">
              <w:rPr>
                <w:color w:val="000000"/>
                <w:lang w:eastAsia="en-AU"/>
              </w:rPr>
              <w:t xml:space="preserve"> </w:t>
            </w:r>
          </w:p>
          <w:p w14:paraId="149C97B6" w14:textId="77777777" w:rsidR="00BD010E" w:rsidRDefault="00BD010E" w:rsidP="00C560CF">
            <w:pPr>
              <w:pStyle w:val="APVMATableText"/>
              <w:rPr>
                <w:color w:val="000000"/>
                <w:lang w:eastAsia="en-AU"/>
              </w:rPr>
            </w:pPr>
            <w:r w:rsidRPr="00C03F12">
              <w:rPr>
                <w:color w:val="000000"/>
                <w:lang w:eastAsia="en-AU"/>
              </w:rPr>
              <w:t xml:space="preserve">d50% = 1.8 </w:t>
            </w:r>
            <w:proofErr w:type="spellStart"/>
            <w:r w:rsidRPr="00C03F12">
              <w:rPr>
                <w:color w:val="000000"/>
                <w:lang w:eastAsia="en-AU"/>
              </w:rPr>
              <w:t>μm</w:t>
            </w:r>
            <w:proofErr w:type="spellEnd"/>
          </w:p>
          <w:p w14:paraId="09504638" w14:textId="5674EF91" w:rsidR="00BD010E" w:rsidRDefault="00BD010E" w:rsidP="00C560CF">
            <w:pPr>
              <w:pStyle w:val="APVMATableText"/>
              <w:rPr>
                <w:noProof/>
                <w:lang w:eastAsia="en-AU"/>
              </w:rPr>
            </w:pPr>
            <w:r>
              <w:rPr>
                <w:color w:val="000000"/>
                <w:lang w:eastAsia="en-AU"/>
              </w:rPr>
              <w:t xml:space="preserve">d90% = 4.0 </w:t>
            </w:r>
            <w:proofErr w:type="spellStart"/>
            <w:r>
              <w:rPr>
                <w:color w:val="000000"/>
                <w:lang w:eastAsia="en-AU"/>
              </w:rPr>
              <w:t>μm</w:t>
            </w:r>
            <w:proofErr w:type="spellEnd"/>
          </w:p>
        </w:tc>
      </w:tr>
      <w:tr w:rsidR="00BD010E" w14:paraId="40645A99" w14:textId="77777777" w:rsidTr="004F0A8F">
        <w:trPr>
          <w:trHeight w:val="435"/>
        </w:trPr>
        <w:tc>
          <w:tcPr>
            <w:tcW w:w="1282" w:type="pct"/>
            <w:shd w:val="clear" w:color="auto" w:fill="E6E6E6"/>
          </w:tcPr>
          <w:p w14:paraId="1FD99C3D" w14:textId="38E85C63" w:rsidR="00BD010E" w:rsidRDefault="00BD010E" w:rsidP="00C560CF">
            <w:pPr>
              <w:pStyle w:val="APVMATableHead"/>
              <w:keepNext w:val="0"/>
              <w:keepLines w:val="0"/>
              <w:spacing w:before="120"/>
            </w:pPr>
            <w:r>
              <w:t>EXPLOSIVE PROPERTIES:</w:t>
            </w:r>
          </w:p>
        </w:tc>
        <w:tc>
          <w:tcPr>
            <w:tcW w:w="3718" w:type="pct"/>
          </w:tcPr>
          <w:p w14:paraId="7A4B9371" w14:textId="1B80995F" w:rsidR="00BD010E" w:rsidRDefault="00BD010E" w:rsidP="00C560CF">
            <w:pPr>
              <w:pStyle w:val="APVMATableText"/>
              <w:rPr>
                <w:noProof/>
                <w:lang w:eastAsia="en-AU"/>
              </w:rPr>
            </w:pPr>
            <w:r w:rsidRPr="00220172">
              <w:rPr>
                <w:color w:val="000000" w:themeColor="text1"/>
              </w:rPr>
              <w:t>Not explosive</w:t>
            </w:r>
          </w:p>
        </w:tc>
      </w:tr>
      <w:tr w:rsidR="00BD010E" w14:paraId="32D72949" w14:textId="77777777" w:rsidTr="004F0A8F">
        <w:trPr>
          <w:trHeight w:val="435"/>
        </w:trPr>
        <w:tc>
          <w:tcPr>
            <w:tcW w:w="1282" w:type="pct"/>
            <w:shd w:val="clear" w:color="auto" w:fill="E6E6E6"/>
          </w:tcPr>
          <w:p w14:paraId="40A54F48" w14:textId="6D03D15A" w:rsidR="00BD010E" w:rsidRDefault="00BD010E" w:rsidP="00C560CF">
            <w:pPr>
              <w:pStyle w:val="APVMATableHead"/>
              <w:keepNext w:val="0"/>
              <w:keepLines w:val="0"/>
              <w:spacing w:before="120"/>
            </w:pPr>
            <w:r>
              <w:t>OXIDISING PROPERTIES:</w:t>
            </w:r>
          </w:p>
        </w:tc>
        <w:tc>
          <w:tcPr>
            <w:tcW w:w="3718" w:type="pct"/>
          </w:tcPr>
          <w:p w14:paraId="20DF5546" w14:textId="2F8888E3" w:rsidR="00BD010E" w:rsidRDefault="00BD010E" w:rsidP="00C560CF">
            <w:pPr>
              <w:pStyle w:val="APVMATableText"/>
              <w:rPr>
                <w:noProof/>
                <w:lang w:eastAsia="en-AU"/>
              </w:rPr>
            </w:pPr>
            <w:r w:rsidRPr="00220172">
              <w:rPr>
                <w:color w:val="000000" w:themeColor="text1"/>
              </w:rPr>
              <w:t>Not oxidising</w:t>
            </w:r>
          </w:p>
        </w:tc>
      </w:tr>
      <w:tr w:rsidR="00BD010E" w14:paraId="7CEF3997" w14:textId="77777777" w:rsidTr="004F0A8F">
        <w:trPr>
          <w:trHeight w:val="435"/>
        </w:trPr>
        <w:tc>
          <w:tcPr>
            <w:tcW w:w="1282" w:type="pct"/>
            <w:shd w:val="clear" w:color="auto" w:fill="E6E6E6"/>
          </w:tcPr>
          <w:p w14:paraId="2FEF7399" w14:textId="396E7AB8" w:rsidR="00BD010E" w:rsidRDefault="00BD010E" w:rsidP="00C560CF">
            <w:pPr>
              <w:pStyle w:val="APVMATableHead"/>
              <w:keepNext w:val="0"/>
              <w:keepLines w:val="0"/>
              <w:spacing w:before="120"/>
            </w:pPr>
            <w:r>
              <w:lastRenderedPageBreak/>
              <w:t>thermal stability:</w:t>
            </w:r>
          </w:p>
        </w:tc>
        <w:tc>
          <w:tcPr>
            <w:tcW w:w="3718" w:type="pct"/>
          </w:tcPr>
          <w:p w14:paraId="10328399" w14:textId="65DF9A38" w:rsidR="00BD010E" w:rsidRDefault="00BD010E" w:rsidP="00C560CF">
            <w:pPr>
              <w:pStyle w:val="APVMATableText"/>
              <w:rPr>
                <w:noProof/>
                <w:lang w:eastAsia="en-AU"/>
              </w:rPr>
            </w:pPr>
            <w:r w:rsidRPr="00E46821">
              <w:rPr>
                <w:color w:val="000000" w:themeColor="text1"/>
              </w:rPr>
              <w:t>No exothermic decomposition up to 500 °C</w:t>
            </w:r>
          </w:p>
        </w:tc>
      </w:tr>
      <w:tr w:rsidR="00BD010E" w14:paraId="7A8F8205" w14:textId="77777777" w:rsidTr="004F0A8F">
        <w:trPr>
          <w:trHeight w:val="435"/>
        </w:trPr>
        <w:tc>
          <w:tcPr>
            <w:tcW w:w="1282" w:type="pct"/>
            <w:shd w:val="clear" w:color="auto" w:fill="E6E6E6"/>
          </w:tcPr>
          <w:p w14:paraId="099BC280" w14:textId="23B45385" w:rsidR="00BD010E" w:rsidRDefault="00BD010E" w:rsidP="00C560CF">
            <w:pPr>
              <w:pStyle w:val="APVMATableHead"/>
              <w:keepNext w:val="0"/>
              <w:keepLines w:val="0"/>
              <w:spacing w:before="120"/>
            </w:pPr>
            <w:r>
              <w:t>FLASH POINT:</w:t>
            </w:r>
          </w:p>
        </w:tc>
        <w:tc>
          <w:tcPr>
            <w:tcW w:w="3718" w:type="pct"/>
          </w:tcPr>
          <w:p w14:paraId="3781686A" w14:textId="4E2C4097" w:rsidR="00BD010E" w:rsidRDefault="00BD010E" w:rsidP="00C560CF">
            <w:pPr>
              <w:pStyle w:val="APVMATableText"/>
              <w:rPr>
                <w:noProof/>
                <w:lang w:eastAsia="en-AU"/>
              </w:rPr>
            </w:pPr>
            <w:r w:rsidRPr="0090563F">
              <w:rPr>
                <w:color w:val="000000" w:themeColor="text1"/>
              </w:rPr>
              <w:t>&gt;88 °C</w:t>
            </w:r>
          </w:p>
        </w:tc>
      </w:tr>
      <w:tr w:rsidR="00BD010E" w14:paraId="24FB8C03" w14:textId="77777777" w:rsidTr="004F0A8F">
        <w:trPr>
          <w:trHeight w:val="435"/>
        </w:trPr>
        <w:tc>
          <w:tcPr>
            <w:tcW w:w="1282" w:type="pct"/>
            <w:shd w:val="clear" w:color="auto" w:fill="E6E6E6"/>
          </w:tcPr>
          <w:p w14:paraId="74CEA9C4" w14:textId="6765A748" w:rsidR="00BD010E" w:rsidRDefault="00BD010E" w:rsidP="00C560CF">
            <w:pPr>
              <w:pStyle w:val="APVMATableHead"/>
              <w:keepNext w:val="0"/>
              <w:keepLines w:val="0"/>
              <w:spacing w:before="120"/>
            </w:pPr>
            <w:r>
              <w:t>AUTO-FLAMMABILITY:</w:t>
            </w:r>
          </w:p>
        </w:tc>
        <w:tc>
          <w:tcPr>
            <w:tcW w:w="3718" w:type="pct"/>
          </w:tcPr>
          <w:p w14:paraId="3753CD66" w14:textId="12B6D06D" w:rsidR="00BD010E" w:rsidRDefault="00BD010E" w:rsidP="00C560CF">
            <w:pPr>
              <w:pStyle w:val="APVMATableText"/>
              <w:rPr>
                <w:noProof/>
                <w:lang w:eastAsia="en-AU"/>
              </w:rPr>
            </w:pPr>
            <w:r w:rsidRPr="0090563F">
              <w:rPr>
                <w:color w:val="000000" w:themeColor="text1"/>
              </w:rPr>
              <w:t>490 °C</w:t>
            </w:r>
          </w:p>
        </w:tc>
      </w:tr>
      <w:tr w:rsidR="00BD010E" w14:paraId="38D954DA" w14:textId="77777777" w:rsidTr="004F0A8F">
        <w:trPr>
          <w:trHeight w:val="435"/>
        </w:trPr>
        <w:tc>
          <w:tcPr>
            <w:tcW w:w="1282" w:type="pct"/>
            <w:shd w:val="clear" w:color="auto" w:fill="E6E6E6"/>
          </w:tcPr>
          <w:p w14:paraId="1E729E42" w14:textId="4E99BECF" w:rsidR="00BD010E" w:rsidRDefault="00BD010E" w:rsidP="00C560CF">
            <w:pPr>
              <w:pStyle w:val="APVMATableHead"/>
              <w:keepNext w:val="0"/>
              <w:keepLines w:val="0"/>
              <w:spacing w:before="120"/>
            </w:pPr>
            <w:r>
              <w:t>freezing point:</w:t>
            </w:r>
          </w:p>
        </w:tc>
        <w:tc>
          <w:tcPr>
            <w:tcW w:w="3718" w:type="pct"/>
          </w:tcPr>
          <w:p w14:paraId="2E2E149B" w14:textId="0A66AAD6" w:rsidR="00BD010E" w:rsidRDefault="00BD010E" w:rsidP="00C560CF">
            <w:pPr>
              <w:pStyle w:val="APVMATableText"/>
              <w:rPr>
                <w:noProof/>
                <w:lang w:eastAsia="en-AU"/>
              </w:rPr>
            </w:pPr>
            <w:r>
              <w:rPr>
                <w:color w:val="000000" w:themeColor="text1"/>
              </w:rPr>
              <w:t xml:space="preserve">-5.6 </w:t>
            </w:r>
            <w:r w:rsidRPr="0090563F">
              <w:rPr>
                <w:color w:val="000000" w:themeColor="text1"/>
              </w:rPr>
              <w:t>°C</w:t>
            </w:r>
          </w:p>
        </w:tc>
      </w:tr>
      <w:tr w:rsidR="00BD010E" w14:paraId="7A0ACB79" w14:textId="77777777" w:rsidTr="004F0A8F">
        <w:trPr>
          <w:trHeight w:val="435"/>
        </w:trPr>
        <w:tc>
          <w:tcPr>
            <w:tcW w:w="1282" w:type="pct"/>
            <w:shd w:val="clear" w:color="auto" w:fill="E6E6E6"/>
          </w:tcPr>
          <w:p w14:paraId="27358B32" w14:textId="787BD223" w:rsidR="00BD010E" w:rsidRDefault="00BD010E" w:rsidP="00C560CF">
            <w:pPr>
              <w:pStyle w:val="APVMATableHead"/>
              <w:keepNext w:val="0"/>
              <w:keepLines w:val="0"/>
              <w:spacing w:before="120"/>
            </w:pPr>
            <w:r>
              <w:t>CORROSIVE HAZARD:</w:t>
            </w:r>
          </w:p>
        </w:tc>
        <w:tc>
          <w:tcPr>
            <w:tcW w:w="3718" w:type="pct"/>
          </w:tcPr>
          <w:p w14:paraId="4C29C8D7" w14:textId="1FB480ED" w:rsidR="00BD010E" w:rsidRDefault="00BD010E" w:rsidP="00C560CF">
            <w:pPr>
              <w:pStyle w:val="APVMATableText"/>
              <w:rPr>
                <w:noProof/>
                <w:lang w:eastAsia="en-AU"/>
              </w:rPr>
            </w:pPr>
            <w:r w:rsidRPr="0090563F">
              <w:rPr>
                <w:color w:val="000000" w:themeColor="text1"/>
              </w:rPr>
              <w:t xml:space="preserve">Not corrosive </w:t>
            </w:r>
            <w:r>
              <w:rPr>
                <w:color w:val="000000" w:themeColor="text1"/>
              </w:rPr>
              <w:t>to</w:t>
            </w:r>
            <w:r w:rsidRPr="0090563F">
              <w:rPr>
                <w:color w:val="000000" w:themeColor="text1"/>
              </w:rPr>
              <w:t xml:space="preserve"> COEX </w:t>
            </w:r>
            <w:r w:rsidRPr="0090563F">
              <w:rPr>
                <w:noProof/>
                <w:color w:val="000000" w:themeColor="text1"/>
                <w:lang w:eastAsia="en-AU"/>
              </w:rPr>
              <w:t>(HDPE with barrier) containers</w:t>
            </w:r>
          </w:p>
        </w:tc>
      </w:tr>
      <w:tr w:rsidR="00BD010E" w14:paraId="7F0186F2" w14:textId="77777777" w:rsidTr="004F0A8F">
        <w:trPr>
          <w:trHeight w:val="435"/>
        </w:trPr>
        <w:tc>
          <w:tcPr>
            <w:tcW w:w="1282" w:type="pct"/>
            <w:shd w:val="clear" w:color="auto" w:fill="E6E6E6"/>
          </w:tcPr>
          <w:p w14:paraId="5C005D91" w14:textId="54C28E16" w:rsidR="00BD010E" w:rsidRDefault="00BD010E" w:rsidP="00C560CF">
            <w:pPr>
              <w:pStyle w:val="APVMATableHead"/>
              <w:keepNext w:val="0"/>
              <w:keepLines w:val="0"/>
              <w:spacing w:before="120"/>
            </w:pPr>
            <w:r>
              <w:t>dangerous goods classification:</w:t>
            </w:r>
          </w:p>
        </w:tc>
        <w:tc>
          <w:tcPr>
            <w:tcW w:w="3718" w:type="pct"/>
          </w:tcPr>
          <w:p w14:paraId="15126D8D" w14:textId="6AC2CBE0" w:rsidR="00BD010E" w:rsidRDefault="00BD010E" w:rsidP="00C560CF">
            <w:pPr>
              <w:pStyle w:val="APVMATableText"/>
              <w:rPr>
                <w:noProof/>
                <w:lang w:eastAsia="en-AU"/>
              </w:rPr>
            </w:pPr>
            <w:r>
              <w:rPr>
                <w:color w:val="000000" w:themeColor="text1"/>
              </w:rPr>
              <w:t>Not classified as a dangerous good</w:t>
            </w:r>
          </w:p>
        </w:tc>
      </w:tr>
      <w:tr w:rsidR="00BD010E" w14:paraId="264A043D" w14:textId="77777777" w:rsidTr="004F0A8F">
        <w:trPr>
          <w:trHeight w:val="435"/>
        </w:trPr>
        <w:tc>
          <w:tcPr>
            <w:tcW w:w="1282" w:type="pct"/>
            <w:shd w:val="clear" w:color="auto" w:fill="E6E6E6"/>
          </w:tcPr>
          <w:p w14:paraId="752C34AC" w14:textId="7875BCA8" w:rsidR="00BD010E" w:rsidRDefault="00BD010E" w:rsidP="00C560CF">
            <w:pPr>
              <w:pStyle w:val="APVMATableHead"/>
              <w:keepNext w:val="0"/>
              <w:keepLines w:val="0"/>
              <w:spacing w:before="120"/>
            </w:pPr>
            <w:r>
              <w:t>Pack sizes:</w:t>
            </w:r>
          </w:p>
        </w:tc>
        <w:tc>
          <w:tcPr>
            <w:tcW w:w="3718" w:type="pct"/>
          </w:tcPr>
          <w:p w14:paraId="3BEDA119" w14:textId="0DD447FF" w:rsidR="00BD010E" w:rsidRDefault="00BD010E" w:rsidP="00C560CF">
            <w:pPr>
              <w:pStyle w:val="APVMATableText"/>
              <w:rPr>
                <w:noProof/>
                <w:lang w:eastAsia="en-AU"/>
              </w:rPr>
            </w:pPr>
            <w:r w:rsidRPr="0090563F">
              <w:rPr>
                <w:color w:val="000000" w:themeColor="text1"/>
              </w:rPr>
              <w:t>5</w:t>
            </w:r>
            <w:r w:rsidR="00AA2707">
              <w:rPr>
                <w:color w:val="000000" w:themeColor="text1"/>
              </w:rPr>
              <w:t>–</w:t>
            </w:r>
            <w:r w:rsidRPr="0090563F">
              <w:rPr>
                <w:color w:val="000000" w:themeColor="text1"/>
              </w:rPr>
              <w:t>1000 L</w:t>
            </w:r>
          </w:p>
        </w:tc>
      </w:tr>
      <w:tr w:rsidR="00BD010E" w14:paraId="49000C65" w14:textId="77777777" w:rsidTr="004F0A8F">
        <w:trPr>
          <w:trHeight w:val="435"/>
        </w:trPr>
        <w:tc>
          <w:tcPr>
            <w:tcW w:w="1282" w:type="pct"/>
            <w:shd w:val="clear" w:color="auto" w:fill="E6E6E6"/>
          </w:tcPr>
          <w:p w14:paraId="46BC844E" w14:textId="680C96E3" w:rsidR="00BD010E" w:rsidRDefault="00BD010E" w:rsidP="00BD010E">
            <w:pPr>
              <w:pStyle w:val="APVMATableHead"/>
              <w:spacing w:before="120"/>
            </w:pPr>
            <w:r>
              <w:t>packaging material:</w:t>
            </w:r>
          </w:p>
        </w:tc>
        <w:tc>
          <w:tcPr>
            <w:tcW w:w="3718" w:type="pct"/>
          </w:tcPr>
          <w:p w14:paraId="492C7136" w14:textId="7C754EA8" w:rsidR="00BD010E" w:rsidRDefault="00BD010E" w:rsidP="00BD010E">
            <w:pPr>
              <w:pStyle w:val="APVMATableText"/>
              <w:rPr>
                <w:noProof/>
                <w:lang w:eastAsia="en-AU"/>
              </w:rPr>
            </w:pPr>
            <w:r w:rsidRPr="007B14E7">
              <w:rPr>
                <w:color w:val="000000" w:themeColor="text1"/>
              </w:rPr>
              <w:t>COEX (PE/PA) materials (HDPE with barrier)</w:t>
            </w:r>
            <w:r>
              <w:rPr>
                <w:color w:val="000000" w:themeColor="text1"/>
              </w:rPr>
              <w:t xml:space="preserve"> or fluorinated HDPE containers</w:t>
            </w:r>
          </w:p>
        </w:tc>
      </w:tr>
      <w:tr w:rsidR="00BD010E" w14:paraId="59A96F52" w14:textId="77777777" w:rsidTr="004F0A8F">
        <w:trPr>
          <w:trHeight w:val="435"/>
        </w:trPr>
        <w:tc>
          <w:tcPr>
            <w:tcW w:w="1282" w:type="pct"/>
            <w:shd w:val="clear" w:color="auto" w:fill="E6E6E6"/>
          </w:tcPr>
          <w:p w14:paraId="0739C26E" w14:textId="54209041" w:rsidR="00BD010E" w:rsidRDefault="00BD010E" w:rsidP="00BD010E">
            <w:pPr>
              <w:pStyle w:val="APVMATableHead"/>
              <w:spacing w:before="120"/>
            </w:pPr>
            <w:r>
              <w:t>Storage stability:</w:t>
            </w:r>
          </w:p>
        </w:tc>
        <w:tc>
          <w:tcPr>
            <w:tcW w:w="3718" w:type="pct"/>
          </w:tcPr>
          <w:p w14:paraId="4DE4B2BA" w14:textId="3B57906C" w:rsidR="00BD010E" w:rsidRDefault="00BD010E" w:rsidP="00BD010E">
            <w:pPr>
              <w:pStyle w:val="APVMATableText"/>
              <w:rPr>
                <w:noProof/>
                <w:lang w:eastAsia="en-AU"/>
              </w:rPr>
            </w:pPr>
            <w:r w:rsidRPr="00094847">
              <w:rPr>
                <w:noProof/>
                <w:lang w:eastAsia="en-AU"/>
              </w:rPr>
              <w:t xml:space="preserve">The product </w:t>
            </w:r>
            <w:r>
              <w:rPr>
                <w:noProof/>
                <w:lang w:eastAsia="en-AU"/>
              </w:rPr>
              <w:t>is expected to</w:t>
            </w:r>
            <w:r w:rsidRPr="00094847">
              <w:rPr>
                <w:noProof/>
                <w:lang w:eastAsia="en-AU"/>
              </w:rPr>
              <w:t xml:space="preserve"> remain within specifications for at least 2 years </w:t>
            </w:r>
            <w:r>
              <w:rPr>
                <w:noProof/>
                <w:lang w:eastAsia="en-AU"/>
              </w:rPr>
              <w:t xml:space="preserve">when stored </w:t>
            </w:r>
            <w:r w:rsidRPr="00094847">
              <w:rPr>
                <w:noProof/>
                <w:lang w:eastAsia="en-AU"/>
              </w:rPr>
              <w:t>under normal conditions</w:t>
            </w:r>
            <w:r>
              <w:rPr>
                <w:noProof/>
                <w:lang w:eastAsia="en-AU"/>
              </w:rPr>
              <w:t xml:space="preserve"> in COEX </w:t>
            </w:r>
            <w:r w:rsidRPr="00094847">
              <w:rPr>
                <w:noProof/>
                <w:lang w:eastAsia="en-AU"/>
              </w:rPr>
              <w:t xml:space="preserve">(HDPE with barrier) </w:t>
            </w:r>
            <w:r>
              <w:rPr>
                <w:noProof/>
                <w:lang w:eastAsia="en-AU"/>
              </w:rPr>
              <w:t>and fluorinated HDPE containers</w:t>
            </w:r>
          </w:p>
        </w:tc>
      </w:tr>
    </w:tbl>
    <w:p w14:paraId="0CCAFB10" w14:textId="18532244" w:rsidR="00383673" w:rsidRDefault="004C7182" w:rsidP="00383673">
      <w:pPr>
        <w:pStyle w:val="Heading2"/>
      </w:pPr>
      <w:bookmarkStart w:id="19" w:name="_Toc6472822"/>
      <w:r>
        <w:t>Recommendations</w:t>
      </w:r>
      <w:bookmarkEnd w:id="19"/>
    </w:p>
    <w:p w14:paraId="39397CC2" w14:textId="1B2D3A1A" w:rsidR="00BD010E" w:rsidRDefault="00BD010E" w:rsidP="00BD010E">
      <w:pPr>
        <w:pStyle w:val="APVMAText"/>
        <w:rPr>
          <w:szCs w:val="20"/>
        </w:rPr>
      </w:pPr>
      <w:r w:rsidRPr="00AF1470">
        <w:t xml:space="preserve">The </w:t>
      </w:r>
      <w:r>
        <w:t>APVMA Chemistry section h</w:t>
      </w:r>
      <w:r w:rsidRPr="00AF1470">
        <w:t xml:space="preserve">as evaluated the chemistry of </w:t>
      </w:r>
      <w:r>
        <w:t xml:space="preserve">the </w:t>
      </w:r>
      <w:r w:rsidRPr="00AF1470">
        <w:t xml:space="preserve">active constituent </w:t>
      </w:r>
      <w:proofErr w:type="spellStart"/>
      <w:r>
        <w:rPr>
          <w:szCs w:val="20"/>
        </w:rPr>
        <w:t>topramezone</w:t>
      </w:r>
      <w:proofErr w:type="spellEnd"/>
      <w:r>
        <w:rPr>
          <w:szCs w:val="20"/>
        </w:rPr>
        <w:t xml:space="preserve"> </w:t>
      </w:r>
      <w:r>
        <w:t>and associated product Frequency Herbicide,</w:t>
      </w:r>
      <w:r w:rsidRPr="00AF1470">
        <w:t xml:space="preserve"> </w:t>
      </w:r>
      <w:r>
        <w:t xml:space="preserve">including the </w:t>
      </w:r>
      <w:r w:rsidRPr="00AF1470">
        <w:t xml:space="preserve">manufacturing process, quality control procedures, </w:t>
      </w:r>
      <w:r>
        <w:t xml:space="preserve">stability, </w:t>
      </w:r>
      <w:r w:rsidRPr="00AF1470">
        <w:t>batch analysis results and analytical methods</w:t>
      </w:r>
      <w:r>
        <w:t>,</w:t>
      </w:r>
      <w:r w:rsidRPr="00AF1470">
        <w:t xml:space="preserve"> and found them to be acceptable.</w:t>
      </w:r>
      <w:r>
        <w:t xml:space="preserve"> </w:t>
      </w:r>
      <w:r>
        <w:rPr>
          <w:szCs w:val="20"/>
        </w:rPr>
        <w:t>The available storage stability data indicate that the formulated product is expected</w:t>
      </w:r>
      <w:r w:rsidR="000E3142">
        <w:rPr>
          <w:szCs w:val="20"/>
        </w:rPr>
        <w:t xml:space="preserve"> to remain stable for at least two</w:t>
      </w:r>
      <w:r>
        <w:rPr>
          <w:szCs w:val="20"/>
        </w:rPr>
        <w:t xml:space="preserve"> years when stored under normal conditions.</w:t>
      </w:r>
    </w:p>
    <w:p w14:paraId="6D73F17F" w14:textId="77777777" w:rsidR="00BD010E" w:rsidRDefault="00BD010E" w:rsidP="00BD010E">
      <w:pPr>
        <w:pStyle w:val="APVMAText"/>
      </w:pPr>
      <w:r>
        <w:rPr>
          <w:szCs w:val="20"/>
        </w:rPr>
        <w:t xml:space="preserve">Based on a review of the chemistry and manufacturing details, the registration of </w:t>
      </w:r>
      <w:r>
        <w:t>Frequency Herbicide</w:t>
      </w:r>
      <w:r>
        <w:rPr>
          <w:szCs w:val="20"/>
        </w:rPr>
        <w:t>, is supported from a chemistry perspective.</w:t>
      </w:r>
    </w:p>
    <w:p w14:paraId="68A8AC47" w14:textId="77777777" w:rsidR="00383673" w:rsidRDefault="00383673">
      <w:pPr>
        <w:pStyle w:val="APVMAText"/>
        <w:sectPr w:rsidR="00383673">
          <w:headerReference w:type="default" r:id="rId34"/>
          <w:pgSz w:w="11906" w:h="16838" w:code="9"/>
          <w:pgMar w:top="2835" w:right="1134" w:bottom="1134" w:left="1134" w:header="1701" w:footer="680" w:gutter="0"/>
          <w:cols w:space="708"/>
          <w:docGrid w:linePitch="360"/>
        </w:sectPr>
      </w:pPr>
    </w:p>
    <w:p w14:paraId="29E607B8" w14:textId="77777777" w:rsidR="00F27E0D" w:rsidRDefault="00F27E0D">
      <w:pPr>
        <w:pStyle w:val="Heading1"/>
      </w:pPr>
      <w:bookmarkStart w:id="20" w:name="_Toc6472823"/>
      <w:r>
        <w:lastRenderedPageBreak/>
        <w:t>Toxicological assessment</w:t>
      </w:r>
      <w:bookmarkEnd w:id="20"/>
    </w:p>
    <w:p w14:paraId="174291F6" w14:textId="30D4D0A4" w:rsidR="00F27E0D" w:rsidRDefault="00C876F1" w:rsidP="00BD010E">
      <w:pPr>
        <w:pStyle w:val="Heading2"/>
      </w:pPr>
      <w:bookmarkStart w:id="21" w:name="_Toc6472824"/>
      <w:r>
        <w:t>Evaluation of toxicology</w:t>
      </w:r>
      <w:bookmarkEnd w:id="21"/>
    </w:p>
    <w:p w14:paraId="437BF61B" w14:textId="77777777" w:rsidR="00BD010E" w:rsidRDefault="00BD010E" w:rsidP="00BD010E">
      <w:pPr>
        <w:pStyle w:val="APVMAText"/>
      </w:pPr>
      <w:r>
        <w:t xml:space="preserve">The toxicological data submitted on the active </w:t>
      </w:r>
      <w:proofErr w:type="spellStart"/>
      <w:r>
        <w:t>topramezone</w:t>
      </w:r>
      <w:proofErr w:type="spellEnd"/>
      <w:r>
        <w:t xml:space="preserve"> were considered sufficient to determine its toxicology profile and to characterise the risk to humans. The data included metabolism studies, acute toxicity studies (active constituent and product), short-term toxicity studies (oral and dermal), long-term oral toxicity studies (including carcinogenicity), reproductive and developmental toxicity studies, genotoxicity studies, neurotoxicity studies (acute and repeat-dose) and studies on metabolites and mode-of-action. Data were also submitted on the proposed product, Frequency Herbicide, containing </w:t>
      </w:r>
      <w:proofErr w:type="spellStart"/>
      <w:r>
        <w:t>topramezone</w:t>
      </w:r>
      <w:proofErr w:type="spellEnd"/>
      <w:r>
        <w:t xml:space="preserve"> and </w:t>
      </w:r>
      <w:proofErr w:type="spellStart"/>
      <w:r>
        <w:t>cloquintocet-mexyl</w:t>
      </w:r>
      <w:proofErr w:type="spellEnd"/>
      <w:r>
        <w:t>.</w:t>
      </w:r>
    </w:p>
    <w:p w14:paraId="693FE9EA" w14:textId="77777777" w:rsidR="0015638A" w:rsidRPr="00C876F1" w:rsidRDefault="0015638A" w:rsidP="0015638A">
      <w:pPr>
        <w:pStyle w:val="APVMAText"/>
      </w:pPr>
      <w:r>
        <w:t>In interpreting the data, it should be noted that toxicity tests generally use doses that are high compared with likely human exposures. The use of high doses increases the likelihood that potentially significant toxic effects will be identified. Findings of adverse effects in any one species do not necessarily indicate such effects might be generated in humans. From a conservative risk assessment perspective however, adverse findings in animal species are assumed to represent potential effects in humans, unless convincing evidence of species specificity is available. Where possible, considerations of the species specific mechanisms of adverse reactions weigh heavily in the extrapolation of animal data to likely human hazard. Equally, consideration of the risks to human health must take into account the likely human exposure levels.</w:t>
      </w:r>
    </w:p>
    <w:p w14:paraId="72129448" w14:textId="77777777" w:rsidR="00C876F1" w:rsidRDefault="00C876F1" w:rsidP="00C876F1">
      <w:pPr>
        <w:pStyle w:val="Heading3"/>
      </w:pPr>
      <w:r>
        <w:t>Chemical class</w:t>
      </w:r>
    </w:p>
    <w:p w14:paraId="1615194E" w14:textId="77777777" w:rsidR="0015638A" w:rsidRDefault="0015638A" w:rsidP="0015638A">
      <w:pPr>
        <w:pStyle w:val="APVMAText"/>
      </w:pPr>
      <w:proofErr w:type="spellStart"/>
      <w:r>
        <w:t>Topramezone</w:t>
      </w:r>
      <w:proofErr w:type="spellEnd"/>
      <w:r>
        <w:t xml:space="preserve"> is a member of the class of herbicides that inhibit the enzyme 4-hydroxyphenylpyruvate dioxygenase (4 HPPD), the second enzyme in the tyrosine catabolic pathway. In plants, inhibitors of 4 HPPD prevent carotenoid pigment formation, which in turn leads to chlorophyll degradation. In mammals, inhibition of 4 HPPD leads to increased serum levels of tyrosine, which may in turn have overt biological effects.</w:t>
      </w:r>
    </w:p>
    <w:p w14:paraId="42788DF1" w14:textId="77777777" w:rsidR="0015638A" w:rsidRPr="00C876F1" w:rsidRDefault="0015638A" w:rsidP="0015638A">
      <w:pPr>
        <w:pStyle w:val="APVMAText"/>
      </w:pPr>
      <w:proofErr w:type="spellStart"/>
      <w:r>
        <w:t>Cloquintocet-mexyl</w:t>
      </w:r>
      <w:proofErr w:type="spellEnd"/>
      <w:r>
        <w:t xml:space="preserve"> acts a </w:t>
      </w:r>
      <w:proofErr w:type="spellStart"/>
      <w:r>
        <w:t>safener</w:t>
      </w:r>
      <w:proofErr w:type="spellEnd"/>
      <w:r>
        <w:t>, to prevent the phytotoxic action of an accompanying herbicide with which it is mixed. It has not been classified in a chemical class.</w:t>
      </w:r>
    </w:p>
    <w:p w14:paraId="2AFD5A8E" w14:textId="77777777" w:rsidR="0090196F" w:rsidRDefault="0090196F" w:rsidP="0090196F">
      <w:pPr>
        <w:pStyle w:val="Heading3"/>
      </w:pPr>
      <w:r>
        <w:t>Pharmacokinetics</w:t>
      </w:r>
    </w:p>
    <w:p w14:paraId="5B6EDCEF" w14:textId="166901F9" w:rsidR="0015638A" w:rsidRDefault="0015638A" w:rsidP="0015638A">
      <w:pPr>
        <w:pStyle w:val="APVMAText"/>
      </w:pPr>
      <w:r>
        <w:t xml:space="preserve">In rats, </w:t>
      </w:r>
      <w:proofErr w:type="spellStart"/>
      <w:r w:rsidR="000E3142">
        <w:t>topramezone</w:t>
      </w:r>
      <w:proofErr w:type="spellEnd"/>
      <w:r w:rsidR="000E3142">
        <w:t xml:space="preserve"> was rapidly (</w:t>
      </w:r>
      <w:proofErr w:type="spellStart"/>
      <w:r w:rsidR="000E3142">
        <w:t>Tmax</w:t>
      </w:r>
      <w:proofErr w:type="spellEnd"/>
      <w:r w:rsidR="000E3142">
        <w:t>: one</w:t>
      </w:r>
      <w:r>
        <w:t xml:space="preserve"> h) but only moderately (17–49</w:t>
      </w:r>
      <w:r w:rsidR="00EA2FEF">
        <w:t xml:space="preserve"> per cent</w:t>
      </w:r>
      <w:r>
        <w:t xml:space="preserve">) absorbed by the oral route. Tissue distribution of radioactivity was wide following oral dosing with </w:t>
      </w:r>
      <w:r w:rsidRPr="007B3550">
        <w:rPr>
          <w:vertAlign w:val="superscript"/>
        </w:rPr>
        <w:t>14</w:t>
      </w:r>
      <w:r>
        <w:t xml:space="preserve">C labelled </w:t>
      </w:r>
      <w:proofErr w:type="spellStart"/>
      <w:r>
        <w:t>topramezone</w:t>
      </w:r>
      <w:proofErr w:type="spellEnd"/>
      <w:r>
        <w:t xml:space="preserve">, with the highest concentrations found in organs involved in absorption/excretion (stomach, gut, kidney and liver), and the thyroid, ovaries, uterus and pancreas. The kidney, liver, thyroid and pancreas were target organs for toxicity in this species (rat). Following oral dosing, </w:t>
      </w:r>
      <w:proofErr w:type="spellStart"/>
      <w:r>
        <w:t>topramezone</w:t>
      </w:r>
      <w:proofErr w:type="spellEnd"/>
      <w:r>
        <w:t xml:space="preserve"> underwent minimal-moderate metabolism in rats and rabbits, with metabolism involving hydroxylation of the </w:t>
      </w:r>
      <w:proofErr w:type="spellStart"/>
      <w:r>
        <w:t>isoxazoline</w:t>
      </w:r>
      <w:proofErr w:type="spellEnd"/>
      <w:r>
        <w:t xml:space="preserve"> ring, followed by ring opening and removal of acetic acid; and hydrolysis at the </w:t>
      </w:r>
      <w:proofErr w:type="spellStart"/>
      <w:r>
        <w:t>methanone</w:t>
      </w:r>
      <w:proofErr w:type="spellEnd"/>
      <w:r>
        <w:t xml:space="preserve"> bridge. In rabbits only, one of the hydrolysis products underwent sulfation. In rats, elimination of test item-related material was primarily via the faeces (73‒92</w:t>
      </w:r>
      <w:r w:rsidR="00EA2FEF">
        <w:t xml:space="preserve"> per cent</w:t>
      </w:r>
      <w:r>
        <w:t>; depending on dose), while both faecal and urinary routes were prominent excretion routes of test item-re</w:t>
      </w:r>
      <w:r w:rsidR="00EA2FEF">
        <w:t>lated material in rabbits (42.5 per cent</w:t>
      </w:r>
      <w:r>
        <w:t xml:space="preserve"> and 51.5</w:t>
      </w:r>
      <w:r w:rsidR="00EA2FEF">
        <w:t xml:space="preserve"> per cent</w:t>
      </w:r>
      <w:r>
        <w:t>, respectively). Elimination was rapid in both species with the majority of test item-related material excreted in the first 24</w:t>
      </w:r>
      <w:r w:rsidR="00AA2707">
        <w:t>–</w:t>
      </w:r>
      <w:r>
        <w:t>48 h. Less than 1.3</w:t>
      </w:r>
      <w:r w:rsidR="00EA2FEF">
        <w:t xml:space="preserve"> per cent</w:t>
      </w:r>
      <w:r>
        <w:t xml:space="preserve"> of the dose remained in the carcass after 168 h. </w:t>
      </w:r>
      <w:proofErr w:type="spellStart"/>
      <w:r>
        <w:t>Topramezone</w:t>
      </w:r>
      <w:proofErr w:type="spellEnd"/>
      <w:r>
        <w:t xml:space="preserve"> was not considered to be </w:t>
      </w:r>
      <w:proofErr w:type="spellStart"/>
      <w:r>
        <w:lastRenderedPageBreak/>
        <w:t>bioaccumulative</w:t>
      </w:r>
      <w:proofErr w:type="spellEnd"/>
      <w:r>
        <w:t>. Biliary excretion</w:t>
      </w:r>
      <w:r w:rsidRPr="0015638A">
        <w:t xml:space="preserve"> </w:t>
      </w:r>
      <w:r w:rsidR="00EA2FEF">
        <w:t>accounting for between nine and 30 per cent</w:t>
      </w:r>
      <w:r>
        <w:t xml:space="preserve"> of the administered dose (decreasing with dose) was demonstrated in rats.</w:t>
      </w:r>
    </w:p>
    <w:p w14:paraId="471E9743" w14:textId="77777777" w:rsidR="0015638A" w:rsidRPr="00C876F1" w:rsidRDefault="0015638A" w:rsidP="0015638A">
      <w:pPr>
        <w:pStyle w:val="APVMAText"/>
      </w:pPr>
      <w:r>
        <w:t xml:space="preserve">No dermal absorption studies were submitted. In a 28 day dermal toxicity study in rats, an increase in urine ketone levels, a pharmacological effect of the test item, was observed at all tested doses (≥100 mg/kg </w:t>
      </w:r>
      <w:proofErr w:type="spellStart"/>
      <w:r>
        <w:t>bw</w:t>
      </w:r>
      <w:proofErr w:type="spellEnd"/>
      <w:r>
        <w:t>/d), suggesting a significant amount of the test item was absorbed via the dermal route.</w:t>
      </w:r>
    </w:p>
    <w:p w14:paraId="77290C66" w14:textId="77777777" w:rsidR="0090196F" w:rsidRDefault="0090196F" w:rsidP="0090196F">
      <w:pPr>
        <w:pStyle w:val="Heading3"/>
      </w:pPr>
      <w:r>
        <w:t>Acute toxicity (active constituent)</w:t>
      </w:r>
    </w:p>
    <w:p w14:paraId="0BDD96A1" w14:textId="77777777" w:rsidR="0015638A" w:rsidRDefault="0015638A" w:rsidP="0015638A">
      <w:pPr>
        <w:pStyle w:val="APVMAText"/>
      </w:pPr>
      <w:proofErr w:type="spellStart"/>
      <w:r w:rsidRPr="007B3550">
        <w:t>Topramezone</w:t>
      </w:r>
      <w:proofErr w:type="spellEnd"/>
      <w:r w:rsidRPr="007B3550">
        <w:t xml:space="preserve"> had low acute oral (LD</w:t>
      </w:r>
      <w:r w:rsidRPr="007B3550">
        <w:rPr>
          <w:vertAlign w:val="subscript"/>
        </w:rPr>
        <w:t>50</w:t>
      </w:r>
      <w:r w:rsidRPr="007B3550">
        <w:t xml:space="preserve"> &gt;2000 mg/kg </w:t>
      </w:r>
      <w:proofErr w:type="spellStart"/>
      <w:proofErr w:type="gramStart"/>
      <w:r w:rsidRPr="007B3550">
        <w:t>bw</w:t>
      </w:r>
      <w:proofErr w:type="spellEnd"/>
      <w:proofErr w:type="gramEnd"/>
      <w:r w:rsidRPr="007B3550">
        <w:t>), dermal (LD</w:t>
      </w:r>
      <w:r w:rsidRPr="007B3550">
        <w:rPr>
          <w:vertAlign w:val="subscript"/>
        </w:rPr>
        <w:t>50</w:t>
      </w:r>
      <w:r w:rsidRPr="007B3550">
        <w:t xml:space="preserve"> &gt;2000 mg/kg </w:t>
      </w:r>
      <w:proofErr w:type="spellStart"/>
      <w:r w:rsidRPr="007B3550">
        <w:t>bw</w:t>
      </w:r>
      <w:proofErr w:type="spellEnd"/>
      <w:r w:rsidRPr="007B3550">
        <w:t>) and inhalational (LC</w:t>
      </w:r>
      <w:r w:rsidRPr="007B3550">
        <w:rPr>
          <w:vertAlign w:val="subscript"/>
        </w:rPr>
        <w:t>50</w:t>
      </w:r>
      <w:r w:rsidRPr="007B3550">
        <w:t xml:space="preserve"> &gt;5050 mg/m</w:t>
      </w:r>
      <w:r w:rsidRPr="007B3550">
        <w:rPr>
          <w:vertAlign w:val="superscript"/>
        </w:rPr>
        <w:t>3</w:t>
      </w:r>
      <w:r w:rsidRPr="007B3550">
        <w:t>) toxicity in rats. The test item was a slight skin and eye irritant in rabbits but was not a skin sensitiser in guinea pigs (Maximisation test).</w:t>
      </w:r>
    </w:p>
    <w:p w14:paraId="7863857B" w14:textId="77777777" w:rsidR="0090196F" w:rsidRPr="002C36C4" w:rsidRDefault="0090196F" w:rsidP="0090196F">
      <w:pPr>
        <w:pStyle w:val="Heading3"/>
      </w:pPr>
      <w:r>
        <w:t>Acute toxicity (product)</w:t>
      </w:r>
    </w:p>
    <w:p w14:paraId="07567238" w14:textId="77777777" w:rsidR="0015638A" w:rsidRPr="00C876F1" w:rsidRDefault="0015638A" w:rsidP="0015638A">
      <w:pPr>
        <w:pStyle w:val="APVMAText"/>
      </w:pPr>
      <w:r>
        <w:t xml:space="preserve">Based on submitted toxicological studies, the formulated product, Frequency Herbicide, containing 60 g/L </w:t>
      </w:r>
      <w:proofErr w:type="spellStart"/>
      <w:r>
        <w:t>topramezone</w:t>
      </w:r>
      <w:proofErr w:type="spellEnd"/>
      <w:r>
        <w:t xml:space="preserve"> and 60 g/L </w:t>
      </w:r>
      <w:proofErr w:type="spellStart"/>
      <w:r>
        <w:t>cloquintocet-mexyl</w:t>
      </w:r>
      <w:proofErr w:type="spellEnd"/>
      <w:r>
        <w:t xml:space="preserve"> has </w:t>
      </w:r>
      <w:r w:rsidRPr="00796988">
        <w:t xml:space="preserve">a very low toxicity via the oral </w:t>
      </w:r>
      <w:r>
        <w:t>(</w:t>
      </w:r>
      <w:r w:rsidRPr="006F522E">
        <w:t>LD</w:t>
      </w:r>
      <w:r w:rsidRPr="006F522E">
        <w:rPr>
          <w:vertAlign w:val="subscript"/>
        </w:rPr>
        <w:t>50</w:t>
      </w:r>
      <w:r>
        <w:t xml:space="preserve"> &gt;2000 mg/kg </w:t>
      </w:r>
      <w:proofErr w:type="spellStart"/>
      <w:r>
        <w:t>bw</w:t>
      </w:r>
      <w:proofErr w:type="spellEnd"/>
      <w:r>
        <w:t xml:space="preserve">) </w:t>
      </w:r>
      <w:r w:rsidRPr="00796988">
        <w:t>route of exposure and is of low toxicity via the dermal</w:t>
      </w:r>
      <w:r>
        <w:t xml:space="preserve"> (</w:t>
      </w:r>
      <w:r w:rsidRPr="006F522E">
        <w:t>LD</w:t>
      </w:r>
      <w:r w:rsidRPr="006F522E">
        <w:rPr>
          <w:vertAlign w:val="subscript"/>
        </w:rPr>
        <w:t>50</w:t>
      </w:r>
      <w:r w:rsidRPr="006F522E">
        <w:t xml:space="preserve"> &gt;</w:t>
      </w:r>
      <w:r>
        <w:t>5</w:t>
      </w:r>
      <w:r w:rsidRPr="006F522E">
        <w:t xml:space="preserve">000 mg/kg </w:t>
      </w:r>
      <w:proofErr w:type="spellStart"/>
      <w:r w:rsidRPr="006F522E">
        <w:t>bw</w:t>
      </w:r>
      <w:proofErr w:type="spellEnd"/>
      <w:r w:rsidRPr="006F522E">
        <w:t>)</w:t>
      </w:r>
      <w:r w:rsidRPr="00796988">
        <w:t xml:space="preserve"> and inhalation </w:t>
      </w:r>
      <w:r>
        <w:t>(LC</w:t>
      </w:r>
      <w:r w:rsidRPr="006F522E">
        <w:rPr>
          <w:vertAlign w:val="subscript"/>
        </w:rPr>
        <w:t>50</w:t>
      </w:r>
      <w:r w:rsidRPr="006F522E">
        <w:t xml:space="preserve"> </w:t>
      </w:r>
      <w:r>
        <w:t>&gt;2835</w:t>
      </w:r>
      <w:r w:rsidRPr="006F522E">
        <w:t xml:space="preserve"> mg/m</w:t>
      </w:r>
      <w:r w:rsidRPr="006F522E">
        <w:rPr>
          <w:vertAlign w:val="superscript"/>
        </w:rPr>
        <w:t>3</w:t>
      </w:r>
      <w:r w:rsidRPr="006F522E">
        <w:t>)</w:t>
      </w:r>
      <w:r>
        <w:t xml:space="preserve"> </w:t>
      </w:r>
      <w:r w:rsidRPr="00796988">
        <w:t>routes</w:t>
      </w:r>
      <w:r>
        <w:t>. T</w:t>
      </w:r>
      <w:r w:rsidRPr="00796988">
        <w:t>he product is moderately irritating to rabbit skin and eyes</w:t>
      </w:r>
      <w:r>
        <w:t>,</w:t>
      </w:r>
      <w:r w:rsidRPr="00796988">
        <w:t xml:space="preserve"> and is a skin sensitiser</w:t>
      </w:r>
      <w:r>
        <w:t xml:space="preserve"> in mice (LLNA)</w:t>
      </w:r>
      <w:r w:rsidRPr="00796988">
        <w:t>.</w:t>
      </w:r>
    </w:p>
    <w:p w14:paraId="5A64B7A9" w14:textId="77777777" w:rsidR="00C876F1" w:rsidRDefault="00C876F1" w:rsidP="00C876F1">
      <w:pPr>
        <w:pStyle w:val="Heading3"/>
      </w:pPr>
      <w:r>
        <w:t>Repeat-dose toxicity</w:t>
      </w:r>
    </w:p>
    <w:p w14:paraId="2B79AC6C" w14:textId="1F1E29C5" w:rsidR="0015638A" w:rsidRPr="007B3550" w:rsidRDefault="0015638A" w:rsidP="0015638A">
      <w:pPr>
        <w:pStyle w:val="APVMAText"/>
      </w:pPr>
      <w:r w:rsidRPr="007B3550">
        <w:t xml:space="preserve">Repeat-dose toxicity studies (excluding carcinogenicity studies) by the oral route were conducted in mice (up to 90 days), rats (up to </w:t>
      </w:r>
      <w:r w:rsidR="00A459D7">
        <w:t>one</w:t>
      </w:r>
      <w:r w:rsidRPr="007B3550">
        <w:t xml:space="preserve"> year) and dogs (up to </w:t>
      </w:r>
      <w:r w:rsidR="00A459D7">
        <w:t>one</w:t>
      </w:r>
      <w:r w:rsidRPr="007B3550">
        <w:t xml:space="preserve"> year). A 28 day dermal toxicity study was also conducted in rats. Serum chemistry (all species) and urinalysis findings (rats and dogs; not assessed in mice) consistent with the pharmacological action of </w:t>
      </w:r>
      <w:proofErr w:type="spellStart"/>
      <w:r w:rsidRPr="007B3550">
        <w:t>topramezone</w:t>
      </w:r>
      <w:proofErr w:type="spellEnd"/>
      <w:r w:rsidRPr="007B3550">
        <w:t xml:space="preserve"> (4-HPPD inhibition) including elevated serum tyrosine levels and increased urinary ketone levels, such as 4-hydroxyphenyl pyruvic acid and other metabolites of tyrosine, were observed. Target organs for toxicity were the liver (mice and rats only), kidney (all species), thyroid gland (rats only), pancreas (rats only) and the eyes (rats only). Rats appeared to be the most sensitive species. The toxicity profile of </w:t>
      </w:r>
      <w:proofErr w:type="spellStart"/>
      <w:r w:rsidRPr="007B3550">
        <w:t>topramezone</w:t>
      </w:r>
      <w:proofErr w:type="spellEnd"/>
      <w:r w:rsidRPr="007B3550">
        <w:t xml:space="preserve"> (in repeat-dose toxicity studies) is similar to other 4-HPPD </w:t>
      </w:r>
      <w:r w:rsidR="00C560CF">
        <w:t xml:space="preserve">inhibitors, such as </w:t>
      </w:r>
      <w:proofErr w:type="spellStart"/>
      <w:r w:rsidR="00C560CF">
        <w:t>mesotrione</w:t>
      </w:r>
      <w:proofErr w:type="spellEnd"/>
      <w:r w:rsidR="00C560CF">
        <w:t>.</w:t>
      </w:r>
    </w:p>
    <w:p w14:paraId="5781D302" w14:textId="77777777" w:rsidR="0015638A" w:rsidRPr="007B3550" w:rsidRDefault="0015638A" w:rsidP="0015638A">
      <w:pPr>
        <w:pStyle w:val="APVMAText"/>
      </w:pPr>
      <w:r w:rsidRPr="007B3550">
        <w:t>In mice and rats, more so in the latter species, an increase in liver weights (absolute and/or relative to body weight), only occasionally with correlative histopathology findings (</w:t>
      </w:r>
      <w:proofErr w:type="spellStart"/>
      <w:r w:rsidRPr="007B3550">
        <w:t>hepatocytic</w:t>
      </w:r>
      <w:proofErr w:type="spellEnd"/>
      <w:r w:rsidRPr="007B3550">
        <w:t xml:space="preserve"> </w:t>
      </w:r>
      <w:proofErr w:type="spellStart"/>
      <w:r w:rsidRPr="007B3550">
        <w:t>centrilobular</w:t>
      </w:r>
      <w:proofErr w:type="spellEnd"/>
      <w:r w:rsidRPr="007B3550">
        <w:t xml:space="preserve"> hypertrophy and </w:t>
      </w:r>
      <w:proofErr w:type="spellStart"/>
      <w:r w:rsidRPr="007B3550">
        <w:t>karyomegaly</w:t>
      </w:r>
      <w:proofErr w:type="spellEnd"/>
      <w:r w:rsidRPr="007B3550">
        <w:t xml:space="preserve">) was seen following </w:t>
      </w:r>
      <w:proofErr w:type="spellStart"/>
      <w:r w:rsidRPr="007B3550">
        <w:t>topramezone</w:t>
      </w:r>
      <w:proofErr w:type="spellEnd"/>
      <w:r w:rsidRPr="007B3550">
        <w:t xml:space="preserve"> treatment. Increased kidney weights (without any histopathological correlates) were seen in mice, rats and dogs. This was considered the result of an increased workload on the kidney involved in the elimination and excretion of test item-related material and/or increased urinary excretion of ketones.</w:t>
      </w:r>
    </w:p>
    <w:p w14:paraId="7E80C250" w14:textId="564D437A" w:rsidR="0015638A" w:rsidRPr="007B3550" w:rsidRDefault="0015638A" w:rsidP="0015638A">
      <w:pPr>
        <w:pStyle w:val="APVMAText"/>
      </w:pPr>
      <w:r w:rsidRPr="007B3550">
        <w:t xml:space="preserve">The thyroid gland was a target organ for toxicity in rats but not mice or dogs. An increased incidence and/or severity of flaky colloid (characterised by flaky basophilic structures in the follicles) in the thyroid gland was observed in </w:t>
      </w:r>
      <w:proofErr w:type="spellStart"/>
      <w:r w:rsidRPr="007B3550">
        <w:t>subchronic</w:t>
      </w:r>
      <w:proofErr w:type="spellEnd"/>
      <w:r w:rsidRPr="007B3550">
        <w:t xml:space="preserve"> studies in rats (90 day studies, including the two generation reproductive study in rats), but not in the longer term studies. The flaky colloid findings were not considered to be associated with any of the other thyroid gland lesions and were not considered to be adverse; in longer term studies, the incidence of flaky colloid was high in all groups, including controls. In the one and two year studies in rats, there was an increased incidence of follicular cell hypertrophy and follicular cell hyperplasia, with an</w:t>
      </w:r>
      <w:r w:rsidRPr="0015638A">
        <w:t xml:space="preserve"> </w:t>
      </w:r>
      <w:r w:rsidRPr="007B3550">
        <w:lastRenderedPageBreak/>
        <w:t>increased incidence of thyroid gland tumours (follicular cell adenoma and carcinoma) seen in the carcinogenicity study. The reversibility of the non-neopl</w:t>
      </w:r>
      <w:r w:rsidR="005A7B49">
        <w:t>astic lesions was not assessed.</w:t>
      </w:r>
    </w:p>
    <w:p w14:paraId="2CAB6F53" w14:textId="77777777" w:rsidR="0015638A" w:rsidRPr="007B3550" w:rsidRDefault="0015638A" w:rsidP="0015638A">
      <w:pPr>
        <w:pStyle w:val="APVMAText"/>
      </w:pPr>
      <w:r w:rsidRPr="007B3550">
        <w:t>An increased incidence of diffuse degeneration of the pancreas was evident in treated rats only. The underlying cause of these lesions was unknown and hence the relevance to humans cannot be dismissed. Reversibility of this lesion was not assessed.</w:t>
      </w:r>
    </w:p>
    <w:p w14:paraId="674C7B21" w14:textId="519A1663" w:rsidR="0015638A" w:rsidRPr="00C876F1" w:rsidRDefault="0015638A" w:rsidP="0015638A">
      <w:pPr>
        <w:pStyle w:val="APVMAText"/>
      </w:pPr>
      <w:r w:rsidRPr="007B3550">
        <w:t xml:space="preserve">Corneal opacity, identified </w:t>
      </w:r>
      <w:proofErr w:type="spellStart"/>
      <w:r w:rsidRPr="007B3550">
        <w:t>histopathologically</w:t>
      </w:r>
      <w:proofErr w:type="spellEnd"/>
      <w:r w:rsidRPr="007B3550">
        <w:t xml:space="preserve"> as chronic keratitis, was seen in rats that had received </w:t>
      </w:r>
      <w:proofErr w:type="spellStart"/>
      <w:r w:rsidRPr="007B3550">
        <w:t>topramezone</w:t>
      </w:r>
      <w:proofErr w:type="spellEnd"/>
      <w:r w:rsidRPr="007B3550">
        <w:t xml:space="preserve">. These ocular lesions were only observed after prolonged treatment to rats (studies of ≥ 90 days duration). No ocular lesions were seen in mice treated for up to 18 months or dogs treated for up to 12 months, though there were isolated incidences of cataracts (and lenticular degeneration) in treated animals in the </w:t>
      </w:r>
      <w:r w:rsidR="003F3902">
        <w:t>three</w:t>
      </w:r>
      <w:r w:rsidRPr="007B3550">
        <w:t xml:space="preserve"> generation study in mice. Corneal opacity has been reported to occur in animals treated with other members of this pharmacological class. The corneal opacity has been suggested to be due to </w:t>
      </w:r>
      <w:proofErr w:type="spellStart"/>
      <w:r w:rsidRPr="007B3550">
        <w:t>tyrosinaemia</w:t>
      </w:r>
      <w:proofErr w:type="spellEnd"/>
      <w:r w:rsidRPr="007B3550">
        <w:t xml:space="preserve"> and not a direct test item-related effect. A mechanistic study demonstrated that corneal opacity in rats coincided with significant levels of tyrosine in the aqueous humour (levels were similar to serum levels). In this study, effects had largely reversed by the end of a </w:t>
      </w:r>
      <w:r w:rsidR="00005CE1">
        <w:t>six</w:t>
      </w:r>
      <w:r w:rsidRPr="007B3550">
        <w:t xml:space="preserve"> week recovery period, although serum and aqueous humour tyrosine concentrations had not yet returned to baseline. Similarly treated mice had elevated serum levels of tyrosine (associated with the pharmacology of the test item), but there were no corresponding ophthalmological findings (aqueous humour levels of tyrosine however were not measured). Serum tyrosine levels h</w:t>
      </w:r>
      <w:r w:rsidR="003F3902">
        <w:t>ad returned to baseline within three</w:t>
      </w:r>
      <w:r w:rsidRPr="007B3550">
        <w:t xml:space="preserve"> weeks after cessation of dosing, despite the administration of higher doses. Rats had significantly higher serum tyrosine levels than mice at equivalent doses, suggesting species differences in either the formation or clearance of tyrosine, though a NOAEL for elevated serum tyrosine levels was not established in either species. Published data indicate that, compared with rats, mice have higher innate levels of hepatic tyrosine aminotransferase (TAT), the enzyme involved in tyrosine clearance. Generally, mice are considered to be a better animal model for tyrosine catabolism than rats. Estimated serum tyrosine levels at the chronic NOAEL for ocular lesions in mice (i.e. the highest tested dose, 8000 ppm; 1903/2467 mg/kg </w:t>
      </w:r>
      <w:proofErr w:type="spellStart"/>
      <w:r w:rsidRPr="007B3550">
        <w:t>bw</w:t>
      </w:r>
      <w:proofErr w:type="spellEnd"/>
      <w:r w:rsidRPr="007B3550">
        <w:t>/d, M/F) was 190 µ</w:t>
      </w:r>
      <w:proofErr w:type="spellStart"/>
      <w:r w:rsidRPr="007B3550">
        <w:t>mol</w:t>
      </w:r>
      <w:proofErr w:type="spellEnd"/>
      <w:r w:rsidRPr="007B3550">
        <w:t xml:space="preserve">/L, while estimated serum tyrosine levels at the chronic NOAEL for ocular lesions in rats (6 ppm; 0.4/0.5 mg/kg </w:t>
      </w:r>
      <w:proofErr w:type="spellStart"/>
      <w:r w:rsidRPr="007B3550">
        <w:t>bw</w:t>
      </w:r>
      <w:proofErr w:type="spellEnd"/>
      <w:r w:rsidRPr="007B3550">
        <w:t>/d, M/F) was 500‒1000 µ</w:t>
      </w:r>
      <w:proofErr w:type="spellStart"/>
      <w:r w:rsidRPr="007B3550">
        <w:t>mol</w:t>
      </w:r>
      <w:proofErr w:type="spellEnd"/>
      <w:r w:rsidRPr="007B3550">
        <w:t xml:space="preserve">/L. These data indicate that serum tyrosine levels rather than dose levels are a better indicator for the risk of ocular lesions with </w:t>
      </w:r>
      <w:proofErr w:type="spellStart"/>
      <w:r w:rsidRPr="007B3550">
        <w:t>topramezone</w:t>
      </w:r>
      <w:proofErr w:type="spellEnd"/>
      <w:r w:rsidRPr="007B3550">
        <w:t xml:space="preserve"> treatment. The NOAEL for ocular lesions in rats (0.4/0.5 mg/kg </w:t>
      </w:r>
      <w:proofErr w:type="spellStart"/>
      <w:r w:rsidRPr="007B3550">
        <w:t>bw</w:t>
      </w:r>
      <w:proofErr w:type="spellEnd"/>
      <w:r w:rsidRPr="007B3550">
        <w:t>/d, M/F), along with appropriate safety factors should be protective for the risk of ocular lesions in humans.</w:t>
      </w:r>
    </w:p>
    <w:p w14:paraId="7F217F5B" w14:textId="77777777" w:rsidR="00C876F1" w:rsidRPr="00C876F1" w:rsidRDefault="00C876F1" w:rsidP="00C876F1">
      <w:pPr>
        <w:pStyle w:val="Heading3"/>
      </w:pPr>
      <w:r w:rsidRPr="00C876F1">
        <w:t>Chronic toxicity and carcinogenicity</w:t>
      </w:r>
    </w:p>
    <w:p w14:paraId="431FB4A7" w14:textId="3872CFF1" w:rsidR="00C876F1" w:rsidRPr="005A7B49" w:rsidRDefault="0015638A" w:rsidP="0015638A">
      <w:pPr>
        <w:pStyle w:val="InstructionalText"/>
        <w:rPr>
          <w:color w:val="auto"/>
        </w:rPr>
      </w:pPr>
      <w:r w:rsidRPr="002227BE">
        <w:rPr>
          <w:color w:val="auto"/>
          <w:sz w:val="20"/>
        </w:rPr>
        <w:t xml:space="preserve">Carcinogenicity studies were conducted in mice and rats. Treatment with </w:t>
      </w:r>
      <w:proofErr w:type="spellStart"/>
      <w:r w:rsidRPr="002227BE">
        <w:rPr>
          <w:color w:val="auto"/>
          <w:sz w:val="20"/>
        </w:rPr>
        <w:t>topramezone</w:t>
      </w:r>
      <w:proofErr w:type="spellEnd"/>
      <w:r w:rsidRPr="002227BE">
        <w:rPr>
          <w:color w:val="auto"/>
          <w:sz w:val="20"/>
        </w:rPr>
        <w:t xml:space="preserve"> in mice for 18 months did not induce an increase in any p</w:t>
      </w:r>
      <w:r>
        <w:rPr>
          <w:color w:val="auto"/>
          <w:sz w:val="20"/>
        </w:rPr>
        <w:t>articular tumour type. H</w:t>
      </w:r>
      <w:r w:rsidRPr="002227BE">
        <w:rPr>
          <w:color w:val="auto"/>
          <w:sz w:val="20"/>
        </w:rPr>
        <w:t>owever,</w:t>
      </w:r>
      <w:r>
        <w:rPr>
          <w:color w:val="auto"/>
          <w:sz w:val="20"/>
        </w:rPr>
        <w:t xml:space="preserve"> in rats</w:t>
      </w:r>
      <w:r w:rsidRPr="002227BE">
        <w:rPr>
          <w:color w:val="auto"/>
          <w:sz w:val="20"/>
        </w:rPr>
        <w:t xml:space="preserve"> an increased incidence of thyroid gland tumours (follicular cell adenoma and carcinoma; both sexes) with an increased incidence of follicular cell hyperplasia was </w:t>
      </w:r>
      <w:r>
        <w:rPr>
          <w:color w:val="auto"/>
          <w:sz w:val="20"/>
        </w:rPr>
        <w:t xml:space="preserve">only </w:t>
      </w:r>
      <w:r w:rsidRPr="002227BE">
        <w:rPr>
          <w:color w:val="auto"/>
          <w:sz w:val="20"/>
        </w:rPr>
        <w:t xml:space="preserve">observed in females. Follicular cell hypertrophy and hyperplasia were also observed in repeat-dose toxicity studies in rats, but not mice or dogs. </w:t>
      </w:r>
      <w:proofErr w:type="spellStart"/>
      <w:r w:rsidRPr="002227BE">
        <w:rPr>
          <w:color w:val="auto"/>
          <w:sz w:val="20"/>
        </w:rPr>
        <w:t>Topramezone</w:t>
      </w:r>
      <w:proofErr w:type="spellEnd"/>
      <w:r w:rsidRPr="002227BE">
        <w:rPr>
          <w:color w:val="auto"/>
          <w:sz w:val="20"/>
        </w:rPr>
        <w:t xml:space="preserve"> was determined to not be genotoxic, therefore, the increased incidence of thyroid tumours most likely has an underlying non-genotoxic mechanism. In mechanistic studies, rats that received </w:t>
      </w:r>
      <w:proofErr w:type="spellStart"/>
      <w:r w:rsidRPr="002227BE">
        <w:rPr>
          <w:color w:val="auto"/>
          <w:sz w:val="20"/>
        </w:rPr>
        <w:t>topramezone</w:t>
      </w:r>
      <w:proofErr w:type="spellEnd"/>
      <w:r w:rsidRPr="002227BE">
        <w:rPr>
          <w:color w:val="auto"/>
          <w:sz w:val="20"/>
        </w:rPr>
        <w:t xml:space="preserve"> had lower serum T4 levels than control animals. Persistent low levels of circulating thyroid hormones leads to a compensatory increased secretion of pituitary TSH. TSH stimulation of the thyroid gland leads to proliferative changes of follicular cells that include hypertrophy, hyperplasia, and eventu</w:t>
      </w:r>
      <w:r>
        <w:rPr>
          <w:color w:val="auto"/>
          <w:sz w:val="20"/>
        </w:rPr>
        <w:t>ally tumour formation</w:t>
      </w:r>
      <w:r w:rsidRPr="002227BE">
        <w:rPr>
          <w:color w:val="auto"/>
          <w:sz w:val="20"/>
        </w:rPr>
        <w:t xml:space="preserve">. This is likely the underlying mechanism of thyroid tumour formation in rats given </w:t>
      </w:r>
      <w:proofErr w:type="spellStart"/>
      <w:r w:rsidRPr="002227BE">
        <w:rPr>
          <w:color w:val="auto"/>
          <w:sz w:val="20"/>
        </w:rPr>
        <w:t>topramezone</w:t>
      </w:r>
      <w:proofErr w:type="spellEnd"/>
      <w:r w:rsidRPr="002227BE">
        <w:rPr>
          <w:color w:val="auto"/>
          <w:sz w:val="20"/>
        </w:rPr>
        <w:t>. A number of mechanistic studies were conducted to elucidate the cause of alterations to circulating thyroid hormone levels (assessing</w:t>
      </w:r>
      <w:r w:rsidRPr="0015638A">
        <w:rPr>
          <w:color w:val="auto"/>
          <w:sz w:val="20"/>
        </w:rPr>
        <w:t xml:space="preserve"> </w:t>
      </w:r>
      <w:r w:rsidRPr="002227BE">
        <w:rPr>
          <w:color w:val="auto"/>
          <w:sz w:val="20"/>
        </w:rPr>
        <w:lastRenderedPageBreak/>
        <w:t xml:space="preserve">whether </w:t>
      </w:r>
      <w:proofErr w:type="spellStart"/>
      <w:r w:rsidRPr="002227BE">
        <w:rPr>
          <w:color w:val="auto"/>
          <w:sz w:val="20"/>
        </w:rPr>
        <w:t>topramezone</w:t>
      </w:r>
      <w:proofErr w:type="spellEnd"/>
      <w:r w:rsidRPr="002227BE">
        <w:rPr>
          <w:color w:val="auto"/>
          <w:sz w:val="20"/>
        </w:rPr>
        <w:t xml:space="preserve"> affects thyroid hormone synthesis by inhibiting iodine incorporation in the thyroid gland or whether </w:t>
      </w:r>
      <w:proofErr w:type="spellStart"/>
      <w:r w:rsidRPr="002227BE">
        <w:rPr>
          <w:color w:val="auto"/>
          <w:sz w:val="20"/>
        </w:rPr>
        <w:t>topramezone</w:t>
      </w:r>
      <w:proofErr w:type="spellEnd"/>
      <w:r w:rsidRPr="002227BE">
        <w:rPr>
          <w:color w:val="auto"/>
          <w:sz w:val="20"/>
        </w:rPr>
        <w:t xml:space="preserve"> induces </w:t>
      </w:r>
      <w:proofErr w:type="spellStart"/>
      <w:r w:rsidRPr="002227BE">
        <w:rPr>
          <w:color w:val="auto"/>
          <w:sz w:val="20"/>
        </w:rPr>
        <w:t>glucuronyltransferases</w:t>
      </w:r>
      <w:proofErr w:type="spellEnd"/>
      <w:r w:rsidRPr="002227BE">
        <w:rPr>
          <w:color w:val="auto"/>
          <w:sz w:val="20"/>
        </w:rPr>
        <w:t xml:space="preserve"> that may be involve</w:t>
      </w:r>
      <w:r>
        <w:rPr>
          <w:color w:val="auto"/>
          <w:sz w:val="20"/>
        </w:rPr>
        <w:t>d in thyroid hormone clearance).</w:t>
      </w:r>
      <w:r w:rsidRPr="002227BE">
        <w:rPr>
          <w:color w:val="auto"/>
          <w:sz w:val="20"/>
        </w:rPr>
        <w:t xml:space="preserve"> </w:t>
      </w:r>
      <w:r>
        <w:rPr>
          <w:color w:val="auto"/>
          <w:sz w:val="20"/>
        </w:rPr>
        <w:t xml:space="preserve">While </w:t>
      </w:r>
      <w:r w:rsidRPr="002227BE">
        <w:rPr>
          <w:color w:val="auto"/>
          <w:sz w:val="20"/>
        </w:rPr>
        <w:t xml:space="preserve">the results </w:t>
      </w:r>
      <w:r>
        <w:rPr>
          <w:color w:val="auto"/>
          <w:sz w:val="20"/>
        </w:rPr>
        <w:t xml:space="preserve">were inconclusive, </w:t>
      </w:r>
      <w:r w:rsidRPr="002227BE">
        <w:rPr>
          <w:color w:val="auto"/>
          <w:sz w:val="20"/>
        </w:rPr>
        <w:t>the findings of decreased serum T4 levels and, on occasion, elevated serum TSH leve</w:t>
      </w:r>
      <w:r>
        <w:rPr>
          <w:color w:val="auto"/>
          <w:sz w:val="20"/>
        </w:rPr>
        <w:t xml:space="preserve">ls in </w:t>
      </w:r>
      <w:proofErr w:type="spellStart"/>
      <w:r>
        <w:rPr>
          <w:color w:val="auto"/>
          <w:sz w:val="20"/>
        </w:rPr>
        <w:t>topramezone</w:t>
      </w:r>
      <w:proofErr w:type="spellEnd"/>
      <w:r>
        <w:rPr>
          <w:color w:val="auto"/>
          <w:sz w:val="20"/>
        </w:rPr>
        <w:t xml:space="preserve"> treated rats wa</w:t>
      </w:r>
      <w:r w:rsidRPr="002227BE">
        <w:rPr>
          <w:color w:val="auto"/>
          <w:sz w:val="20"/>
        </w:rPr>
        <w:t>s sufficient evidence to su</w:t>
      </w:r>
      <w:r>
        <w:rPr>
          <w:color w:val="auto"/>
          <w:sz w:val="20"/>
        </w:rPr>
        <w:t>ggest a TSH-mediated mechanism wa</w:t>
      </w:r>
      <w:r w:rsidRPr="002227BE">
        <w:rPr>
          <w:color w:val="auto"/>
          <w:sz w:val="20"/>
        </w:rPr>
        <w:t xml:space="preserve">s the most likely mode of action for thyroid gland tumour formation in rats. In comparison with humans, rodents (particularly males) are more sensitive to perturbations of thyroid-pituitary hormone homeostasis and hence </w:t>
      </w:r>
      <w:r>
        <w:rPr>
          <w:color w:val="auto"/>
          <w:sz w:val="20"/>
        </w:rPr>
        <w:t xml:space="preserve">are </w:t>
      </w:r>
      <w:r w:rsidRPr="002227BE">
        <w:rPr>
          <w:color w:val="auto"/>
          <w:sz w:val="20"/>
        </w:rPr>
        <w:t>more susceptible to thyroid cancers. Thyroid tumours in rodents that occur as a result of alterations to thyroid hormone levels are generally not considered to be relevant to human su</w:t>
      </w:r>
      <w:r>
        <w:rPr>
          <w:color w:val="auto"/>
          <w:sz w:val="20"/>
        </w:rPr>
        <w:t xml:space="preserve">bjects. Therefore, </w:t>
      </w:r>
      <w:proofErr w:type="spellStart"/>
      <w:r>
        <w:rPr>
          <w:color w:val="auto"/>
          <w:sz w:val="20"/>
        </w:rPr>
        <w:t>topramezone</w:t>
      </w:r>
      <w:proofErr w:type="spellEnd"/>
      <w:r>
        <w:rPr>
          <w:color w:val="auto"/>
          <w:sz w:val="20"/>
        </w:rPr>
        <w:t xml:space="preserve"> wa</w:t>
      </w:r>
      <w:r w:rsidRPr="002227BE">
        <w:rPr>
          <w:color w:val="auto"/>
          <w:sz w:val="20"/>
        </w:rPr>
        <w:t>s unlikely to pose a carcinogenic risk to human subjects.</w:t>
      </w:r>
    </w:p>
    <w:p w14:paraId="32624868" w14:textId="77777777" w:rsidR="00F27E0D" w:rsidRDefault="00C876F1" w:rsidP="00C876F1">
      <w:pPr>
        <w:pStyle w:val="Heading3"/>
      </w:pPr>
      <w:r>
        <w:t>Reproducti</w:t>
      </w:r>
      <w:r w:rsidR="00B20321">
        <w:t>ve</w:t>
      </w:r>
      <w:r>
        <w:t xml:space="preserve"> and developmental toxicity</w:t>
      </w:r>
    </w:p>
    <w:p w14:paraId="33B129A7" w14:textId="0E0E93DB" w:rsidR="0015638A" w:rsidRDefault="0015638A" w:rsidP="0015638A">
      <w:pPr>
        <w:pStyle w:val="APVMAText"/>
      </w:pPr>
      <w:r>
        <w:t xml:space="preserve">Reproductive studies consisted of a </w:t>
      </w:r>
      <w:r w:rsidR="003F3902">
        <w:t>two</w:t>
      </w:r>
      <w:r>
        <w:t xml:space="preserve"> </w:t>
      </w:r>
      <w:r w:rsidR="003F3902">
        <w:t>generation study in rats and a three</w:t>
      </w:r>
      <w:r>
        <w:t xml:space="preserve"> generation study in mice. Fertility was unaffected by treatment; however, maternal treatment appeared to have some effects on pup parameters: reduced viability to PND4 (rats; possibly associated with maternal neglect), impaired pup weight gain during the lactation period (rats), an increased incidence of renal pelvic dilation (rats) and delayed preputial separation (both species). The underlying cause for delayed sexual maturation in males is unknown but may be secondary to lower pup weig</w:t>
      </w:r>
      <w:r w:rsidR="00C560CF">
        <w:t>hts (and delayed development).</w:t>
      </w:r>
    </w:p>
    <w:p w14:paraId="6AC78AB0" w14:textId="5EA93F2D" w:rsidR="0015638A" w:rsidRDefault="0015638A" w:rsidP="0015638A">
      <w:pPr>
        <w:pStyle w:val="APVMAText"/>
      </w:pPr>
      <w:r>
        <w:t>Developmental toxicity s</w:t>
      </w:r>
      <w:r w:rsidR="00A459D7">
        <w:t>tudies were conducted in mice (one study), rats (two</w:t>
      </w:r>
      <w:r>
        <w:t xml:space="preserve"> studies) and rabbits (10 studies). Placental transfer of </w:t>
      </w:r>
      <w:proofErr w:type="spellStart"/>
      <w:r>
        <w:t>topramezone</w:t>
      </w:r>
      <w:proofErr w:type="spellEnd"/>
      <w:r>
        <w:t xml:space="preserve"> was indicated in rabbits and elevated foetal serum levels of tyrosine were observed (either associated with pharmacological activity in the developing foetus or placental transfer of this amino acid). No adverse </w:t>
      </w:r>
      <w:proofErr w:type="spellStart"/>
      <w:r>
        <w:t>embryofoetal</w:t>
      </w:r>
      <w:proofErr w:type="spellEnd"/>
      <w:r>
        <w:t xml:space="preserve"> development effects were seen in mice. Similar foetal skeletal variations (delayed ossification and supernumerary ribs and/or vertebrae) were seen in rats and rabbits.</w:t>
      </w:r>
    </w:p>
    <w:p w14:paraId="5ED516F5" w14:textId="404CC56E" w:rsidR="0015638A" w:rsidRDefault="0015638A" w:rsidP="0015638A">
      <w:pPr>
        <w:pStyle w:val="APVMAText"/>
      </w:pPr>
      <w:r>
        <w:t xml:space="preserve">The incidence of skeletal variations appeared to correlate with maternal serum levels of tyrosine (supplementary dietary intake of this amino acid during treatment exacerbated the findings), suggesting an association with </w:t>
      </w:r>
      <w:proofErr w:type="spellStart"/>
      <w:r>
        <w:t>tyrosinaemia</w:t>
      </w:r>
      <w:proofErr w:type="spellEnd"/>
      <w:r>
        <w:t>. These foetal variations have been observed with other members o</w:t>
      </w:r>
      <w:r w:rsidR="00AA2707">
        <w:t>f this pharmacological class (</w:t>
      </w:r>
      <w:proofErr w:type="spellStart"/>
      <w:r w:rsidR="00AA2707">
        <w:t>e</w:t>
      </w:r>
      <w:r>
        <w:t>g</w:t>
      </w:r>
      <w:proofErr w:type="spellEnd"/>
      <w:r>
        <w:t xml:space="preserve"> </w:t>
      </w:r>
      <w:proofErr w:type="spellStart"/>
      <w:r>
        <w:t>mesotrione</w:t>
      </w:r>
      <w:proofErr w:type="spellEnd"/>
      <w:r>
        <w:t>), none of which have been classified as reproductive/developmental toxicants. Furthermore, as noted previously, rats are particularly sensitive to 4-HPPD inhibitors, and NOAELs for these effects are considered to be protective of a possible effect in human subjects for risk assessment purposes.</w:t>
      </w:r>
    </w:p>
    <w:p w14:paraId="12DE3CCB" w14:textId="77777777" w:rsidR="0015638A" w:rsidRDefault="0015638A" w:rsidP="0015638A">
      <w:pPr>
        <w:pStyle w:val="APVMAText"/>
      </w:pPr>
      <w:r w:rsidRPr="00545E16">
        <w:t xml:space="preserve">An absent kidney/ureter was occasionally seen in rabbit foetuses following maternal exposure to </w:t>
      </w:r>
      <w:proofErr w:type="spellStart"/>
      <w:r w:rsidRPr="00545E16">
        <w:t>topramezone</w:t>
      </w:r>
      <w:proofErr w:type="spellEnd"/>
      <w:r w:rsidRPr="00545E16">
        <w:t xml:space="preserve">. The incidence was: low but above the historical control </w:t>
      </w:r>
      <w:r w:rsidRPr="002227BE">
        <w:t>data;</w:t>
      </w:r>
      <w:r w:rsidRPr="00545E16">
        <w:t xml:space="preserve"> not always observed with a dose relationship; and was not associated with maternal toxicity. There was no obvious correlation of the incidence of this malformation with a particular strain or particular colony of rabbit, with different batches of </w:t>
      </w:r>
      <w:proofErr w:type="spellStart"/>
      <w:r w:rsidRPr="00545E16">
        <w:t>topramezone</w:t>
      </w:r>
      <w:proofErr w:type="spellEnd"/>
      <w:r w:rsidRPr="00545E16">
        <w:t>, or with maternal serum tyrosine levels. Other alterations observed in rabbits (</w:t>
      </w:r>
      <w:proofErr w:type="spellStart"/>
      <w:r w:rsidRPr="00545E16">
        <w:t>malrotated</w:t>
      </w:r>
      <w:proofErr w:type="spellEnd"/>
      <w:r w:rsidRPr="00545E16">
        <w:t xml:space="preserve"> limb, </w:t>
      </w:r>
      <w:proofErr w:type="spellStart"/>
      <w:r w:rsidRPr="00545E16">
        <w:t>gastroschisis</w:t>
      </w:r>
      <w:proofErr w:type="spellEnd"/>
      <w:r w:rsidRPr="00545E16">
        <w:t xml:space="preserve">, </w:t>
      </w:r>
      <w:proofErr w:type="spellStart"/>
      <w:r w:rsidRPr="00545E16">
        <w:t>acaudate</w:t>
      </w:r>
      <w:proofErr w:type="spellEnd"/>
      <w:r w:rsidRPr="00545E16">
        <w:t xml:space="preserve">, anal atresia, cleft palate, </w:t>
      </w:r>
      <w:proofErr w:type="spellStart"/>
      <w:r w:rsidRPr="00545E16">
        <w:t>thoracoschisis</w:t>
      </w:r>
      <w:proofErr w:type="spellEnd"/>
      <w:r w:rsidRPr="00545E16">
        <w:t>) were only seen in a single study and their incidence above the historical control values is considered to be incidental and not associ</w:t>
      </w:r>
      <w:r>
        <w:t xml:space="preserve">ated with </w:t>
      </w:r>
      <w:proofErr w:type="spellStart"/>
      <w:r>
        <w:t>topramezone</w:t>
      </w:r>
      <w:proofErr w:type="spellEnd"/>
      <w:r>
        <w:t xml:space="preserve"> treatment.</w:t>
      </w:r>
    </w:p>
    <w:p w14:paraId="7EDBD341" w14:textId="77777777" w:rsidR="00C876F1" w:rsidRDefault="00C876F1" w:rsidP="00C876F1">
      <w:pPr>
        <w:pStyle w:val="Heading3"/>
      </w:pPr>
      <w:r>
        <w:lastRenderedPageBreak/>
        <w:t>Genotoxicity</w:t>
      </w:r>
    </w:p>
    <w:p w14:paraId="0548404D" w14:textId="77777777" w:rsidR="0015638A" w:rsidRDefault="0015638A" w:rsidP="0015638A">
      <w:pPr>
        <w:pStyle w:val="APVMAText"/>
      </w:pPr>
      <w:r w:rsidRPr="009D515A">
        <w:t xml:space="preserve">Based on adequately conducted in vitro and in vivo studies, </w:t>
      </w:r>
      <w:proofErr w:type="spellStart"/>
      <w:r w:rsidRPr="009D515A">
        <w:t>topramezone</w:t>
      </w:r>
      <w:proofErr w:type="spellEnd"/>
      <w:r w:rsidRPr="009D515A">
        <w:t xml:space="preserve"> is </w:t>
      </w:r>
      <w:r>
        <w:t xml:space="preserve">not </w:t>
      </w:r>
      <w:r w:rsidRPr="009D515A">
        <w:t>considered to have a genotoxic potential.</w:t>
      </w:r>
    </w:p>
    <w:p w14:paraId="260D29F7" w14:textId="77546829" w:rsidR="00E70147" w:rsidRDefault="00C876F1" w:rsidP="00E70147">
      <w:pPr>
        <w:pStyle w:val="Heading3"/>
      </w:pPr>
      <w:r>
        <w:t>Neurotoxicity</w:t>
      </w:r>
      <w:r w:rsidR="00AA2707">
        <w:t>/</w:t>
      </w:r>
      <w:proofErr w:type="spellStart"/>
      <w:r w:rsidR="00AA2707">
        <w:t>i</w:t>
      </w:r>
      <w:r w:rsidR="00E70147">
        <w:t>mmunotoxicity</w:t>
      </w:r>
      <w:proofErr w:type="spellEnd"/>
    </w:p>
    <w:p w14:paraId="46FD97EF" w14:textId="6D717D25" w:rsidR="0015638A" w:rsidRPr="008D75F3" w:rsidRDefault="0015638A" w:rsidP="0015638A">
      <w:pPr>
        <w:pStyle w:val="APVMAText"/>
      </w:pPr>
      <w:r w:rsidRPr="007B3550">
        <w:t>There was no evidence of any neurotoxic effects in an acute tox</w:t>
      </w:r>
      <w:r w:rsidR="003F3902">
        <w:t>icity study, three</w:t>
      </w:r>
      <w:r w:rsidRPr="007B3550">
        <w:t xml:space="preserve"> month repeat-dose toxicity study or a postnatal developmental study in rats.</w:t>
      </w:r>
    </w:p>
    <w:p w14:paraId="10691B12" w14:textId="620C6FC7" w:rsidR="0090196F" w:rsidRPr="00162654" w:rsidRDefault="00AA2707" w:rsidP="0090196F">
      <w:pPr>
        <w:pStyle w:val="Heading3"/>
      </w:pPr>
      <w:r>
        <w:t>Mode of a</w:t>
      </w:r>
      <w:r w:rsidR="0090196F">
        <w:t>ction (toxicology)</w:t>
      </w:r>
    </w:p>
    <w:p w14:paraId="765482A3" w14:textId="77777777" w:rsidR="0015638A" w:rsidRDefault="0015638A" w:rsidP="0015638A">
      <w:pPr>
        <w:pStyle w:val="APVMAText"/>
      </w:pPr>
      <w:proofErr w:type="spellStart"/>
      <w:r>
        <w:t>Topramezone</w:t>
      </w:r>
      <w:proofErr w:type="spellEnd"/>
      <w:r>
        <w:t xml:space="preserve"> is an inhibitor of the enzyme 4-hydroxyphenylpyruvate dioxygenase (4 HPPD), the second enzyme in the tyrosine catabolic pathway. In plants, inhibitors of 4 HPPD prevent carotenoid pigment formation, which in turn leads to chlorophyll degradation. In mammals, inhibition of 4 HPPD leads to increased serum levels of tyrosine, which may in turn have overt biological effects.</w:t>
      </w:r>
    </w:p>
    <w:p w14:paraId="23249583" w14:textId="77777777" w:rsidR="0015638A" w:rsidRPr="008D75F3" w:rsidRDefault="0015638A" w:rsidP="0015638A">
      <w:pPr>
        <w:pStyle w:val="APVMAText"/>
      </w:pPr>
      <w:r>
        <w:t xml:space="preserve">Chemicals with a similar mode of action include </w:t>
      </w:r>
      <w:proofErr w:type="spellStart"/>
      <w:r>
        <w:t>mesotrione</w:t>
      </w:r>
      <w:proofErr w:type="spellEnd"/>
      <w:r>
        <w:t xml:space="preserve">, </w:t>
      </w:r>
      <w:proofErr w:type="spellStart"/>
      <w:r>
        <w:t>pyrasulfotole</w:t>
      </w:r>
      <w:proofErr w:type="spellEnd"/>
      <w:r>
        <w:t xml:space="preserve"> and </w:t>
      </w:r>
      <w:proofErr w:type="spellStart"/>
      <w:r>
        <w:t>isoxaflutole</w:t>
      </w:r>
      <w:proofErr w:type="spellEnd"/>
      <w:r>
        <w:t xml:space="preserve">. The mode of action data </w:t>
      </w:r>
      <w:r w:rsidRPr="00A46077">
        <w:t>indicate</w:t>
      </w:r>
      <w:r>
        <w:t>d</w:t>
      </w:r>
      <w:r w:rsidRPr="00A46077">
        <w:t xml:space="preserve"> that </w:t>
      </w:r>
      <w:proofErr w:type="spellStart"/>
      <w:r w:rsidRPr="00A46077">
        <w:t>topramezone</w:t>
      </w:r>
      <w:proofErr w:type="spellEnd"/>
      <w:r w:rsidRPr="00A46077">
        <w:t xml:space="preserve"> treatment causes a perturbation of thyroid-pituitary hormone homeostasis, which is a potentially underlying cause for thyroid tumour formation in rats. Thyroid tumours in rodents that occur as a result of alterations to thyroid hormone levels are generally not considered to be relevant to human subjects. Therefore, </w:t>
      </w:r>
      <w:proofErr w:type="spellStart"/>
      <w:r w:rsidRPr="00A46077">
        <w:t>topramezone</w:t>
      </w:r>
      <w:proofErr w:type="spellEnd"/>
      <w:r w:rsidRPr="00A46077">
        <w:t xml:space="preserve"> is unlikely to pose a carcinogenic risk to human subjects.</w:t>
      </w:r>
    </w:p>
    <w:p w14:paraId="58BD51F2" w14:textId="77777777" w:rsidR="0090196F" w:rsidRDefault="0090196F" w:rsidP="0090196F">
      <w:pPr>
        <w:pStyle w:val="Heading3"/>
      </w:pPr>
      <w:r>
        <w:t>Toxicity of metabolites and/or impurities</w:t>
      </w:r>
    </w:p>
    <w:p w14:paraId="10CD2973" w14:textId="20C4BB12" w:rsidR="0015638A" w:rsidRDefault="0015638A" w:rsidP="0015638A">
      <w:pPr>
        <w:pStyle w:val="APVMAText"/>
      </w:pPr>
      <w:r w:rsidRPr="009D515A">
        <w:t xml:space="preserve">A number of toxicity studies were conducted with the metabolite, M670H05, which is generated by </w:t>
      </w:r>
      <w:proofErr w:type="spellStart"/>
      <w:r w:rsidRPr="009D515A">
        <w:t>met</w:t>
      </w:r>
      <w:r w:rsidR="003F3902">
        <w:t>hanone</w:t>
      </w:r>
      <w:proofErr w:type="spellEnd"/>
      <w:r w:rsidR="003F3902">
        <w:t xml:space="preserve"> bridge hydrolysis. In a four</w:t>
      </w:r>
      <w:r w:rsidRPr="009D515A">
        <w:t xml:space="preserve"> week repeat-dose toxicity study in rats, the only notable finding was an increase in serum tyrosine concentrations but only at high doses. This finding indicates the metabolite may have some pharmacological activity on 4-HPPD, albeit with lower potency than the parent compound. M670H05 was not genotoxic in vitro or in vivo. There were no direct adverse </w:t>
      </w:r>
      <w:proofErr w:type="spellStart"/>
      <w:r w:rsidRPr="009D515A">
        <w:t>embryofoetal</w:t>
      </w:r>
      <w:proofErr w:type="spellEnd"/>
      <w:r w:rsidRPr="009D515A">
        <w:t xml:space="preserve"> development effects in a developmental study in rats with M670H05. The only notable effects were secondary to </w:t>
      </w:r>
      <w:proofErr w:type="spellStart"/>
      <w:r w:rsidRPr="009D515A">
        <w:t>maternotoxicity</w:t>
      </w:r>
      <w:proofErr w:type="spellEnd"/>
      <w:r w:rsidRPr="009D515A">
        <w:t>.</w:t>
      </w:r>
    </w:p>
    <w:p w14:paraId="25BB4B8E" w14:textId="77777777" w:rsidR="009A5578" w:rsidRDefault="0090196F" w:rsidP="009A5578">
      <w:pPr>
        <w:pStyle w:val="Heading3"/>
      </w:pPr>
      <w:r>
        <w:t>Reports related to human toxicity</w:t>
      </w:r>
    </w:p>
    <w:p w14:paraId="1802B5F6" w14:textId="77777777" w:rsidR="0015638A" w:rsidRDefault="0015638A" w:rsidP="0015638A">
      <w:pPr>
        <w:pStyle w:val="APVMAText"/>
      </w:pPr>
      <w:r w:rsidRPr="002227BE">
        <w:t xml:space="preserve">There were no data or reports available for assessment by the APVMA related to accidental or intentional exposure of humans to </w:t>
      </w:r>
      <w:proofErr w:type="spellStart"/>
      <w:r w:rsidRPr="002227BE">
        <w:t>topramezone</w:t>
      </w:r>
      <w:proofErr w:type="spellEnd"/>
      <w:r w:rsidRPr="002227BE">
        <w:t>.</w:t>
      </w:r>
    </w:p>
    <w:p w14:paraId="27977D2B" w14:textId="77777777" w:rsidR="005A7D0A" w:rsidRDefault="005A7D0A" w:rsidP="005A7D0A">
      <w:pPr>
        <w:pStyle w:val="Heading2"/>
      </w:pPr>
      <w:bookmarkStart w:id="22" w:name="_Toc6472825"/>
      <w:r>
        <w:t>Health-based guidance values and poisons scheduling</w:t>
      </w:r>
      <w:bookmarkEnd w:id="22"/>
    </w:p>
    <w:p w14:paraId="79A9A911" w14:textId="77777777" w:rsidR="0090196F" w:rsidRDefault="0090196F" w:rsidP="0090196F">
      <w:pPr>
        <w:pStyle w:val="Heading3"/>
      </w:pPr>
      <w:r>
        <w:t>Poisons Standard</w:t>
      </w:r>
    </w:p>
    <w:p w14:paraId="58FA5DDD" w14:textId="77777777" w:rsidR="0015638A" w:rsidRDefault="0015638A" w:rsidP="0015638A">
      <w:pPr>
        <w:pStyle w:val="APVMAText"/>
      </w:pPr>
      <w:r w:rsidRPr="002227BE">
        <w:t>On</w:t>
      </w:r>
      <w:r w:rsidRPr="00247024">
        <w:t xml:space="preserve"> </w:t>
      </w:r>
      <w:r w:rsidRPr="002227BE">
        <w:t>17 March 2016</w:t>
      </w:r>
      <w:r w:rsidRPr="00247024">
        <w:t>, the D</w:t>
      </w:r>
      <w:r>
        <w:t xml:space="preserve">elegate of the Secretary of Health published a final Scheduling decision to include </w:t>
      </w:r>
      <w:proofErr w:type="spellStart"/>
      <w:r>
        <w:t>topramezone</w:t>
      </w:r>
      <w:proofErr w:type="spellEnd"/>
      <w:r>
        <w:t xml:space="preserve"> in Schedule 5 of the Poisons Standard with no exemptions or concentration cut-offs. The </w:t>
      </w:r>
      <w:r>
        <w:lastRenderedPageBreak/>
        <w:t xml:space="preserve">reasons for the Delegate’s decision was based on the toxicity profile of </w:t>
      </w:r>
      <w:proofErr w:type="spellStart"/>
      <w:r>
        <w:t>topramezone</w:t>
      </w:r>
      <w:proofErr w:type="spellEnd"/>
      <w:r>
        <w:t xml:space="preserve"> that was consistent with</w:t>
      </w:r>
      <w:r w:rsidRPr="00247024">
        <w:t xml:space="preserve"> criteria for listing in Schedule 5. The equivocal nature of the foetal developmental effects, including the apparently flat dose-response relationship and their possible relationship to the elevated tyrosine levels associated with treatment with this HPPD inhibitor, were considered insufficient t</w:t>
      </w:r>
      <w:r>
        <w:t>o require listing in Schedule 6. An implementation date in the Poisons Standard was given as 1 June 2016.</w:t>
      </w:r>
    </w:p>
    <w:p w14:paraId="1E897C4B" w14:textId="0DE57B20" w:rsidR="0090196F" w:rsidRDefault="00E22011" w:rsidP="0090196F">
      <w:pPr>
        <w:pStyle w:val="Heading3"/>
      </w:pPr>
      <w:r>
        <w:t>Health-based g</w:t>
      </w:r>
      <w:r w:rsidR="0090196F">
        <w:t xml:space="preserve">uidance </w:t>
      </w:r>
      <w:r>
        <w:t>v</w:t>
      </w:r>
      <w:r w:rsidR="0090196F">
        <w:t>alues</w:t>
      </w:r>
    </w:p>
    <w:p w14:paraId="1B7212E7" w14:textId="77777777" w:rsidR="005A7D0A" w:rsidRDefault="005A7D0A" w:rsidP="00C73E9F">
      <w:pPr>
        <w:pStyle w:val="Heading4"/>
      </w:pPr>
      <w:r>
        <w:t>Acceptable Daily Intake (ADI)</w:t>
      </w:r>
    </w:p>
    <w:p w14:paraId="02358BB7" w14:textId="77777777" w:rsidR="0015638A" w:rsidRDefault="0015638A" w:rsidP="0015638A">
      <w:pPr>
        <w:pStyle w:val="APVMAText"/>
      </w:pPr>
      <w:r w:rsidRPr="009D515A">
        <w:t>The ADI for humans is the level of intake of a chemical that can be ingested daily over an entire lifetime without appreciable risk to health. It is calculated by dividing the overall NO</w:t>
      </w:r>
      <w:r>
        <w:t>A</w:t>
      </w:r>
      <w:r w:rsidRPr="009D515A">
        <w:t xml:space="preserve">EL for the most sensitive toxicological endpoint from a suitable study (typically an animal study) by an appropriate </w:t>
      </w:r>
      <w:r>
        <w:t>uncertainty (</w:t>
      </w:r>
      <w:r w:rsidRPr="009D515A">
        <w:t>safety</w:t>
      </w:r>
      <w:r>
        <w:t>)</w:t>
      </w:r>
      <w:r w:rsidRPr="009D515A">
        <w:t xml:space="preserve"> fac</w:t>
      </w:r>
      <w:r w:rsidRPr="00247024">
        <w:t xml:space="preserve">tor. The magnitude of the uncertainty (safety) factor is selected to account for uncertainties in extrapolation of animal data to humans, </w:t>
      </w:r>
      <w:proofErr w:type="spellStart"/>
      <w:r w:rsidRPr="00247024">
        <w:t>intraspecies</w:t>
      </w:r>
      <w:proofErr w:type="spellEnd"/>
      <w:r w:rsidRPr="00247024">
        <w:t xml:space="preserve"> variation, and the completeness of the toxicological database and the nature of the potential toxicologically significant effects.</w:t>
      </w:r>
    </w:p>
    <w:p w14:paraId="30B8CCA1" w14:textId="7B4234C4" w:rsidR="0015638A" w:rsidRDefault="0015638A" w:rsidP="0015638A">
      <w:pPr>
        <w:pStyle w:val="APVMAText"/>
      </w:pPr>
      <w:r w:rsidRPr="009D515A">
        <w:t xml:space="preserve">Based on its mode of action and a comprehensive series of toxicological studies, the rat was identified as being the most sensitive laboratory animal species to </w:t>
      </w:r>
      <w:proofErr w:type="spellStart"/>
      <w:r w:rsidRPr="009D515A">
        <w:t>topramezone</w:t>
      </w:r>
      <w:proofErr w:type="spellEnd"/>
      <w:r w:rsidRPr="009D515A">
        <w:t xml:space="preserve"> treatment with corneal opacity (chronic keratitis), increased liver, kidney and thyroid weights, and histopathological lesions (including tumours) being observed. After considering all the toxicological data, an </w:t>
      </w:r>
      <w:r w:rsidRPr="00D66BC8">
        <w:t>ADI of 0.004 mg</w:t>
      </w:r>
      <w:r w:rsidRPr="009D515A">
        <w:t xml:space="preserve">/kg </w:t>
      </w:r>
      <w:proofErr w:type="spellStart"/>
      <w:r w:rsidRPr="009D515A">
        <w:t>bw</w:t>
      </w:r>
      <w:proofErr w:type="spellEnd"/>
      <w:r w:rsidRPr="009D515A">
        <w:t>/d based on the NO</w:t>
      </w:r>
      <w:r>
        <w:t>A</w:t>
      </w:r>
      <w:r w:rsidR="00A459D7">
        <w:t xml:space="preserve">EL of 0.4 mg/kg </w:t>
      </w:r>
      <w:proofErr w:type="spellStart"/>
      <w:r w:rsidR="00A459D7">
        <w:t>bw</w:t>
      </w:r>
      <w:proofErr w:type="spellEnd"/>
      <w:r w:rsidR="00A459D7">
        <w:t>/d from a two</w:t>
      </w:r>
      <w:r w:rsidRPr="009D515A">
        <w:t xml:space="preserve">-year carcinogenicity study and using a 100-fold </w:t>
      </w:r>
      <w:r>
        <w:t>uncertainty (</w:t>
      </w:r>
      <w:r w:rsidRPr="009D515A">
        <w:t>safety</w:t>
      </w:r>
      <w:r>
        <w:t>)</w:t>
      </w:r>
      <w:r w:rsidRPr="009D515A">
        <w:t xml:space="preserve"> factor was established. This ADI is supported by the NO</w:t>
      </w:r>
      <w:r>
        <w:t>A</w:t>
      </w:r>
      <w:r w:rsidRPr="009D515A">
        <w:t xml:space="preserve">EL of 0.4 mg/kg </w:t>
      </w:r>
      <w:proofErr w:type="spellStart"/>
      <w:r w:rsidRPr="009D515A">
        <w:t>bw</w:t>
      </w:r>
      <w:proofErr w:type="spellEnd"/>
      <w:r w:rsidRPr="009D515A">
        <w:t xml:space="preserve">/d in a </w:t>
      </w:r>
      <w:r w:rsidR="00A459D7">
        <w:t>two</w:t>
      </w:r>
      <w:r w:rsidRPr="009D515A">
        <w:t>-generation reproductive study in rats and a NO</w:t>
      </w:r>
      <w:r>
        <w:t>A</w:t>
      </w:r>
      <w:r w:rsidRPr="009D515A">
        <w:t xml:space="preserve">EL of 0.5 mg/kg </w:t>
      </w:r>
      <w:proofErr w:type="spellStart"/>
      <w:r w:rsidRPr="009D515A">
        <w:t>bw</w:t>
      </w:r>
      <w:proofErr w:type="spellEnd"/>
      <w:r w:rsidRPr="009D515A">
        <w:t>/d in a d</w:t>
      </w:r>
      <w:r w:rsidR="00C560CF">
        <w:t>evelopmental study in rabbits.</w:t>
      </w:r>
    </w:p>
    <w:p w14:paraId="3659FEC4" w14:textId="77777777" w:rsidR="005A7D0A" w:rsidRDefault="005A7D0A" w:rsidP="00C73E9F">
      <w:pPr>
        <w:pStyle w:val="Heading4"/>
      </w:pPr>
      <w:r>
        <w:t>Acute Reference Dose (</w:t>
      </w:r>
      <w:proofErr w:type="spellStart"/>
      <w:r>
        <w:t>ARfD</w:t>
      </w:r>
      <w:proofErr w:type="spellEnd"/>
      <w:r>
        <w:t>)</w:t>
      </w:r>
    </w:p>
    <w:p w14:paraId="5B63BE94" w14:textId="77777777" w:rsidR="0015638A" w:rsidRDefault="0015638A" w:rsidP="0015638A">
      <w:pPr>
        <w:pStyle w:val="APVMAText"/>
      </w:pPr>
      <w:r w:rsidRPr="009D515A">
        <w:t xml:space="preserve">An </w:t>
      </w:r>
      <w:proofErr w:type="spellStart"/>
      <w:r w:rsidRPr="009D515A">
        <w:t>ARfD</w:t>
      </w:r>
      <w:proofErr w:type="spellEnd"/>
      <w:r w:rsidRPr="009D515A">
        <w:t xml:space="preserve"> is the estimate of the amount of a substance in food or drinking water, expressed on a milligram per kilogram body weight basis, that can be ingested over a short period o</w:t>
      </w:r>
      <w:r>
        <w:t>f time, usually in one meal or during one</w:t>
      </w:r>
      <w:r w:rsidRPr="009D515A">
        <w:t xml:space="preserve"> day, without appreciable health risk to the consumer on the basis of all known facts at the time of the evaluation.</w:t>
      </w:r>
    </w:p>
    <w:p w14:paraId="1C930CA2" w14:textId="77777777" w:rsidR="0015638A" w:rsidRDefault="0015638A" w:rsidP="0015638A">
      <w:pPr>
        <w:pStyle w:val="APVMAText"/>
      </w:pPr>
      <w:r w:rsidRPr="00247024">
        <w:t xml:space="preserve">Based on its mode of action and evidence from a comprehensive range of toxicological studies involving acute administration, </w:t>
      </w:r>
      <w:r w:rsidRPr="00D66BC8">
        <w:t>it was considered unnecessary to establish an acute reference dose (</w:t>
      </w:r>
      <w:proofErr w:type="spellStart"/>
      <w:r w:rsidRPr="00D66BC8">
        <w:t>ARfD</w:t>
      </w:r>
      <w:proofErr w:type="spellEnd"/>
      <w:r w:rsidRPr="00D66BC8">
        <w:t xml:space="preserve">) for </w:t>
      </w:r>
      <w:proofErr w:type="spellStart"/>
      <w:r w:rsidRPr="00D66BC8">
        <w:t>topramezone</w:t>
      </w:r>
      <w:proofErr w:type="spellEnd"/>
      <w:r w:rsidRPr="00D66BC8">
        <w:t>.</w:t>
      </w:r>
    </w:p>
    <w:p w14:paraId="5AAB2CF5" w14:textId="30D584A7" w:rsidR="00277F23" w:rsidRDefault="004C7182" w:rsidP="00277F23">
      <w:pPr>
        <w:pStyle w:val="Heading2"/>
      </w:pPr>
      <w:bookmarkStart w:id="23" w:name="_Toc6472826"/>
      <w:r>
        <w:t>Recommendations</w:t>
      </w:r>
      <w:bookmarkEnd w:id="23"/>
    </w:p>
    <w:p w14:paraId="28204BF3" w14:textId="77777777" w:rsidR="0015638A" w:rsidRDefault="0015638A" w:rsidP="0015638A">
      <w:pPr>
        <w:pStyle w:val="APVMAText"/>
      </w:pPr>
      <w:r w:rsidRPr="007B3550">
        <w:t xml:space="preserve">Based on a review of the submitted toxicological data, the approval of </w:t>
      </w:r>
      <w:proofErr w:type="spellStart"/>
      <w:r w:rsidRPr="007B3550">
        <w:t>topramezone</w:t>
      </w:r>
      <w:proofErr w:type="spellEnd"/>
      <w:r w:rsidRPr="007B3550">
        <w:t xml:space="preserve"> and registration of </w:t>
      </w:r>
      <w:r>
        <w:t>Frequency Herbicide</w:t>
      </w:r>
      <w:r w:rsidRPr="007B3550">
        <w:t xml:space="preserve"> is supported from a human health perspective.</w:t>
      </w:r>
    </w:p>
    <w:p w14:paraId="3F93C736" w14:textId="77777777" w:rsidR="00F27E0D" w:rsidRDefault="00F27E0D">
      <w:pPr>
        <w:pStyle w:val="APVMAText"/>
        <w:sectPr w:rsidR="00F27E0D">
          <w:headerReference w:type="default" r:id="rId35"/>
          <w:pgSz w:w="11906" w:h="16838" w:code="9"/>
          <w:pgMar w:top="2835" w:right="1134" w:bottom="1134" w:left="1134" w:header="1701" w:footer="680" w:gutter="0"/>
          <w:cols w:space="708"/>
          <w:docGrid w:linePitch="360"/>
        </w:sectPr>
      </w:pPr>
    </w:p>
    <w:p w14:paraId="234E3C02" w14:textId="77777777" w:rsidR="00F27E0D" w:rsidRDefault="00F27E0D">
      <w:pPr>
        <w:pStyle w:val="Heading1"/>
        <w:rPr>
          <w:lang w:val="en-GB"/>
        </w:rPr>
      </w:pPr>
      <w:bookmarkStart w:id="24" w:name="_Toc231963188"/>
      <w:bookmarkStart w:id="25" w:name="_Toc6472827"/>
      <w:r>
        <w:rPr>
          <w:lang w:val="en-GB"/>
        </w:rPr>
        <w:lastRenderedPageBreak/>
        <w:t>Residues assessment</w:t>
      </w:r>
      <w:bookmarkEnd w:id="24"/>
      <w:bookmarkEnd w:id="25"/>
    </w:p>
    <w:p w14:paraId="4ADFF1D7" w14:textId="77777777" w:rsidR="0015638A" w:rsidRPr="00EC1FD7" w:rsidRDefault="0015638A" w:rsidP="0015638A">
      <w:pPr>
        <w:pStyle w:val="APVMAText"/>
        <w:rPr>
          <w:lang w:val="en-GB"/>
        </w:rPr>
      </w:pPr>
      <w:r>
        <w:rPr>
          <w:lang w:val="en-GB"/>
        </w:rPr>
        <w:t xml:space="preserve">Metabolism, analytical methodology, residue trial data, animal transfer and trade aspects have been considered for </w:t>
      </w:r>
      <w:proofErr w:type="spellStart"/>
      <w:r>
        <w:rPr>
          <w:lang w:val="en-GB"/>
        </w:rPr>
        <w:t>topramezone</w:t>
      </w:r>
      <w:proofErr w:type="spellEnd"/>
      <w:r>
        <w:rPr>
          <w:lang w:val="en-GB"/>
        </w:rPr>
        <w:t xml:space="preserve">. For </w:t>
      </w:r>
      <w:proofErr w:type="spellStart"/>
      <w:r>
        <w:rPr>
          <w:lang w:val="en-GB"/>
        </w:rPr>
        <w:t>cloquintocet-mexyl</w:t>
      </w:r>
      <w:proofErr w:type="spellEnd"/>
      <w:r>
        <w:rPr>
          <w:lang w:val="en-GB"/>
        </w:rPr>
        <w:t xml:space="preserve"> which is also in Frequency Herbicide, the proposed use involves lower application rates than are currently approved and therefore residue or trade aspects of </w:t>
      </w:r>
      <w:proofErr w:type="spellStart"/>
      <w:r>
        <w:rPr>
          <w:lang w:val="en-GB"/>
        </w:rPr>
        <w:t>cloquintocet-mexyl</w:t>
      </w:r>
      <w:proofErr w:type="spellEnd"/>
      <w:r>
        <w:rPr>
          <w:lang w:val="en-GB"/>
        </w:rPr>
        <w:t xml:space="preserve"> will not be discussed further.</w:t>
      </w:r>
    </w:p>
    <w:p w14:paraId="6294F0AB" w14:textId="77777777" w:rsidR="00F27E0D" w:rsidRDefault="005A7D0A" w:rsidP="005A7D0A">
      <w:pPr>
        <w:pStyle w:val="Heading2"/>
        <w:rPr>
          <w:lang w:val="en-GB"/>
        </w:rPr>
      </w:pPr>
      <w:bookmarkStart w:id="26" w:name="_Toc6472828"/>
      <w:r>
        <w:rPr>
          <w:lang w:val="en-GB"/>
        </w:rPr>
        <w:t>Metabolism</w:t>
      </w:r>
      <w:bookmarkEnd w:id="26"/>
    </w:p>
    <w:p w14:paraId="71FCD5E2" w14:textId="77777777" w:rsidR="0015638A" w:rsidRDefault="0015638A" w:rsidP="0015638A">
      <w:pPr>
        <w:pStyle w:val="Heading3"/>
        <w:rPr>
          <w:lang w:val="en-GB"/>
        </w:rPr>
      </w:pPr>
      <w:r>
        <w:rPr>
          <w:lang w:val="en-GB"/>
        </w:rPr>
        <w:t>Maize</w:t>
      </w:r>
    </w:p>
    <w:p w14:paraId="0BA62C33" w14:textId="77777777" w:rsidR="0015638A" w:rsidRDefault="0015638A" w:rsidP="0015638A">
      <w:pPr>
        <w:pStyle w:val="APVMAText"/>
      </w:pPr>
      <w:r w:rsidRPr="000171FF">
        <w:t xml:space="preserve">The metabolism of </w:t>
      </w:r>
      <w:proofErr w:type="spellStart"/>
      <w:r>
        <w:t>topramezone</w:t>
      </w:r>
      <w:proofErr w:type="spellEnd"/>
      <w:r>
        <w:t xml:space="preserve"> in maize has been</w:t>
      </w:r>
      <w:r w:rsidRPr="000171FF">
        <w:t xml:space="preserve"> studied following one </w:t>
      </w:r>
      <w:r>
        <w:t xml:space="preserve">single post emergent </w:t>
      </w:r>
      <w:r w:rsidRPr="000171FF">
        <w:t xml:space="preserve">application of </w:t>
      </w:r>
      <w:r w:rsidRPr="008B0342">
        <w:rPr>
          <w:vertAlign w:val="superscript"/>
        </w:rPr>
        <w:t>14</w:t>
      </w:r>
      <w:r w:rsidRPr="008B0342">
        <w:t xml:space="preserve">C-labeled test materials </w:t>
      </w:r>
      <w:r>
        <w:t>applied</w:t>
      </w:r>
      <w:r w:rsidRPr="000171FF">
        <w:t xml:space="preserve"> </w:t>
      </w:r>
      <w:r>
        <w:t xml:space="preserve">at </w:t>
      </w:r>
      <w:r w:rsidRPr="000171FF">
        <w:t xml:space="preserve">0.15 kg </w:t>
      </w:r>
      <w:proofErr w:type="spellStart"/>
      <w:r w:rsidRPr="000171FF">
        <w:t>ai</w:t>
      </w:r>
      <w:proofErr w:type="spellEnd"/>
      <w:r w:rsidRPr="000171FF">
        <w:t>/ha</w:t>
      </w:r>
      <w:r>
        <w:t xml:space="preserve"> </w:t>
      </w:r>
      <w:r w:rsidRPr="000171FF">
        <w:t xml:space="preserve">between crop growth stages </w:t>
      </w:r>
      <w:r>
        <w:t xml:space="preserve">BBCH </w:t>
      </w:r>
      <w:r w:rsidRPr="000171FF">
        <w:t xml:space="preserve">12 </w:t>
      </w:r>
      <w:r>
        <w:t xml:space="preserve">and </w:t>
      </w:r>
      <w:r w:rsidRPr="000171FF">
        <w:t>18</w:t>
      </w:r>
      <w:r>
        <w:t>.</w:t>
      </w:r>
    </w:p>
    <w:p w14:paraId="00FA65FD" w14:textId="4F3B18A7" w:rsidR="0015638A" w:rsidRDefault="0015638A" w:rsidP="0015638A">
      <w:pPr>
        <w:pStyle w:val="APVMAText"/>
      </w:pPr>
      <w:r>
        <w:t xml:space="preserve">The radioactive residue level in grain was low, at up to 0.11 mg </w:t>
      </w:r>
      <w:proofErr w:type="spellStart"/>
      <w:r>
        <w:t>equiv</w:t>
      </w:r>
      <w:proofErr w:type="spellEnd"/>
      <w:r>
        <w:t>/kg with non-extractabl</w:t>
      </w:r>
      <w:r w:rsidR="00EB427D">
        <w:t>e residues accounting for &gt;75.7 per cent</w:t>
      </w:r>
      <w:r>
        <w:t xml:space="preserve"> of thi</w:t>
      </w:r>
      <w:r w:rsidR="00EB427D">
        <w:t>s TRR. Parent compound was ≤2.5 per cent</w:t>
      </w:r>
      <w:r>
        <w:t xml:space="preserve"> TRR and M670H05 ≤3.4</w:t>
      </w:r>
      <w:r w:rsidR="00EB427D">
        <w:t xml:space="preserve"> per cent</w:t>
      </w:r>
      <w:r>
        <w:t xml:space="preserve"> TRR. In forage (PHI 59</w:t>
      </w:r>
      <w:r w:rsidR="00AA2707">
        <w:t>–</w:t>
      </w:r>
      <w:r>
        <w:t>60 days) and straw intended as feedstuffs, parent was the main component, detected up to 41</w:t>
      </w:r>
      <w:r w:rsidR="00EB427D">
        <w:t xml:space="preserve"> per cent</w:t>
      </w:r>
      <w:r>
        <w:t xml:space="preserve"> TRR (0.3 mg </w:t>
      </w:r>
      <w:proofErr w:type="spellStart"/>
      <w:r>
        <w:t>equiv</w:t>
      </w:r>
      <w:proofErr w:type="spellEnd"/>
      <w:r>
        <w:t>/kg) with the free acid metabolite M670H05 at up to 7.2</w:t>
      </w:r>
      <w:r w:rsidR="00EB427D">
        <w:t xml:space="preserve"> per cent</w:t>
      </w:r>
      <w:r>
        <w:t xml:space="preserve"> of the TRR (0.052 mg </w:t>
      </w:r>
      <w:proofErr w:type="spellStart"/>
      <w:r>
        <w:t>equiv</w:t>
      </w:r>
      <w:proofErr w:type="spellEnd"/>
      <w:r>
        <w:t>/kg) in maize straw.</w:t>
      </w:r>
    </w:p>
    <w:p w14:paraId="6A1E7A97" w14:textId="77777777" w:rsidR="0015638A" w:rsidRPr="00F57FEC" w:rsidRDefault="0015638A" w:rsidP="0015638A">
      <w:pPr>
        <w:pStyle w:val="Heading3"/>
        <w:rPr>
          <w:lang w:val="en-GB"/>
        </w:rPr>
      </w:pPr>
      <w:r>
        <w:rPr>
          <w:lang w:val="en-GB"/>
        </w:rPr>
        <w:t>Confined Rotational Crops</w:t>
      </w:r>
    </w:p>
    <w:p w14:paraId="2E51D084" w14:textId="1EA2824A" w:rsidR="0015638A" w:rsidRPr="008B0342" w:rsidRDefault="0015638A" w:rsidP="0015638A">
      <w:pPr>
        <w:pStyle w:val="APVMAText"/>
      </w:pPr>
      <w:r w:rsidRPr="008B0342">
        <w:t xml:space="preserve">The residues of </w:t>
      </w:r>
      <w:proofErr w:type="spellStart"/>
      <w:r>
        <w:t>topramezone</w:t>
      </w:r>
      <w:proofErr w:type="spellEnd"/>
      <w:r>
        <w:t xml:space="preserve"> </w:t>
      </w:r>
      <w:r w:rsidRPr="008B0342">
        <w:t xml:space="preserve">in succeeding crops were investigated using </w:t>
      </w:r>
      <w:r>
        <w:t xml:space="preserve">a single application to bare sandy loam soil of </w:t>
      </w:r>
      <w:r w:rsidRPr="008B0342">
        <w:rPr>
          <w:vertAlign w:val="superscript"/>
        </w:rPr>
        <w:t>14</w:t>
      </w:r>
      <w:r w:rsidRPr="008B0342">
        <w:t xml:space="preserve">C-labeled test materials </w:t>
      </w:r>
      <w:r>
        <w:t>applied at 81</w:t>
      </w:r>
      <w:r w:rsidR="002B04B9">
        <w:t>–</w:t>
      </w:r>
      <w:r>
        <w:t xml:space="preserve">84 g </w:t>
      </w:r>
      <w:proofErr w:type="spellStart"/>
      <w:r>
        <w:t>ai</w:t>
      </w:r>
      <w:proofErr w:type="spellEnd"/>
      <w:r>
        <w:t>/ha.</w:t>
      </w:r>
      <w:r w:rsidRPr="008B0342">
        <w:t xml:space="preserve"> Rotational crops were planted after aging periods of 34 days (radishes, winter</w:t>
      </w:r>
      <w:r>
        <w:t xml:space="preserve"> </w:t>
      </w:r>
      <w:r w:rsidRPr="008B0342">
        <w:t>wheat, and mustard greens), 99 days (sorghum and mustard greens) and 393 days (mustard greens), following simulation of ploughing by hand-tilling the plots to a depth of about 10 cm.</w:t>
      </w:r>
    </w:p>
    <w:p w14:paraId="17FF749B" w14:textId="474051E9" w:rsidR="0015638A" w:rsidRDefault="0015638A" w:rsidP="0015638A">
      <w:pPr>
        <w:pStyle w:val="APVMAText"/>
      </w:pPr>
      <w:r>
        <w:t xml:space="preserve">The residue level was only &gt;0.01 mg </w:t>
      </w:r>
      <w:proofErr w:type="spellStart"/>
      <w:r>
        <w:t>equiv</w:t>
      </w:r>
      <w:proofErr w:type="spellEnd"/>
      <w:r>
        <w:t>/kg in rotational crops from the 34 day after treatment (DAT) planting interval. There, the parent was observed as the major component (1.6</w:t>
      </w:r>
      <w:r w:rsidR="00EA2FEF">
        <w:t>–</w:t>
      </w:r>
      <w:r>
        <w:t>64.4</w:t>
      </w:r>
      <w:r w:rsidR="00EA2FEF">
        <w:t xml:space="preserve"> per cent</w:t>
      </w:r>
      <w:r>
        <w:t xml:space="preserve"> TRR) in all edible crops (mustard green, wheat forage, hay, grain and straw) but ≤0.0047 mg </w:t>
      </w:r>
      <w:proofErr w:type="spellStart"/>
      <w:r>
        <w:t>equiv</w:t>
      </w:r>
      <w:proofErr w:type="spellEnd"/>
      <w:r>
        <w:t xml:space="preserve">/kg in wheat grain, ≤0.0079 mg </w:t>
      </w:r>
      <w:proofErr w:type="spellStart"/>
      <w:r>
        <w:t>equiv</w:t>
      </w:r>
      <w:proofErr w:type="spellEnd"/>
      <w:r>
        <w:t xml:space="preserve">/kg in mustard greens and 0.016 mg </w:t>
      </w:r>
      <w:proofErr w:type="spellStart"/>
      <w:r>
        <w:t>equiv</w:t>
      </w:r>
      <w:proofErr w:type="spellEnd"/>
      <w:r>
        <w:t>/kg in wheat hay. The free acid metaboli</w:t>
      </w:r>
      <w:r w:rsidR="00EA2FEF">
        <w:t>te M670H05 was observed at 10.3 per cent</w:t>
      </w:r>
      <w:r>
        <w:t xml:space="preserve"> TRR in mustard greens (0.0026 mg </w:t>
      </w:r>
      <w:proofErr w:type="spellStart"/>
      <w:r>
        <w:t>equiv</w:t>
      </w:r>
      <w:proofErr w:type="spellEnd"/>
      <w:r>
        <w:t>/kg) and 45</w:t>
      </w:r>
      <w:r w:rsidR="00EA2FEF">
        <w:t xml:space="preserve"> per cent</w:t>
      </w:r>
      <w:r>
        <w:t xml:space="preserve"> of the TRR (0.0093 mg </w:t>
      </w:r>
      <w:proofErr w:type="spellStart"/>
      <w:r>
        <w:t>equiv</w:t>
      </w:r>
      <w:proofErr w:type="spellEnd"/>
      <w:r>
        <w:t>/kg) in wheat grain. No significant residues were observed for longer DAT planting intervals.</w:t>
      </w:r>
    </w:p>
    <w:p w14:paraId="3E2911B6" w14:textId="63B4B238" w:rsidR="00AA2707" w:rsidRDefault="0015638A" w:rsidP="0015638A">
      <w:pPr>
        <w:pStyle w:val="APVMAText"/>
      </w:pPr>
      <w:r>
        <w:t xml:space="preserve">The proposed metabolic pathway for </w:t>
      </w:r>
      <w:proofErr w:type="spellStart"/>
      <w:r>
        <w:t>topramezone</w:t>
      </w:r>
      <w:proofErr w:type="spellEnd"/>
      <w:r>
        <w:t xml:space="preserve"> in plants (maize) and rotational crops is summarised below:</w:t>
      </w:r>
      <w:r w:rsidR="00AA2707">
        <w:br w:type="page"/>
      </w:r>
    </w:p>
    <w:p w14:paraId="534F3B45" w14:textId="21A1B5DD" w:rsidR="00AA2707" w:rsidRDefault="00AA2707" w:rsidP="00AA2707">
      <w:pPr>
        <w:pStyle w:val="Caption"/>
      </w:pPr>
      <w:r>
        <w:rPr>
          <w:lang w:val="en-GB"/>
        </w:rPr>
        <w:lastRenderedPageBreak/>
        <w:t xml:space="preserve">Proposed metabolic pathway for </w:t>
      </w:r>
      <w:proofErr w:type="spellStart"/>
      <w:r>
        <w:rPr>
          <w:lang w:val="en-GB"/>
        </w:rPr>
        <w:t>topramezone</w:t>
      </w:r>
      <w:proofErr w:type="spellEnd"/>
      <w:r>
        <w:rPr>
          <w:lang w:val="en-GB"/>
        </w:rPr>
        <w:t xml:space="preserve"> in plants</w:t>
      </w:r>
    </w:p>
    <w:p w14:paraId="46670768" w14:textId="1D7893FF" w:rsidR="001E11F6" w:rsidRDefault="0015638A" w:rsidP="00AA2707">
      <w:pPr>
        <w:pStyle w:val="APVMAText"/>
        <w:rPr>
          <w:lang w:val="en-GB"/>
        </w:rPr>
      </w:pPr>
      <w:r w:rsidRPr="00854188">
        <w:rPr>
          <w:noProof/>
          <w:lang w:eastAsia="en-AU"/>
        </w:rPr>
        <w:drawing>
          <wp:anchor distT="0" distB="0" distL="114300" distR="114300" simplePos="0" relativeHeight="251664384" behindDoc="0" locked="0" layoutInCell="1" allowOverlap="1" wp14:anchorId="499076E8" wp14:editId="4FA64B48">
            <wp:simplePos x="0" y="0"/>
            <wp:positionH relativeFrom="column">
              <wp:posOffset>254000</wp:posOffset>
            </wp:positionH>
            <wp:positionV relativeFrom="paragraph">
              <wp:posOffset>0</wp:posOffset>
            </wp:positionV>
            <wp:extent cx="5227837" cy="4448175"/>
            <wp:effectExtent l="0" t="0" r="0" b="0"/>
            <wp:wrapTopAndBottom/>
            <wp:docPr id="8" name="Picture 8" descr="proposed metabolic pathway for topramezone in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27837" cy="444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E81D2" w14:textId="77777777" w:rsidR="001E11F6" w:rsidRDefault="001E11F6" w:rsidP="001E11F6">
      <w:pPr>
        <w:pStyle w:val="Heading3"/>
        <w:rPr>
          <w:lang w:val="en-GB"/>
        </w:rPr>
      </w:pPr>
      <w:r>
        <w:rPr>
          <w:lang w:val="en-GB"/>
        </w:rPr>
        <w:t>Lactating goats</w:t>
      </w:r>
    </w:p>
    <w:p w14:paraId="7B77065D" w14:textId="0CDE0ADD" w:rsidR="001E11F6" w:rsidRPr="00570F1D" w:rsidRDefault="001E11F6" w:rsidP="001E11F6">
      <w:pPr>
        <w:pStyle w:val="APVMAText"/>
      </w:pPr>
      <w:r w:rsidRPr="00F46731">
        <w:t>Based on the daily consumption and the individual body weight,</w:t>
      </w:r>
      <w:r w:rsidRPr="00570F1D">
        <w:t xml:space="preserve"> [</w:t>
      </w:r>
      <w:r w:rsidRPr="004657F0">
        <w:rPr>
          <w:vertAlign w:val="superscript"/>
        </w:rPr>
        <w:t>14</w:t>
      </w:r>
      <w:r w:rsidRPr="00570F1D">
        <w:t>C-phenyl]-BAS 67</w:t>
      </w:r>
      <w:r w:rsidR="000E3142">
        <w:t>0 H was administered daily for five</w:t>
      </w:r>
      <w:r w:rsidRPr="00570F1D">
        <w:t xml:space="preserve"> consecutive days to two goats at a mean dose level of 9.9 mg/kg in the total ration (0.52mg/kg </w:t>
      </w:r>
      <w:proofErr w:type="spellStart"/>
      <w:r w:rsidRPr="00570F1D">
        <w:t>bw</w:t>
      </w:r>
      <w:proofErr w:type="spellEnd"/>
      <w:r w:rsidRPr="00570F1D">
        <w:t>/d)</w:t>
      </w:r>
      <w:r>
        <w:t>.</w:t>
      </w:r>
      <w:r w:rsidRPr="00570F1D">
        <w:t xml:space="preserve"> </w:t>
      </w:r>
      <w:r>
        <w:t>S</w:t>
      </w:r>
      <w:r w:rsidRPr="00570F1D">
        <w:t>imilarly, [</w:t>
      </w:r>
      <w:r w:rsidRPr="004657F0">
        <w:rPr>
          <w:vertAlign w:val="superscript"/>
        </w:rPr>
        <w:t>14</w:t>
      </w:r>
      <w:r w:rsidRPr="00570F1D">
        <w:t xml:space="preserve">C-pyrazole] -BAS 670 H was administered daily for </w:t>
      </w:r>
      <w:r w:rsidR="000E3142">
        <w:t>five</w:t>
      </w:r>
      <w:r w:rsidRPr="00570F1D">
        <w:t xml:space="preserve"> consecutive days to two goats at a dose level of 11.2 mg/kg in the total ration (0.51mg/kg </w:t>
      </w:r>
      <w:proofErr w:type="spellStart"/>
      <w:r w:rsidRPr="00570F1D">
        <w:t>bw</w:t>
      </w:r>
      <w:proofErr w:type="spellEnd"/>
      <w:r w:rsidRPr="00570F1D">
        <w:t>/d).</w:t>
      </w:r>
      <w:r>
        <w:t xml:space="preserve"> </w:t>
      </w:r>
      <w:r w:rsidRPr="00570F1D">
        <w:t>The goats were milked twice daily and samples were collected from the beginning of the accl</w:t>
      </w:r>
      <w:r>
        <w:t xml:space="preserve">imation until sacrifice. </w:t>
      </w:r>
      <w:r w:rsidRPr="00570F1D">
        <w:t>The goats were sacrificed 21</w:t>
      </w:r>
      <w:r w:rsidR="002B04B9">
        <w:t>–</w:t>
      </w:r>
      <w:r w:rsidRPr="00570F1D">
        <w:t>23 hours after administration o</w:t>
      </w:r>
      <w:r>
        <w:t>f the fifth and final dose</w:t>
      </w:r>
      <w:r w:rsidRPr="00570F1D">
        <w:t>. Following sacrifice, composite sample of muscles, omental and perineal fats, liver and kidneys were taken for analysis.</w:t>
      </w:r>
    </w:p>
    <w:p w14:paraId="6AA636EE" w14:textId="1F19AD53" w:rsidR="001E11F6" w:rsidRPr="00BB456D" w:rsidRDefault="00EA2FEF" w:rsidP="001E11F6">
      <w:pPr>
        <w:pStyle w:val="APVMAText"/>
        <w:jc w:val="both"/>
      </w:pPr>
      <w:r>
        <w:t>Up to 38 per cent</w:t>
      </w:r>
      <w:r w:rsidR="001E11F6">
        <w:t xml:space="preserve"> of the total administered dose was excreted in faeces, with up to 45</w:t>
      </w:r>
      <w:r>
        <w:t xml:space="preserve"> per cent</w:t>
      </w:r>
      <w:r w:rsidR="001E11F6">
        <w:t xml:space="preserve"> in urine. There was no indication of accumulation of </w:t>
      </w:r>
      <w:proofErr w:type="spellStart"/>
      <w:r w:rsidR="001E11F6">
        <w:t>topramezone</w:t>
      </w:r>
      <w:proofErr w:type="spellEnd"/>
      <w:r w:rsidR="001E11F6">
        <w:t xml:space="preserve"> residues in milk, muscle or fat where total radioactive residues were &lt;0.01 mg </w:t>
      </w:r>
      <w:proofErr w:type="spellStart"/>
      <w:r w:rsidR="001E11F6">
        <w:t>equiv</w:t>
      </w:r>
      <w:proofErr w:type="spellEnd"/>
      <w:r w:rsidR="001E11F6">
        <w:t xml:space="preserve">/kg. In </w:t>
      </w:r>
      <w:proofErr w:type="spellStart"/>
      <w:r w:rsidR="001E11F6">
        <w:t>offals</w:t>
      </w:r>
      <w:proofErr w:type="spellEnd"/>
      <w:r w:rsidR="001E11F6">
        <w:t xml:space="preserve">, </w:t>
      </w:r>
      <w:r w:rsidR="001E11F6" w:rsidRPr="00F772E9">
        <w:rPr>
          <w:vertAlign w:val="superscript"/>
        </w:rPr>
        <w:t>14</w:t>
      </w:r>
      <w:r w:rsidR="001E11F6">
        <w:t xml:space="preserve">C residues represented ≤0.36 mg </w:t>
      </w:r>
      <w:proofErr w:type="spellStart"/>
      <w:r w:rsidR="001E11F6">
        <w:t>equiv</w:t>
      </w:r>
      <w:proofErr w:type="spellEnd"/>
      <w:r w:rsidR="001E11F6">
        <w:t xml:space="preserve">/kg and up to 2.2 mg </w:t>
      </w:r>
      <w:proofErr w:type="spellStart"/>
      <w:r w:rsidR="001E11F6">
        <w:t>equiv</w:t>
      </w:r>
      <w:proofErr w:type="spellEnd"/>
      <w:r w:rsidR="001E11F6">
        <w:t>/kg in kidney and liver respectively. Unchanged parent and its hydroxylated metabolite (M670H02) were the main metabolites representing up to 79.5</w:t>
      </w:r>
      <w:r>
        <w:t xml:space="preserve"> per cent</w:t>
      </w:r>
      <w:r w:rsidR="001E11F6">
        <w:t xml:space="preserve"> and 29.6</w:t>
      </w:r>
      <w:r>
        <w:t xml:space="preserve"> per cent</w:t>
      </w:r>
      <w:r w:rsidR="001E11F6">
        <w:t xml:space="preserve"> TRR respectively. M670H01 was detec</w:t>
      </w:r>
      <w:r w:rsidR="00EB427D">
        <w:t>ted as a minor metabolite at &lt;1 per cent</w:t>
      </w:r>
      <w:r w:rsidR="001E11F6">
        <w:t xml:space="preserve"> TRR (0.013 mg </w:t>
      </w:r>
      <w:proofErr w:type="spellStart"/>
      <w:r w:rsidR="001E11F6">
        <w:t>equiv</w:t>
      </w:r>
      <w:proofErr w:type="spellEnd"/>
      <w:r w:rsidR="001E11F6">
        <w:t>/kg).</w:t>
      </w:r>
    </w:p>
    <w:p w14:paraId="05963F87" w14:textId="3EF701D0" w:rsidR="001E11F6" w:rsidRDefault="001E11F6" w:rsidP="001E11F6">
      <w:pPr>
        <w:pStyle w:val="APVMAText"/>
        <w:jc w:val="both"/>
      </w:pPr>
      <w:r>
        <w:lastRenderedPageBreak/>
        <w:t xml:space="preserve">The proposed metabolic pathway for </w:t>
      </w:r>
      <w:proofErr w:type="spellStart"/>
      <w:r>
        <w:t>topramezone</w:t>
      </w:r>
      <w:proofErr w:type="spellEnd"/>
      <w:r>
        <w:t xml:space="preserve"> in lactating goats is summarised below:</w:t>
      </w:r>
    </w:p>
    <w:p w14:paraId="53624985" w14:textId="77777777" w:rsidR="0017725B" w:rsidRDefault="0017725B" w:rsidP="0017725B">
      <w:pPr>
        <w:pStyle w:val="Caption"/>
        <w:rPr>
          <w:lang w:val="en-GB"/>
        </w:rPr>
      </w:pPr>
      <w:r>
        <w:rPr>
          <w:lang w:val="en-GB"/>
        </w:rPr>
        <w:t xml:space="preserve">Proposed metabolic pathway for </w:t>
      </w:r>
      <w:proofErr w:type="spellStart"/>
      <w:r>
        <w:rPr>
          <w:lang w:val="en-GB"/>
        </w:rPr>
        <w:t>tropamezone</w:t>
      </w:r>
      <w:proofErr w:type="spellEnd"/>
      <w:r>
        <w:rPr>
          <w:lang w:val="en-GB"/>
        </w:rPr>
        <w:t xml:space="preserve"> in lactating goats</w:t>
      </w:r>
    </w:p>
    <w:p w14:paraId="5981FD27" w14:textId="066D98A9" w:rsidR="001E11F6" w:rsidRDefault="0017725B" w:rsidP="0017725B">
      <w:pPr>
        <w:pStyle w:val="APVMAText"/>
        <w:rPr>
          <w:lang w:val="en-GB"/>
        </w:rPr>
      </w:pPr>
      <w:r w:rsidRPr="00F06ADF">
        <w:rPr>
          <w:noProof/>
          <w:lang w:eastAsia="en-AU"/>
        </w:rPr>
        <w:drawing>
          <wp:anchor distT="0" distB="0" distL="114300" distR="114300" simplePos="0" relativeHeight="251666432" behindDoc="0" locked="0" layoutInCell="1" allowOverlap="1" wp14:anchorId="700FC334" wp14:editId="4554703A">
            <wp:simplePos x="0" y="0"/>
            <wp:positionH relativeFrom="margin">
              <wp:posOffset>2259965</wp:posOffset>
            </wp:positionH>
            <wp:positionV relativeFrom="paragraph">
              <wp:posOffset>254000</wp:posOffset>
            </wp:positionV>
            <wp:extent cx="2476500" cy="3985725"/>
            <wp:effectExtent l="0" t="0" r="0" b="0"/>
            <wp:wrapTopAndBottom/>
            <wp:docPr id="9" name="Picture 9" descr="proposed metabolic pathway for tropamezone in lactating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76500" cy="3985725"/>
                    </a:xfrm>
                    <a:prstGeom prst="rect">
                      <a:avLst/>
                    </a:prstGeom>
                    <a:noFill/>
                    <a:ln>
                      <a:noFill/>
                    </a:ln>
                  </pic:spPr>
                </pic:pic>
              </a:graphicData>
            </a:graphic>
          </wp:anchor>
        </w:drawing>
      </w:r>
    </w:p>
    <w:p w14:paraId="0F84AA40" w14:textId="77777777" w:rsidR="0017725B" w:rsidRDefault="0017725B" w:rsidP="0017725B">
      <w:pPr>
        <w:pStyle w:val="APVMAText"/>
        <w:rPr>
          <w:lang w:val="en-GB"/>
        </w:rPr>
      </w:pPr>
    </w:p>
    <w:p w14:paraId="325983DD" w14:textId="129F842C" w:rsidR="001E11F6" w:rsidRDefault="001E11F6" w:rsidP="001E11F6">
      <w:pPr>
        <w:pStyle w:val="Heading3"/>
        <w:rPr>
          <w:lang w:val="en-GB"/>
        </w:rPr>
      </w:pPr>
      <w:r>
        <w:rPr>
          <w:lang w:val="en-GB"/>
        </w:rPr>
        <w:t>Laying hens</w:t>
      </w:r>
    </w:p>
    <w:p w14:paraId="2F248383" w14:textId="59E393C1" w:rsidR="001E11F6" w:rsidRPr="00F46731" w:rsidRDefault="001E11F6" w:rsidP="001E11F6">
      <w:pPr>
        <w:pStyle w:val="APVMAText"/>
        <w:jc w:val="both"/>
      </w:pPr>
      <w:r w:rsidRPr="00F46731">
        <w:t>Based on the daily consumption and the individual body weight, [</w:t>
      </w:r>
      <w:r w:rsidRPr="004657F0">
        <w:rPr>
          <w:vertAlign w:val="superscript"/>
        </w:rPr>
        <w:t>14</w:t>
      </w:r>
      <w:r w:rsidRPr="00F46731">
        <w:t>C-phenyl]-BAS 670 H was administered daily for 10 consecutive days to ten hens at the actual dose level of 13.4 mg/kg in the diet. Similarly, [</w:t>
      </w:r>
      <w:r w:rsidRPr="004657F0">
        <w:rPr>
          <w:vertAlign w:val="superscript"/>
        </w:rPr>
        <w:t>14</w:t>
      </w:r>
      <w:r w:rsidRPr="00F46731">
        <w:t>C-pyrazole] -BAS 670 H was administered to ten hens at the actual dose level of 12.3 mg/kg in the diet.</w:t>
      </w:r>
    </w:p>
    <w:p w14:paraId="098B1EF9" w14:textId="7847324E" w:rsidR="001E11F6" w:rsidRPr="001E11F6" w:rsidRDefault="001E11F6" w:rsidP="001E11F6">
      <w:pPr>
        <w:pStyle w:val="APVMAText"/>
        <w:rPr>
          <w:b/>
          <w:lang w:val="en-GB"/>
        </w:rPr>
      </w:pPr>
      <w:r w:rsidRPr="00F46731">
        <w:t>Individual eggs were collected twice a day and pooled per treatment group</w:t>
      </w:r>
      <w:r>
        <w:t>.</w:t>
      </w:r>
      <w:r w:rsidR="002B04B9">
        <w:t xml:space="preserve"> The hens were sacrificed 21–</w:t>
      </w:r>
      <w:r w:rsidRPr="00F46731">
        <w:t>23 hours after administration of the tent</w:t>
      </w:r>
      <w:r>
        <w:t>h and final dose.</w:t>
      </w:r>
      <w:r w:rsidRPr="00F46731">
        <w:t xml:space="preserve"> After sacrifice, muscle (composite sample containing all breast</w:t>
      </w:r>
      <w:r>
        <w:rPr>
          <w:b/>
          <w:lang w:val="en-GB"/>
        </w:rPr>
        <w:t xml:space="preserve"> </w:t>
      </w:r>
      <w:r w:rsidRPr="00F46731">
        <w:t>and thigh muscle), fat (visceral fat and fat adhering to the skin and muscle), and entire liver were taken.</w:t>
      </w:r>
    </w:p>
    <w:p w14:paraId="29253016" w14:textId="54B880D4" w:rsidR="001E11F6" w:rsidRPr="00165190" w:rsidRDefault="00EA2FEF" w:rsidP="001E11F6">
      <w:pPr>
        <w:pStyle w:val="APVMAText"/>
        <w:jc w:val="both"/>
      </w:pPr>
      <w:r>
        <w:t>Up to 93 per cent</w:t>
      </w:r>
      <w:r w:rsidR="001E11F6">
        <w:t xml:space="preserve"> of the total administered dose was found in excreta. In tissues and eggs, </w:t>
      </w:r>
      <w:r w:rsidR="001E11F6" w:rsidRPr="009D6829">
        <w:rPr>
          <w:vertAlign w:val="superscript"/>
        </w:rPr>
        <w:t>14</w:t>
      </w:r>
      <w:r w:rsidR="001E11F6">
        <w:t xml:space="preserve">C residues were &lt;0.01 mg </w:t>
      </w:r>
      <w:proofErr w:type="spellStart"/>
      <w:r w:rsidR="001E11F6">
        <w:t>equiv</w:t>
      </w:r>
      <w:proofErr w:type="spellEnd"/>
      <w:r w:rsidR="001E11F6">
        <w:t xml:space="preserve">/kg, but in liver they represented 1.68 mg </w:t>
      </w:r>
      <w:proofErr w:type="spellStart"/>
      <w:r w:rsidR="001E11F6">
        <w:t>equiv</w:t>
      </w:r>
      <w:proofErr w:type="spellEnd"/>
      <w:r w:rsidR="001E11F6">
        <w:t>/kg (phenyl label). In liver, unchanged parent and its hydroxylated metabolite (M670H02) were the main meta</w:t>
      </w:r>
      <w:r>
        <w:t>bolites representing up to 64.4 per cent</w:t>
      </w:r>
      <w:r w:rsidR="001E11F6">
        <w:t xml:space="preserve"> and 29.9</w:t>
      </w:r>
      <w:r>
        <w:t xml:space="preserve"> per cent</w:t>
      </w:r>
      <w:r w:rsidR="001E11F6">
        <w:t xml:space="preserve"> TRR</w:t>
      </w:r>
      <w:r w:rsidR="001E11F6" w:rsidRPr="001E11F6">
        <w:t xml:space="preserve"> </w:t>
      </w:r>
      <w:r w:rsidR="001E11F6">
        <w:t xml:space="preserve">respectively. The minor </w:t>
      </w:r>
      <w:proofErr w:type="spellStart"/>
      <w:r w:rsidR="001E11F6">
        <w:t>desmethyl</w:t>
      </w:r>
      <w:proofErr w:type="spellEnd"/>
      <w:r w:rsidR="001E11F6">
        <w:t xml:space="preserve"> hydroxyl metabolite (M67</w:t>
      </w:r>
      <w:r>
        <w:t>0H04) was observed at up to 2.4 per cent</w:t>
      </w:r>
      <w:r w:rsidR="001E11F6">
        <w:t xml:space="preserve"> TRR (0.04 mg </w:t>
      </w:r>
      <w:proofErr w:type="spellStart"/>
      <w:r w:rsidR="001E11F6">
        <w:t>equiv</w:t>
      </w:r>
      <w:proofErr w:type="spellEnd"/>
      <w:r w:rsidR="001E11F6">
        <w:t>/kg).</w:t>
      </w:r>
    </w:p>
    <w:p w14:paraId="12B28C9E" w14:textId="77777777" w:rsidR="001E11F6" w:rsidRDefault="001E11F6" w:rsidP="001E11F6">
      <w:pPr>
        <w:pStyle w:val="APVMAText"/>
        <w:jc w:val="both"/>
        <w:rPr>
          <w:lang w:val="en-GB"/>
        </w:rPr>
      </w:pPr>
      <w:r>
        <w:rPr>
          <w:lang w:val="en-GB"/>
        </w:rPr>
        <w:lastRenderedPageBreak/>
        <w:t xml:space="preserve">The proposed metabolic pathway for </w:t>
      </w:r>
      <w:proofErr w:type="spellStart"/>
      <w:r>
        <w:rPr>
          <w:lang w:val="en-GB"/>
        </w:rPr>
        <w:t>topramezone</w:t>
      </w:r>
      <w:proofErr w:type="spellEnd"/>
      <w:r>
        <w:rPr>
          <w:lang w:val="en-GB"/>
        </w:rPr>
        <w:t xml:space="preserve"> in laying hens is summarised below:</w:t>
      </w:r>
    </w:p>
    <w:p w14:paraId="137F8E5E" w14:textId="1F8559A2" w:rsidR="0017725B" w:rsidRDefault="0017725B" w:rsidP="0017725B">
      <w:pPr>
        <w:pStyle w:val="Caption"/>
        <w:rPr>
          <w:lang w:val="en-GB"/>
        </w:rPr>
      </w:pPr>
      <w:r>
        <w:rPr>
          <w:lang w:val="en-GB"/>
        </w:rPr>
        <w:t xml:space="preserve">Proposed metabolic pathway for </w:t>
      </w:r>
      <w:proofErr w:type="spellStart"/>
      <w:r>
        <w:rPr>
          <w:lang w:val="en-GB"/>
        </w:rPr>
        <w:t>topramezone</w:t>
      </w:r>
      <w:proofErr w:type="spellEnd"/>
      <w:r>
        <w:rPr>
          <w:lang w:val="en-GB"/>
        </w:rPr>
        <w:t xml:space="preserve"> in laying hens</w:t>
      </w:r>
    </w:p>
    <w:p w14:paraId="206BF88D" w14:textId="59CC5924" w:rsidR="001E11F6" w:rsidRDefault="001E11F6" w:rsidP="0017725B">
      <w:pPr>
        <w:pStyle w:val="APVMAText"/>
        <w:rPr>
          <w:lang w:val="en-GB"/>
        </w:rPr>
      </w:pPr>
      <w:r w:rsidRPr="008113B3">
        <w:rPr>
          <w:noProof/>
          <w:lang w:eastAsia="en-AU"/>
        </w:rPr>
        <w:drawing>
          <wp:anchor distT="0" distB="0" distL="114300" distR="114300" simplePos="0" relativeHeight="251668480" behindDoc="0" locked="0" layoutInCell="1" allowOverlap="1" wp14:anchorId="2BEE1943" wp14:editId="6939184A">
            <wp:simplePos x="0" y="0"/>
            <wp:positionH relativeFrom="column">
              <wp:posOffset>584200</wp:posOffset>
            </wp:positionH>
            <wp:positionV relativeFrom="paragraph">
              <wp:posOffset>0</wp:posOffset>
            </wp:positionV>
            <wp:extent cx="4962525" cy="4524375"/>
            <wp:effectExtent l="0" t="0" r="9525" b="0"/>
            <wp:wrapTopAndBottom/>
            <wp:docPr id="10" name="Picture 10" descr="proposed metabolic pathway for topramezone in laying h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62525" cy="4524375"/>
                    </a:xfrm>
                    <a:prstGeom prst="rect">
                      <a:avLst/>
                    </a:prstGeom>
                    <a:noFill/>
                    <a:ln>
                      <a:noFill/>
                    </a:ln>
                  </pic:spPr>
                </pic:pic>
              </a:graphicData>
            </a:graphic>
          </wp:anchor>
        </w:drawing>
      </w:r>
    </w:p>
    <w:p w14:paraId="5FB750DF" w14:textId="77777777" w:rsidR="001E11F6" w:rsidRDefault="001E11F6" w:rsidP="00EB427D">
      <w:pPr>
        <w:pStyle w:val="Heading2"/>
        <w:numPr>
          <w:ilvl w:val="1"/>
          <w:numId w:val="1"/>
        </w:numPr>
        <w:tabs>
          <w:tab w:val="clear" w:pos="680"/>
          <w:tab w:val="num" w:pos="907"/>
        </w:tabs>
        <w:ind w:left="907" w:hanging="907"/>
        <w:rPr>
          <w:lang w:val="en-GB"/>
        </w:rPr>
      </w:pPr>
      <w:bookmarkStart w:id="27" w:name="_Toc6240213"/>
      <w:bookmarkStart w:id="28" w:name="_Toc6472829"/>
      <w:r>
        <w:rPr>
          <w:lang w:val="en-GB"/>
        </w:rPr>
        <w:t>Analytical methods and storage stability</w:t>
      </w:r>
      <w:bookmarkEnd w:id="27"/>
      <w:bookmarkEnd w:id="28"/>
    </w:p>
    <w:p w14:paraId="0C5D7E7E" w14:textId="67A0EECD" w:rsidR="001E11F6" w:rsidRPr="009D6829" w:rsidRDefault="001E11F6" w:rsidP="001E11F6">
      <w:pPr>
        <w:pStyle w:val="APVMAText"/>
        <w:rPr>
          <w:lang w:val="en-GB"/>
        </w:rPr>
      </w:pPr>
      <w:r>
        <w:rPr>
          <w:lang w:val="en-GB"/>
        </w:rPr>
        <w:t>In</w:t>
      </w:r>
      <w:r w:rsidRPr="009D6829">
        <w:rPr>
          <w:lang w:val="en-GB"/>
        </w:rPr>
        <w:t xml:space="preserve"> Australian wheat and barley trials </w:t>
      </w:r>
      <w:proofErr w:type="spellStart"/>
      <w:r>
        <w:rPr>
          <w:lang w:val="en-GB"/>
        </w:rPr>
        <w:t>t</w:t>
      </w:r>
      <w:r w:rsidRPr="009D6829">
        <w:rPr>
          <w:lang w:val="en-GB"/>
        </w:rPr>
        <w:t>opramezone</w:t>
      </w:r>
      <w:proofErr w:type="spellEnd"/>
      <w:r w:rsidRPr="009D6829">
        <w:rPr>
          <w:lang w:val="en-GB"/>
        </w:rPr>
        <w:t xml:space="preserve"> and its metabolite </w:t>
      </w:r>
      <w:r w:rsidRPr="00A228BE">
        <w:rPr>
          <w:lang w:val="en-GB"/>
        </w:rPr>
        <w:t>M670H05</w:t>
      </w:r>
      <w:r>
        <w:rPr>
          <w:lang w:val="en-GB"/>
        </w:rPr>
        <w:t xml:space="preserve"> </w:t>
      </w:r>
      <w:r w:rsidRPr="009D6829">
        <w:rPr>
          <w:lang w:val="en-GB"/>
        </w:rPr>
        <w:t>were extracted from the blended homogenous sample with water. An aliquot of the extract was filtered prior to analysis by reverse phase Ultra Performance Liquid Chromatography (UPLC) coupled with a tandem mass spectrometric detection (MS</w:t>
      </w:r>
      <w:r w:rsidR="002B04B9">
        <w:rPr>
          <w:lang w:val="en-GB"/>
        </w:rPr>
        <w:t>–</w:t>
      </w:r>
      <w:r w:rsidRPr="009D6829">
        <w:rPr>
          <w:lang w:val="en-GB"/>
        </w:rPr>
        <w:t xml:space="preserve">MS). Quantitation was via external matrix standards. The LOQ for the method was 0.01 mg/kg for each </w:t>
      </w:r>
      <w:proofErr w:type="spellStart"/>
      <w:r w:rsidRPr="009D6829">
        <w:rPr>
          <w:lang w:val="en-GB"/>
        </w:rPr>
        <w:t>analyte</w:t>
      </w:r>
      <w:proofErr w:type="spellEnd"/>
      <w:r w:rsidRPr="009D6829">
        <w:rPr>
          <w:lang w:val="en-GB"/>
        </w:rPr>
        <w:t>, the LOD was 0.003 mg/kg. Recoveries from fortified control samples were within acceptable limits.</w:t>
      </w:r>
    </w:p>
    <w:p w14:paraId="136D94E2" w14:textId="77777777" w:rsidR="001E11F6" w:rsidRPr="0031430C" w:rsidRDefault="001E11F6" w:rsidP="001E11F6">
      <w:pPr>
        <w:pStyle w:val="APVMAText"/>
        <w:rPr>
          <w:lang w:val="en-GB"/>
        </w:rPr>
      </w:pPr>
      <w:proofErr w:type="spellStart"/>
      <w:r>
        <w:rPr>
          <w:lang w:val="en-GB"/>
        </w:rPr>
        <w:t>T</w:t>
      </w:r>
      <w:r w:rsidRPr="009D6829">
        <w:rPr>
          <w:lang w:val="en-GB"/>
        </w:rPr>
        <w:t>opramezone</w:t>
      </w:r>
      <w:proofErr w:type="spellEnd"/>
      <w:r w:rsidRPr="009D6829">
        <w:rPr>
          <w:lang w:val="en-GB"/>
        </w:rPr>
        <w:t xml:space="preserve"> and its metabolite M670H02 were determined in liver, kidney, muscle, fat, milk and egg. The extraction w</w:t>
      </w:r>
      <w:r>
        <w:rPr>
          <w:lang w:val="en-GB"/>
        </w:rPr>
        <w:t>as made with water; an aliquot wa</w:t>
      </w:r>
      <w:r w:rsidRPr="009D6829">
        <w:rPr>
          <w:lang w:val="en-GB"/>
        </w:rPr>
        <w:t xml:space="preserve">s acidified and partitioned with dichloromethane and then in pH10 aqueous ammonium </w:t>
      </w:r>
      <w:proofErr w:type="spellStart"/>
      <w:r w:rsidRPr="009D6829">
        <w:rPr>
          <w:lang w:val="en-GB"/>
        </w:rPr>
        <w:t>formate</w:t>
      </w:r>
      <w:proofErr w:type="spellEnd"/>
      <w:r w:rsidRPr="009D6829">
        <w:rPr>
          <w:lang w:val="en-GB"/>
        </w:rPr>
        <w:t>. The aqueous phase was injected directly in the LC/MS/MS system. Following limits of quantification were reached:</w:t>
      </w:r>
      <w:r>
        <w:rPr>
          <w:lang w:val="en-GB"/>
        </w:rPr>
        <w:t xml:space="preserve"> </w:t>
      </w:r>
      <w:r w:rsidRPr="009D6829">
        <w:rPr>
          <w:lang w:val="en-GB"/>
        </w:rPr>
        <w:t xml:space="preserve">0.01 mg/kg in milk, muscle and egg, 0.05 </w:t>
      </w:r>
      <w:r>
        <w:rPr>
          <w:lang w:val="en-GB"/>
        </w:rPr>
        <w:t>mg/kg in liver, kidney and fat</w:t>
      </w:r>
      <w:r w:rsidRPr="009D6829">
        <w:rPr>
          <w:lang w:val="en-GB"/>
        </w:rPr>
        <w:t>. Recoveries from fortified control samples were within acceptable limits.</w:t>
      </w:r>
      <w:r>
        <w:rPr>
          <w:lang w:val="en-GB"/>
        </w:rPr>
        <w:t xml:space="preserve"> </w:t>
      </w:r>
      <w:r w:rsidRPr="0031430C">
        <w:rPr>
          <w:lang w:val="en-GB"/>
        </w:rPr>
        <w:t xml:space="preserve">A second study to </w:t>
      </w:r>
      <w:r w:rsidRPr="0031430C">
        <w:rPr>
          <w:lang w:val="en-GB"/>
        </w:rPr>
        <w:lastRenderedPageBreak/>
        <w:t xml:space="preserve">validate the method for animal commodities, determined the LOQ to be 0.01 mg/kg for bovine liver, kidney, fat, muscle and chicken eggs and 0.001 mg/kg for milk. </w:t>
      </w:r>
      <w:r w:rsidRPr="009D6829">
        <w:rPr>
          <w:lang w:val="en-GB"/>
        </w:rPr>
        <w:t>Recoveries from fortified control samples were within acceptable limits.</w:t>
      </w:r>
    </w:p>
    <w:p w14:paraId="1FC441BA" w14:textId="77777777" w:rsidR="001E11F6" w:rsidRDefault="001E11F6" w:rsidP="001E11F6">
      <w:pPr>
        <w:pStyle w:val="Heading3"/>
        <w:rPr>
          <w:lang w:val="en-GB"/>
        </w:rPr>
      </w:pPr>
      <w:r>
        <w:rPr>
          <w:lang w:val="en-GB"/>
        </w:rPr>
        <w:t>Storage stability</w:t>
      </w:r>
    </w:p>
    <w:p w14:paraId="471A4134" w14:textId="37C64E4A" w:rsidR="001E11F6" w:rsidRPr="00642A09" w:rsidRDefault="001E11F6" w:rsidP="001E11F6">
      <w:pPr>
        <w:pStyle w:val="APVMAText"/>
        <w:rPr>
          <w:lang w:val="en-GB"/>
        </w:rPr>
      </w:pPr>
      <w:r>
        <w:rPr>
          <w:lang w:val="en-GB"/>
        </w:rPr>
        <w:t xml:space="preserve">A storage stability study provided by the applicant indicated </w:t>
      </w:r>
      <w:r>
        <w:t xml:space="preserve">that both </w:t>
      </w:r>
      <w:proofErr w:type="spellStart"/>
      <w:r>
        <w:t>topramezone</w:t>
      </w:r>
      <w:proofErr w:type="spellEnd"/>
      <w:r>
        <w:t xml:space="preserve"> (BAS 670 H) and its metabolite M670H05 were stable in maize forage, grain and straw over a period of 26 months at -20</w:t>
      </w:r>
      <w:r>
        <w:rPr>
          <w:vertAlign w:val="superscript"/>
        </w:rPr>
        <w:t>o</w:t>
      </w:r>
      <w:r>
        <w:t xml:space="preserve">C. In the Australian residue trials submitted, all samples were maintained under freezer conditions, prior to analysis and tested within </w:t>
      </w:r>
      <w:r w:rsidR="004E3167">
        <w:t>eight</w:t>
      </w:r>
      <w:r>
        <w:t xml:space="preserve"> months of collection. This is acceptable for the purposes of the current application.</w:t>
      </w:r>
    </w:p>
    <w:p w14:paraId="77A9EE2A" w14:textId="77777777" w:rsidR="001E11F6" w:rsidRDefault="001E11F6" w:rsidP="00EB427D">
      <w:pPr>
        <w:pStyle w:val="Heading2"/>
        <w:numPr>
          <w:ilvl w:val="1"/>
          <w:numId w:val="1"/>
        </w:numPr>
        <w:tabs>
          <w:tab w:val="clear" w:pos="680"/>
          <w:tab w:val="num" w:pos="907"/>
        </w:tabs>
        <w:ind w:left="907" w:hanging="907"/>
        <w:rPr>
          <w:lang w:val="en-GB"/>
        </w:rPr>
      </w:pPr>
      <w:bookmarkStart w:id="29" w:name="_Toc6240214"/>
      <w:bookmarkStart w:id="30" w:name="_Toc6472830"/>
      <w:r>
        <w:rPr>
          <w:lang w:val="en-GB"/>
        </w:rPr>
        <w:t>Residue definition</w:t>
      </w:r>
      <w:bookmarkEnd w:id="29"/>
      <w:bookmarkEnd w:id="30"/>
    </w:p>
    <w:p w14:paraId="4D22C2CF" w14:textId="77777777" w:rsidR="001E11F6" w:rsidRDefault="001E11F6" w:rsidP="001E11F6">
      <w:pPr>
        <w:pStyle w:val="APVMAText"/>
        <w:rPr>
          <w:lang w:val="en-GB"/>
        </w:rPr>
      </w:pPr>
      <w:r>
        <w:t>Given parent was the major component in most commodities in the maize and rotational crop metabolism studies it is a suitable marker for enforcement and is also suitable for dietary exposure assessment. A residue definition of parent compound only is recommended for the proposed use in wheat, barley and durum for commodities of plant origin, in line with the definitions recommended overseas.</w:t>
      </w:r>
    </w:p>
    <w:p w14:paraId="49985B49" w14:textId="77777777" w:rsidR="001E11F6" w:rsidRPr="00EC1FD7" w:rsidRDefault="001E11F6" w:rsidP="001E11F6">
      <w:pPr>
        <w:pStyle w:val="APVMAText"/>
      </w:pPr>
      <w:r>
        <w:t xml:space="preserve">Parent </w:t>
      </w:r>
      <w:proofErr w:type="spellStart"/>
      <w:r>
        <w:t>topramezone</w:t>
      </w:r>
      <w:proofErr w:type="spellEnd"/>
      <w:r>
        <w:t xml:space="preserve"> was the predominant component in edible goat and hen matrices. Noting that quantifiable residues of M670H02 were not observed at the highest dose level (3.79 ppm) in a dairy cattle transfer study provided by the applicant and residue exposure to livestock and poultry is expected to be low (≤0.02 ppm), a residue definition of parent only is recommended for </w:t>
      </w:r>
      <w:proofErr w:type="spellStart"/>
      <w:r>
        <w:t>topramezone</w:t>
      </w:r>
      <w:proofErr w:type="spellEnd"/>
      <w:r>
        <w:t xml:space="preserve"> for commodities of animal origin for both enforcement and dietary risk assessment. This definition is line with those recommended overseas.</w:t>
      </w:r>
    </w:p>
    <w:p w14:paraId="7BA7B465" w14:textId="77777777" w:rsidR="001E11F6" w:rsidRDefault="001E11F6" w:rsidP="00EB427D">
      <w:pPr>
        <w:pStyle w:val="Heading2"/>
        <w:numPr>
          <w:ilvl w:val="1"/>
          <w:numId w:val="1"/>
        </w:numPr>
        <w:tabs>
          <w:tab w:val="clear" w:pos="680"/>
          <w:tab w:val="num" w:pos="907"/>
        </w:tabs>
        <w:ind w:left="907" w:hanging="907"/>
        <w:rPr>
          <w:lang w:val="en-GB"/>
        </w:rPr>
      </w:pPr>
      <w:bookmarkStart w:id="31" w:name="_Toc6240215"/>
      <w:bookmarkStart w:id="32" w:name="_Toc6472831"/>
      <w:r>
        <w:rPr>
          <w:lang w:val="en-GB"/>
        </w:rPr>
        <w:t>Crop residues &amp; MRLs</w:t>
      </w:r>
      <w:bookmarkEnd w:id="31"/>
      <w:bookmarkEnd w:id="32"/>
    </w:p>
    <w:p w14:paraId="6BC079A1" w14:textId="042E8818" w:rsidR="001E11F6" w:rsidRDefault="001E11F6" w:rsidP="001E11F6">
      <w:pPr>
        <w:pStyle w:val="APVMAText"/>
      </w:pPr>
      <w:r>
        <w:t xml:space="preserve">The proposed use of Frequency Herbicide on wheat, barley and durum is for application at 12 g </w:t>
      </w:r>
      <w:proofErr w:type="spellStart"/>
      <w:r>
        <w:t>ai</w:t>
      </w:r>
      <w:proofErr w:type="spellEnd"/>
      <w:r>
        <w:t xml:space="preserve">/ha </w:t>
      </w:r>
      <w:proofErr w:type="spellStart"/>
      <w:r>
        <w:t>topramezone</w:t>
      </w:r>
      <w:proofErr w:type="spellEnd"/>
      <w:r>
        <w:t xml:space="preserve"> + 12 g </w:t>
      </w:r>
      <w:proofErr w:type="spellStart"/>
      <w:r>
        <w:t>ai</w:t>
      </w:r>
      <w:proofErr w:type="spellEnd"/>
      <w:r>
        <w:t xml:space="preserve">/ha </w:t>
      </w:r>
      <w:proofErr w:type="spellStart"/>
      <w:r>
        <w:t>cloquintocet-mexyl</w:t>
      </w:r>
      <w:proofErr w:type="spellEnd"/>
      <w:r>
        <w:t xml:space="preserve"> prior to crop stage Z32 (2-node stage). The proposed</w:t>
      </w:r>
      <w:r w:rsidR="002B04B9">
        <w:t xml:space="preserve"> harvest withholding period is ‘</w:t>
      </w:r>
      <w:r>
        <w:t xml:space="preserve">Not </w:t>
      </w:r>
      <w:r w:rsidR="002B04B9">
        <w:t>required when used as directed’</w:t>
      </w:r>
      <w:r>
        <w:t xml:space="preserve">. The proposed grazing withholding period is </w:t>
      </w:r>
      <w:r w:rsidR="00005CE1">
        <w:t>six</w:t>
      </w:r>
      <w:r>
        <w:t xml:space="preserve"> weeks.</w:t>
      </w:r>
    </w:p>
    <w:p w14:paraId="0355160D" w14:textId="77777777" w:rsidR="001E11F6" w:rsidRPr="009D6829" w:rsidRDefault="001E11F6" w:rsidP="001E11F6">
      <w:pPr>
        <w:pStyle w:val="Heading3"/>
      </w:pPr>
      <w:r w:rsidRPr="009D6829">
        <w:t>Grain</w:t>
      </w:r>
    </w:p>
    <w:p w14:paraId="723B9669" w14:textId="76A018F4" w:rsidR="001E11F6" w:rsidRDefault="001E11F6" w:rsidP="001E11F6">
      <w:pPr>
        <w:pStyle w:val="APVMAText"/>
      </w:pPr>
      <w:r>
        <w:t>Res</w:t>
      </w:r>
      <w:r w:rsidR="00005CE1">
        <w:t xml:space="preserve">idues of </w:t>
      </w:r>
      <w:proofErr w:type="spellStart"/>
      <w:r w:rsidR="00005CE1">
        <w:t>topramezone</w:t>
      </w:r>
      <w:proofErr w:type="spellEnd"/>
      <w:r w:rsidR="00005CE1">
        <w:t xml:space="preserve"> in wheat (six</w:t>
      </w:r>
      <w:r>
        <w:t>) and barley (</w:t>
      </w:r>
      <w:r w:rsidR="00005CE1">
        <w:t>three</w:t>
      </w:r>
      <w:r>
        <w:t xml:space="preserve">) grain from Australian GLP trials involving application at 12 g </w:t>
      </w:r>
      <w:proofErr w:type="spellStart"/>
      <w:r>
        <w:t>ai</w:t>
      </w:r>
      <w:proofErr w:type="spellEnd"/>
      <w:r>
        <w:t>/ha (1× proposed) at BBCH 23</w:t>
      </w:r>
      <w:r w:rsidR="002B04B9">
        <w:t>–</w:t>
      </w:r>
      <w:r>
        <w:t>31 were &lt;LOD (&lt;0.003, n=9) mg/kg (88</w:t>
      </w:r>
      <w:r w:rsidR="00A459D7">
        <w:t>–</w:t>
      </w:r>
      <w:r>
        <w:t>140 DA</w:t>
      </w:r>
      <w:r w:rsidR="00005CE1">
        <w:t>T). Residues were also &lt;0.003 (nine</w:t>
      </w:r>
      <w:r>
        <w:t>) mg/kg after application at 2× the proposed rate.</w:t>
      </w:r>
    </w:p>
    <w:p w14:paraId="5B3999FC" w14:textId="149A65AA" w:rsidR="001E11F6" w:rsidRDefault="001E11F6" w:rsidP="001E11F6">
      <w:pPr>
        <w:pStyle w:val="APVMAText"/>
      </w:pPr>
      <w:r>
        <w:t>In the supporting EU data on maize, resid</w:t>
      </w:r>
      <w:r w:rsidR="00A459D7">
        <w:t>ues in grain at harvest at 98–</w:t>
      </w:r>
      <w:r>
        <w:t>147</w:t>
      </w:r>
      <w:r w:rsidR="00A459D7">
        <w:t xml:space="preserve"> days after treatment at 2 58–74 g </w:t>
      </w:r>
      <w:proofErr w:type="spellStart"/>
      <w:r w:rsidR="00A459D7">
        <w:t>ai</w:t>
      </w:r>
      <w:proofErr w:type="spellEnd"/>
      <w:r w:rsidR="00A459D7">
        <w:t>/ha (4.8–</w:t>
      </w:r>
      <w:r>
        <w:t>6.2× proposed) were &lt;0.01 (12) mg/kg.</w:t>
      </w:r>
    </w:p>
    <w:p w14:paraId="4BD531B6" w14:textId="108C6640" w:rsidR="001E11F6" w:rsidRDefault="001E11F6" w:rsidP="001E11F6">
      <w:pPr>
        <w:pStyle w:val="APVMAText"/>
      </w:pPr>
      <w:r>
        <w:t xml:space="preserve">MRLs of *0.01 mg/kg are recommended for </w:t>
      </w:r>
      <w:proofErr w:type="spellStart"/>
      <w:r>
        <w:t>topramezone</w:t>
      </w:r>
      <w:proofErr w:type="spellEnd"/>
      <w:r>
        <w:t xml:space="preserve"> on GC 0654 Wheat (which will include durum wheat) and GC 0640 Barley, in conjunction with a</w:t>
      </w:r>
      <w:r w:rsidR="00C560CF">
        <w:t xml:space="preserve"> harvest withholding period of ‘</w:t>
      </w:r>
      <w:r>
        <w:t>Not</w:t>
      </w:r>
      <w:r w:rsidR="00C560CF">
        <w:t xml:space="preserve"> required when used as directed’</w:t>
      </w:r>
      <w:r>
        <w:t>.</w:t>
      </w:r>
    </w:p>
    <w:p w14:paraId="6C862709" w14:textId="77777777" w:rsidR="001E11F6" w:rsidRPr="009D6829" w:rsidRDefault="001E11F6" w:rsidP="001E11F6">
      <w:pPr>
        <w:pStyle w:val="Heading3"/>
      </w:pPr>
      <w:r w:rsidRPr="009D6829">
        <w:lastRenderedPageBreak/>
        <w:t>Forage and straw</w:t>
      </w:r>
    </w:p>
    <w:p w14:paraId="719478C8" w14:textId="241C98D4" w:rsidR="001E11F6" w:rsidRDefault="001E11F6" w:rsidP="001E11F6">
      <w:pPr>
        <w:pStyle w:val="APVMAText"/>
      </w:pPr>
      <w:r>
        <w:t xml:space="preserve">Residues of </w:t>
      </w:r>
      <w:proofErr w:type="spellStart"/>
      <w:r>
        <w:t>topramezone</w:t>
      </w:r>
      <w:proofErr w:type="spellEnd"/>
      <w:r w:rsidR="00005CE1">
        <w:t xml:space="preserve"> in wheat and barley forage at six</w:t>
      </w:r>
      <w:r>
        <w:t xml:space="preserve"> weeks after application at 12 g </w:t>
      </w:r>
      <w:proofErr w:type="spellStart"/>
      <w:r>
        <w:t>ai</w:t>
      </w:r>
      <w:proofErr w:type="spellEnd"/>
      <w:r>
        <w:t>/ha (1× proposed) were &lt;0.003 (fresh weight, n = 7), 0.01 and 0.02 mg/kg (dry weight). It is noted that the residue detections were between the LOD and LOQ on a fresh weight basis. The OECD MRL calculator recommends an MRL of 0.03 mg/kg.</w:t>
      </w:r>
    </w:p>
    <w:p w14:paraId="4D323267" w14:textId="321ED3F5" w:rsidR="001E11F6" w:rsidRDefault="001E11F6" w:rsidP="001E11F6">
      <w:pPr>
        <w:pStyle w:val="APVMAText"/>
      </w:pPr>
      <w:r>
        <w:t xml:space="preserve">Residues of </w:t>
      </w:r>
      <w:proofErr w:type="spellStart"/>
      <w:r>
        <w:t>topramezone</w:t>
      </w:r>
      <w:proofErr w:type="spellEnd"/>
      <w:r>
        <w:t xml:space="preserve"> in wheat and barley straw from trials involving application at 12 g </w:t>
      </w:r>
      <w:proofErr w:type="spellStart"/>
      <w:r>
        <w:t>ai</w:t>
      </w:r>
      <w:proofErr w:type="spellEnd"/>
      <w:r>
        <w:t>/ha (1× proposed) at BBCH 23</w:t>
      </w:r>
      <w:r w:rsidR="002B04B9">
        <w:t>–</w:t>
      </w:r>
      <w:r>
        <w:t>31 were &lt;0.003 (fresh weight, n = 8) and 0.004 mg/kg (dry weight) (88</w:t>
      </w:r>
      <w:r w:rsidR="002B04B9">
        <w:t>–</w:t>
      </w:r>
      <w:r w:rsidR="00C560CF">
        <w:t>140 DAT).</w:t>
      </w:r>
    </w:p>
    <w:p w14:paraId="19C483AB" w14:textId="376D72CE" w:rsidR="001E11F6" w:rsidRDefault="001E11F6" w:rsidP="001E11F6">
      <w:pPr>
        <w:pStyle w:val="APVMAText"/>
      </w:pPr>
      <w:r>
        <w:t xml:space="preserve">As forage and straw showed similar residues, an MRL of 0.03 mg/kg is proposed for </w:t>
      </w:r>
      <w:proofErr w:type="spellStart"/>
      <w:r>
        <w:t>topramezone</w:t>
      </w:r>
      <w:proofErr w:type="spellEnd"/>
      <w:r>
        <w:t xml:space="preserve"> on Cereal forage and fodder. A grazing withholding period of ‘Do not g</w:t>
      </w:r>
      <w:r w:rsidR="00005CE1">
        <w:t>raze or cut for stock food for six</w:t>
      </w:r>
      <w:r>
        <w:t xml:space="preserve"> weeks after application. When applying with a tank mix product, observe the grazing withholding period for the tank mix product if this is longer than </w:t>
      </w:r>
      <w:r w:rsidR="00005CE1">
        <w:t>six</w:t>
      </w:r>
      <w:r>
        <w:t xml:space="preserve"> weeks’ is supported noting </w:t>
      </w:r>
      <w:proofErr w:type="spellStart"/>
      <w:r>
        <w:t>bromoxynil</w:t>
      </w:r>
      <w:proofErr w:type="spellEnd"/>
      <w:r>
        <w:t xml:space="preserve"> products are included on the label as a tank mix product and some </w:t>
      </w:r>
      <w:proofErr w:type="spellStart"/>
      <w:r>
        <w:t>bromoxynil</w:t>
      </w:r>
      <w:proofErr w:type="spellEnd"/>
      <w:r>
        <w:t xml:space="preserve"> product</w:t>
      </w:r>
      <w:r w:rsidR="0017725B">
        <w:t>s</w:t>
      </w:r>
      <w:r>
        <w:t xml:space="preserve"> have a</w:t>
      </w:r>
      <w:r w:rsidR="0017725B">
        <w:t>n</w:t>
      </w:r>
      <w:r>
        <w:t xml:space="preserve"> </w:t>
      </w:r>
      <w:r w:rsidR="004E3167">
        <w:t>eight</w:t>
      </w:r>
      <w:r>
        <w:t xml:space="preserve"> week grazing withholding period.</w:t>
      </w:r>
    </w:p>
    <w:p w14:paraId="3C7EF696" w14:textId="77777777" w:rsidR="001E11F6" w:rsidRDefault="001E11F6" w:rsidP="00EB427D">
      <w:pPr>
        <w:pStyle w:val="Heading2"/>
        <w:numPr>
          <w:ilvl w:val="1"/>
          <w:numId w:val="1"/>
        </w:numPr>
        <w:tabs>
          <w:tab w:val="clear" w:pos="680"/>
          <w:tab w:val="num" w:pos="907"/>
        </w:tabs>
        <w:ind w:left="907" w:hanging="907"/>
      </w:pPr>
      <w:bookmarkStart w:id="33" w:name="_Toc6240216"/>
      <w:bookmarkStart w:id="34" w:name="_Toc6472832"/>
      <w:r>
        <w:t>Animal commodities &amp; MRLs</w:t>
      </w:r>
      <w:bookmarkEnd w:id="33"/>
      <w:bookmarkEnd w:id="34"/>
    </w:p>
    <w:p w14:paraId="6DC6AF98" w14:textId="3AE5ED8A" w:rsidR="001E11F6" w:rsidRDefault="001E11F6" w:rsidP="001E11F6">
      <w:pPr>
        <w:pStyle w:val="APVMAText"/>
      </w:pPr>
      <w:r>
        <w:t>C</w:t>
      </w:r>
      <w:r w:rsidRPr="007E4AD1">
        <w:t>ereal</w:t>
      </w:r>
      <w:r w:rsidR="00EA2FEF">
        <w:t xml:space="preserve"> forage and fodder can form 100 per cent</w:t>
      </w:r>
      <w:r w:rsidRPr="007E4AD1">
        <w:t xml:space="preserve"> of the diet for grazing livestock in Australia. The maximum livestock dietary exposure for cattle and sheep will be 0.02 ppm</w:t>
      </w:r>
      <w:r>
        <w:t xml:space="preserve"> (HR in forage)</w:t>
      </w:r>
      <w:r w:rsidRPr="007E4AD1">
        <w:t>.</w:t>
      </w:r>
      <w:r>
        <w:t xml:space="preserve"> Based on the dairy cattle animal transfer study and a dietary burden of 0.02 ppm, the required animal commodity MRLs for </w:t>
      </w:r>
      <w:proofErr w:type="spellStart"/>
      <w:r>
        <w:t>topramezone</w:t>
      </w:r>
      <w:proofErr w:type="spellEnd"/>
      <w:r>
        <w:t xml:space="preserve"> are estimated below:</w:t>
      </w:r>
    </w:p>
    <w:p w14:paraId="322CD7F6" w14:textId="5A1B3639" w:rsidR="001E11F6" w:rsidRPr="00A54A75" w:rsidRDefault="001E11F6" w:rsidP="005A7B49">
      <w:pPr>
        <w:pStyle w:val="Heading4"/>
        <w:spacing w:before="240" w:after="240"/>
        <w:rPr>
          <w:rFonts w:eastAsiaTheme="minorEastAsia"/>
        </w:rPr>
      </w:pPr>
      <w:r>
        <w:rPr>
          <w:rFonts w:eastAsiaTheme="minorEastAsia"/>
        </w:rPr>
        <w:t>C</w:t>
      </w:r>
      <w:r w:rsidRPr="00A54A75">
        <w:rPr>
          <w:rFonts w:eastAsiaTheme="minorEastAsia"/>
        </w:rPr>
        <w:t>attle</w:t>
      </w:r>
    </w:p>
    <w:tbl>
      <w:tblPr>
        <w:tblW w:w="5000" w:type="pct"/>
        <w:tblLook w:val="00A0" w:firstRow="1" w:lastRow="0" w:firstColumn="1" w:lastColumn="0" w:noHBand="0" w:noVBand="0"/>
      </w:tblPr>
      <w:tblGrid>
        <w:gridCol w:w="2696"/>
        <w:gridCol w:w="1388"/>
        <w:gridCol w:w="1388"/>
        <w:gridCol w:w="1388"/>
        <w:gridCol w:w="1388"/>
        <w:gridCol w:w="1390"/>
      </w:tblGrid>
      <w:tr w:rsidR="001E11F6" w:rsidRPr="00A54A75" w14:paraId="2107FA66" w14:textId="77777777" w:rsidTr="0017725B">
        <w:trPr>
          <w:tblHeader/>
        </w:trPr>
        <w:tc>
          <w:tcPr>
            <w:tcW w:w="1399" w:type="pct"/>
            <w:vMerge w:val="restart"/>
            <w:tcBorders>
              <w:top w:val="single" w:sz="4" w:space="0" w:color="auto"/>
            </w:tcBorders>
            <w:shd w:val="clear" w:color="auto" w:fill="F2F2F2" w:themeFill="background1" w:themeFillShade="F2"/>
            <w:vAlign w:val="center"/>
          </w:tcPr>
          <w:p w14:paraId="7D65B4E8" w14:textId="77777777" w:rsidR="001E11F6" w:rsidRPr="007E4AD1" w:rsidRDefault="001E11F6" w:rsidP="00C560CF">
            <w:pPr>
              <w:pStyle w:val="APVMATableHead"/>
            </w:pPr>
            <w:r w:rsidRPr="007E4AD1">
              <w:t>Feeding level (ppm)</w:t>
            </w:r>
          </w:p>
        </w:tc>
        <w:tc>
          <w:tcPr>
            <w:tcW w:w="720" w:type="pct"/>
            <w:tcBorders>
              <w:top w:val="single" w:sz="4" w:space="0" w:color="auto"/>
              <w:left w:val="nil"/>
            </w:tcBorders>
            <w:shd w:val="clear" w:color="auto" w:fill="F2F2F2" w:themeFill="background1" w:themeFillShade="F2"/>
          </w:tcPr>
          <w:p w14:paraId="41DA1F7E" w14:textId="77777777" w:rsidR="001E11F6" w:rsidRPr="007E4AD1" w:rsidRDefault="001E11F6" w:rsidP="00C560CF">
            <w:pPr>
              <w:pStyle w:val="APVMATableHead"/>
            </w:pPr>
            <w:r w:rsidRPr="007E4AD1">
              <w:t>Milk</w:t>
            </w:r>
          </w:p>
        </w:tc>
        <w:tc>
          <w:tcPr>
            <w:tcW w:w="720" w:type="pct"/>
            <w:tcBorders>
              <w:top w:val="single" w:sz="4" w:space="0" w:color="auto"/>
            </w:tcBorders>
            <w:shd w:val="clear" w:color="auto" w:fill="F2F2F2" w:themeFill="background1" w:themeFillShade="F2"/>
          </w:tcPr>
          <w:p w14:paraId="67F6FE50" w14:textId="77777777" w:rsidR="001E11F6" w:rsidRPr="007E4AD1" w:rsidRDefault="001E11F6" w:rsidP="00C560CF">
            <w:pPr>
              <w:pStyle w:val="APVMATableHead"/>
            </w:pPr>
            <w:r w:rsidRPr="007E4AD1">
              <w:t>Muscle</w:t>
            </w:r>
          </w:p>
        </w:tc>
        <w:tc>
          <w:tcPr>
            <w:tcW w:w="720" w:type="pct"/>
            <w:tcBorders>
              <w:top w:val="single" w:sz="4" w:space="0" w:color="auto"/>
            </w:tcBorders>
            <w:shd w:val="clear" w:color="auto" w:fill="F2F2F2" w:themeFill="background1" w:themeFillShade="F2"/>
          </w:tcPr>
          <w:p w14:paraId="09871F3A" w14:textId="77777777" w:rsidR="001E11F6" w:rsidRPr="007E4AD1" w:rsidRDefault="001E11F6" w:rsidP="00C560CF">
            <w:pPr>
              <w:pStyle w:val="APVMATableHead"/>
            </w:pPr>
            <w:r w:rsidRPr="007E4AD1">
              <w:t>Liver</w:t>
            </w:r>
          </w:p>
        </w:tc>
        <w:tc>
          <w:tcPr>
            <w:tcW w:w="720" w:type="pct"/>
            <w:tcBorders>
              <w:top w:val="single" w:sz="4" w:space="0" w:color="auto"/>
            </w:tcBorders>
            <w:shd w:val="clear" w:color="auto" w:fill="F2F2F2" w:themeFill="background1" w:themeFillShade="F2"/>
          </w:tcPr>
          <w:p w14:paraId="1FC5B795" w14:textId="77777777" w:rsidR="001E11F6" w:rsidRPr="007E4AD1" w:rsidRDefault="001E11F6" w:rsidP="00C560CF">
            <w:pPr>
              <w:pStyle w:val="APVMATableHead"/>
            </w:pPr>
            <w:r w:rsidRPr="007E4AD1">
              <w:t>Kidney</w:t>
            </w:r>
          </w:p>
        </w:tc>
        <w:tc>
          <w:tcPr>
            <w:tcW w:w="721" w:type="pct"/>
            <w:tcBorders>
              <w:top w:val="single" w:sz="4" w:space="0" w:color="auto"/>
            </w:tcBorders>
            <w:shd w:val="clear" w:color="auto" w:fill="F2F2F2" w:themeFill="background1" w:themeFillShade="F2"/>
          </w:tcPr>
          <w:p w14:paraId="7F209BDA" w14:textId="77777777" w:rsidR="001E11F6" w:rsidRPr="007E4AD1" w:rsidRDefault="001E11F6" w:rsidP="00C560CF">
            <w:pPr>
              <w:pStyle w:val="APVMATableHead"/>
            </w:pPr>
            <w:r w:rsidRPr="007E4AD1">
              <w:t>Fat</w:t>
            </w:r>
          </w:p>
        </w:tc>
      </w:tr>
      <w:tr w:rsidR="001E11F6" w:rsidRPr="00A54A75" w14:paraId="4F4D397B" w14:textId="77777777" w:rsidTr="0017725B">
        <w:trPr>
          <w:tblHeader/>
        </w:trPr>
        <w:tc>
          <w:tcPr>
            <w:tcW w:w="1399" w:type="pct"/>
            <w:vMerge/>
            <w:tcBorders>
              <w:bottom w:val="single" w:sz="6" w:space="0" w:color="000000"/>
            </w:tcBorders>
            <w:shd w:val="clear" w:color="auto" w:fill="F2F2F2" w:themeFill="background1" w:themeFillShade="F2"/>
          </w:tcPr>
          <w:p w14:paraId="4A1DECCD" w14:textId="77777777" w:rsidR="001E11F6" w:rsidRPr="007E4AD1" w:rsidRDefault="001E11F6" w:rsidP="00C560CF">
            <w:pPr>
              <w:pStyle w:val="APVMATableHead"/>
            </w:pPr>
          </w:p>
        </w:tc>
        <w:tc>
          <w:tcPr>
            <w:tcW w:w="3601" w:type="pct"/>
            <w:gridSpan w:val="5"/>
            <w:tcBorders>
              <w:left w:val="nil"/>
              <w:bottom w:val="single" w:sz="6" w:space="0" w:color="000000"/>
            </w:tcBorders>
            <w:shd w:val="clear" w:color="auto" w:fill="F2F2F2" w:themeFill="background1" w:themeFillShade="F2"/>
          </w:tcPr>
          <w:p w14:paraId="791254D4" w14:textId="77777777" w:rsidR="001E11F6" w:rsidRPr="007E4AD1" w:rsidRDefault="001E11F6" w:rsidP="00C560CF">
            <w:pPr>
              <w:pStyle w:val="APVMATableHead"/>
            </w:pPr>
            <w:r w:rsidRPr="007E4AD1">
              <w:t>Topramezone residue (mg/kg)</w:t>
            </w:r>
          </w:p>
        </w:tc>
      </w:tr>
      <w:tr w:rsidR="001E11F6" w:rsidRPr="00A54A75" w14:paraId="22AB1766" w14:textId="77777777" w:rsidTr="0017725B">
        <w:trPr>
          <w:trHeight w:val="340"/>
        </w:trPr>
        <w:tc>
          <w:tcPr>
            <w:tcW w:w="1399" w:type="pct"/>
          </w:tcPr>
          <w:p w14:paraId="60A3163F" w14:textId="77777777" w:rsidR="001E11F6" w:rsidRPr="0026191E" w:rsidRDefault="001E11F6" w:rsidP="00F142B9">
            <w:pPr>
              <w:suppressAutoHyphens/>
              <w:spacing w:before="120" w:line="210" w:lineRule="exact"/>
              <w:jc w:val="both"/>
              <w:rPr>
                <w:rFonts w:cs="Arial"/>
                <w:spacing w:val="6"/>
                <w:sz w:val="17"/>
                <w:szCs w:val="20"/>
                <w:u w:color="000000"/>
                <w:lang w:val="en-GB"/>
              </w:rPr>
            </w:pPr>
            <w:r w:rsidRPr="0026191E">
              <w:rPr>
                <w:rFonts w:cs="Arial"/>
                <w:spacing w:val="6"/>
                <w:sz w:val="17"/>
                <w:szCs w:val="20"/>
                <w:u w:color="000000"/>
                <w:lang w:val="en-GB"/>
              </w:rPr>
              <w:t>0.36</w:t>
            </w:r>
          </w:p>
        </w:tc>
        <w:tc>
          <w:tcPr>
            <w:tcW w:w="720" w:type="pct"/>
            <w:tcBorders>
              <w:left w:val="nil"/>
            </w:tcBorders>
          </w:tcPr>
          <w:p w14:paraId="6B9964AC"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&lt;0.01</w:t>
            </w:r>
          </w:p>
        </w:tc>
        <w:tc>
          <w:tcPr>
            <w:tcW w:w="720" w:type="pct"/>
          </w:tcPr>
          <w:p w14:paraId="76B80900"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&lt;0.01</w:t>
            </w:r>
          </w:p>
        </w:tc>
        <w:tc>
          <w:tcPr>
            <w:tcW w:w="720" w:type="pct"/>
          </w:tcPr>
          <w:p w14:paraId="0D3E4235"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0.608</w:t>
            </w:r>
          </w:p>
        </w:tc>
        <w:tc>
          <w:tcPr>
            <w:tcW w:w="720" w:type="pct"/>
          </w:tcPr>
          <w:p w14:paraId="287EB2D0"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0.188</w:t>
            </w:r>
          </w:p>
        </w:tc>
        <w:tc>
          <w:tcPr>
            <w:tcW w:w="721" w:type="pct"/>
          </w:tcPr>
          <w:p w14:paraId="1F9E9AF3"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&lt;0.05</w:t>
            </w:r>
          </w:p>
        </w:tc>
      </w:tr>
      <w:tr w:rsidR="001E11F6" w:rsidRPr="00A54A75" w14:paraId="2FBBD491" w14:textId="77777777" w:rsidTr="0017725B">
        <w:trPr>
          <w:trHeight w:val="338"/>
        </w:trPr>
        <w:tc>
          <w:tcPr>
            <w:tcW w:w="1399" w:type="pct"/>
            <w:tcBorders>
              <w:bottom w:val="single" w:sz="4" w:space="0" w:color="auto"/>
            </w:tcBorders>
          </w:tcPr>
          <w:p w14:paraId="18AD6399" w14:textId="4EE9FA3F" w:rsidR="001E11F6" w:rsidRPr="0026191E" w:rsidRDefault="001E11F6" w:rsidP="00A459D7">
            <w:pPr>
              <w:suppressAutoHyphens/>
              <w:spacing w:before="120" w:line="210" w:lineRule="exact"/>
              <w:rPr>
                <w:rFonts w:cs="Arial"/>
                <w:spacing w:val="6"/>
                <w:sz w:val="17"/>
                <w:szCs w:val="20"/>
                <w:u w:color="000000"/>
                <w:lang w:val="en-GB"/>
              </w:rPr>
            </w:pPr>
            <w:r w:rsidRPr="0026191E">
              <w:rPr>
                <w:rFonts w:cs="Arial"/>
                <w:spacing w:val="6"/>
                <w:sz w:val="17"/>
                <w:szCs w:val="20"/>
                <w:u w:color="000000"/>
                <w:lang w:val="en-GB"/>
              </w:rPr>
              <w:t>0.02</w:t>
            </w:r>
            <w:r w:rsidR="00A459D7">
              <w:rPr>
                <w:rFonts w:cs="Arial"/>
                <w:spacing w:val="6"/>
                <w:sz w:val="17"/>
                <w:szCs w:val="20"/>
                <w:u w:color="000000"/>
                <w:lang w:val="en-GB"/>
              </w:rPr>
              <w:t>–</w:t>
            </w:r>
            <w:r w:rsidRPr="0026191E">
              <w:rPr>
                <w:rFonts w:cs="Arial"/>
                <w:spacing w:val="6"/>
                <w:sz w:val="17"/>
                <w:szCs w:val="20"/>
                <w:u w:color="000000"/>
                <w:lang w:val="en-GB"/>
              </w:rPr>
              <w:t>estimated burden</w:t>
            </w:r>
          </w:p>
        </w:tc>
        <w:tc>
          <w:tcPr>
            <w:tcW w:w="720" w:type="pct"/>
            <w:tcBorders>
              <w:left w:val="nil"/>
              <w:bottom w:val="single" w:sz="4" w:space="0" w:color="auto"/>
            </w:tcBorders>
          </w:tcPr>
          <w:p w14:paraId="4ED29942"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&lt;0.01</w:t>
            </w:r>
          </w:p>
        </w:tc>
        <w:tc>
          <w:tcPr>
            <w:tcW w:w="720" w:type="pct"/>
            <w:tcBorders>
              <w:bottom w:val="single" w:sz="4" w:space="0" w:color="auto"/>
            </w:tcBorders>
          </w:tcPr>
          <w:p w14:paraId="004E470E"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&lt;0.01</w:t>
            </w:r>
          </w:p>
        </w:tc>
        <w:tc>
          <w:tcPr>
            <w:tcW w:w="720" w:type="pct"/>
            <w:tcBorders>
              <w:bottom w:val="single" w:sz="4" w:space="0" w:color="auto"/>
            </w:tcBorders>
          </w:tcPr>
          <w:p w14:paraId="5608A1E7"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0.03</w:t>
            </w:r>
          </w:p>
        </w:tc>
        <w:tc>
          <w:tcPr>
            <w:tcW w:w="720" w:type="pct"/>
            <w:tcBorders>
              <w:bottom w:val="single" w:sz="4" w:space="0" w:color="auto"/>
            </w:tcBorders>
          </w:tcPr>
          <w:p w14:paraId="2437EF24"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0.01</w:t>
            </w:r>
          </w:p>
        </w:tc>
        <w:tc>
          <w:tcPr>
            <w:tcW w:w="721" w:type="pct"/>
            <w:tcBorders>
              <w:bottom w:val="single" w:sz="4" w:space="0" w:color="auto"/>
            </w:tcBorders>
          </w:tcPr>
          <w:p w14:paraId="10DE003D"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&lt;0.05</w:t>
            </w:r>
          </w:p>
        </w:tc>
      </w:tr>
      <w:tr w:rsidR="001E11F6" w:rsidRPr="00A54A75" w14:paraId="29BBC0D5" w14:textId="77777777" w:rsidTr="0017725B">
        <w:trPr>
          <w:trHeight w:val="338"/>
        </w:trPr>
        <w:tc>
          <w:tcPr>
            <w:tcW w:w="1399" w:type="pct"/>
            <w:tcBorders>
              <w:top w:val="single" w:sz="4" w:space="0" w:color="auto"/>
              <w:bottom w:val="dotted" w:sz="4" w:space="0" w:color="auto"/>
            </w:tcBorders>
          </w:tcPr>
          <w:p w14:paraId="53D67F30" w14:textId="77777777" w:rsidR="001E11F6" w:rsidRPr="0026191E" w:rsidRDefault="001E11F6" w:rsidP="00F142B9">
            <w:pPr>
              <w:suppressAutoHyphens/>
              <w:spacing w:before="120" w:line="210" w:lineRule="exact"/>
              <w:jc w:val="both"/>
              <w:rPr>
                <w:rFonts w:cs="Arial"/>
                <w:spacing w:val="6"/>
                <w:sz w:val="17"/>
                <w:szCs w:val="20"/>
                <w:u w:color="000000"/>
                <w:lang w:val="en-GB"/>
              </w:rPr>
            </w:pPr>
            <w:r w:rsidRPr="0026191E">
              <w:rPr>
                <w:rFonts w:cs="Arial"/>
                <w:spacing w:val="6"/>
                <w:sz w:val="17"/>
                <w:szCs w:val="20"/>
                <w:u w:color="000000"/>
                <w:lang w:val="en-GB"/>
              </w:rPr>
              <w:t>Established MRLs</w:t>
            </w:r>
          </w:p>
        </w:tc>
        <w:tc>
          <w:tcPr>
            <w:tcW w:w="720" w:type="pct"/>
            <w:tcBorders>
              <w:top w:val="single" w:sz="4" w:space="0" w:color="auto"/>
              <w:left w:val="nil"/>
              <w:bottom w:val="dotted" w:sz="4" w:space="0" w:color="auto"/>
            </w:tcBorders>
          </w:tcPr>
          <w:p w14:paraId="66DA3D56"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Not established</w:t>
            </w:r>
          </w:p>
        </w:tc>
        <w:tc>
          <w:tcPr>
            <w:tcW w:w="720" w:type="pct"/>
            <w:tcBorders>
              <w:top w:val="single" w:sz="4" w:space="0" w:color="auto"/>
              <w:bottom w:val="dotted" w:sz="4" w:space="0" w:color="auto"/>
            </w:tcBorders>
          </w:tcPr>
          <w:p w14:paraId="5D6FF178"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Not established</w:t>
            </w:r>
          </w:p>
        </w:tc>
        <w:tc>
          <w:tcPr>
            <w:tcW w:w="1440" w:type="pct"/>
            <w:gridSpan w:val="2"/>
            <w:tcBorders>
              <w:top w:val="single" w:sz="4" w:space="0" w:color="auto"/>
              <w:bottom w:val="dotted" w:sz="4" w:space="0" w:color="auto"/>
            </w:tcBorders>
          </w:tcPr>
          <w:p w14:paraId="2A8F71A5"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Not established</w:t>
            </w:r>
          </w:p>
        </w:tc>
        <w:tc>
          <w:tcPr>
            <w:tcW w:w="721" w:type="pct"/>
            <w:tcBorders>
              <w:top w:val="single" w:sz="4" w:space="0" w:color="auto"/>
              <w:bottom w:val="dotted" w:sz="4" w:space="0" w:color="auto"/>
            </w:tcBorders>
          </w:tcPr>
          <w:p w14:paraId="5C0793BE"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Not established</w:t>
            </w:r>
          </w:p>
        </w:tc>
      </w:tr>
      <w:tr w:rsidR="001E11F6" w:rsidRPr="00A54A75" w14:paraId="28868D32" w14:textId="77777777" w:rsidTr="0017725B">
        <w:trPr>
          <w:trHeight w:val="338"/>
        </w:trPr>
        <w:tc>
          <w:tcPr>
            <w:tcW w:w="1399" w:type="pct"/>
            <w:tcBorders>
              <w:top w:val="dotted" w:sz="4" w:space="0" w:color="auto"/>
              <w:bottom w:val="single" w:sz="4" w:space="0" w:color="auto"/>
            </w:tcBorders>
          </w:tcPr>
          <w:p w14:paraId="22E178EF" w14:textId="77777777" w:rsidR="001E11F6" w:rsidRPr="0026191E" w:rsidRDefault="001E11F6" w:rsidP="00F142B9">
            <w:pPr>
              <w:suppressAutoHyphens/>
              <w:spacing w:before="120" w:line="210" w:lineRule="exact"/>
              <w:jc w:val="both"/>
              <w:rPr>
                <w:rFonts w:cs="Arial"/>
                <w:spacing w:val="6"/>
                <w:sz w:val="17"/>
                <w:szCs w:val="20"/>
                <w:u w:color="000000"/>
                <w:lang w:val="en-GB"/>
              </w:rPr>
            </w:pPr>
            <w:r w:rsidRPr="0026191E">
              <w:rPr>
                <w:rFonts w:cs="Arial"/>
                <w:spacing w:val="6"/>
                <w:sz w:val="17"/>
                <w:szCs w:val="20"/>
                <w:u w:color="000000"/>
                <w:lang w:val="en-GB"/>
              </w:rPr>
              <w:t>Recommended MRLs</w:t>
            </w:r>
          </w:p>
        </w:tc>
        <w:tc>
          <w:tcPr>
            <w:tcW w:w="720" w:type="pct"/>
            <w:tcBorders>
              <w:top w:val="dotted" w:sz="4" w:space="0" w:color="auto"/>
              <w:left w:val="nil"/>
              <w:bottom w:val="single" w:sz="4" w:space="0" w:color="auto"/>
            </w:tcBorders>
          </w:tcPr>
          <w:p w14:paraId="3EE91C3A"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*0.0</w:t>
            </w:r>
            <w:r>
              <w:rPr>
                <w:rFonts w:cs="Arial"/>
                <w:spacing w:val="6"/>
                <w:sz w:val="17"/>
                <w:szCs w:val="20"/>
                <w:u w:color="000000"/>
                <w:lang w:val="en-GB"/>
              </w:rPr>
              <w:t>0</w:t>
            </w:r>
            <w:r w:rsidRPr="0026191E">
              <w:rPr>
                <w:rFonts w:cs="Arial"/>
                <w:spacing w:val="6"/>
                <w:sz w:val="17"/>
                <w:szCs w:val="20"/>
                <w:u w:color="000000"/>
                <w:lang w:val="en-GB"/>
              </w:rPr>
              <w:t>1</w:t>
            </w:r>
          </w:p>
        </w:tc>
        <w:tc>
          <w:tcPr>
            <w:tcW w:w="720" w:type="pct"/>
            <w:tcBorders>
              <w:top w:val="dotted" w:sz="4" w:space="0" w:color="auto"/>
              <w:bottom w:val="single" w:sz="4" w:space="0" w:color="auto"/>
            </w:tcBorders>
          </w:tcPr>
          <w:p w14:paraId="0FECA7C7"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*0.01</w:t>
            </w:r>
          </w:p>
        </w:tc>
        <w:tc>
          <w:tcPr>
            <w:tcW w:w="1440" w:type="pct"/>
            <w:gridSpan w:val="2"/>
            <w:tcBorders>
              <w:top w:val="dotted" w:sz="4" w:space="0" w:color="auto"/>
              <w:bottom w:val="single" w:sz="4" w:space="0" w:color="auto"/>
            </w:tcBorders>
          </w:tcPr>
          <w:p w14:paraId="04ED3472"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sidRPr="0026191E">
              <w:rPr>
                <w:rFonts w:cs="Arial"/>
                <w:spacing w:val="6"/>
                <w:sz w:val="17"/>
                <w:szCs w:val="20"/>
                <w:u w:color="000000"/>
                <w:lang w:val="en-GB"/>
              </w:rPr>
              <w:t>0.05</w:t>
            </w:r>
            <w:r>
              <w:rPr>
                <w:rFonts w:cs="Arial"/>
                <w:spacing w:val="6"/>
                <w:sz w:val="17"/>
                <w:szCs w:val="20"/>
                <w:u w:color="000000"/>
                <w:lang w:val="en-GB"/>
              </w:rPr>
              <w:t xml:space="preserve"> (offal)</w:t>
            </w:r>
          </w:p>
        </w:tc>
        <w:tc>
          <w:tcPr>
            <w:tcW w:w="721" w:type="pct"/>
            <w:tcBorders>
              <w:top w:val="dotted" w:sz="4" w:space="0" w:color="auto"/>
              <w:bottom w:val="single" w:sz="4" w:space="0" w:color="auto"/>
            </w:tcBorders>
          </w:tcPr>
          <w:p w14:paraId="1B01A0E7" w14:textId="77777777" w:rsidR="001E11F6" w:rsidRPr="0026191E" w:rsidRDefault="001E11F6" w:rsidP="00F142B9">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*0.01</w:t>
            </w:r>
          </w:p>
        </w:tc>
      </w:tr>
    </w:tbl>
    <w:p w14:paraId="4CE37162" w14:textId="77777777" w:rsidR="001E11F6" w:rsidRPr="00DC1FF5" w:rsidRDefault="001E11F6" w:rsidP="00276C28">
      <w:pPr>
        <w:pStyle w:val="APVMASourceTableNote"/>
      </w:pPr>
      <w:r>
        <w:t>Note: the milk MRL is recommended at the lowest validated LOQ, noting residues were not observed (&lt;0.01 mg/kg) after dosing at up to 3.79 ppm.</w:t>
      </w:r>
    </w:p>
    <w:p w14:paraId="5CBFCCD5" w14:textId="3B15563E" w:rsidR="001E11F6" w:rsidRPr="00EC1FD7" w:rsidRDefault="001E11F6" w:rsidP="001E11F6">
      <w:pPr>
        <w:pStyle w:val="APVMAText"/>
      </w:pPr>
      <w:r>
        <w:t>C</w:t>
      </w:r>
      <w:r w:rsidR="00EA2FEF">
        <w:t>ereal grains can form 100 per cent</w:t>
      </w:r>
      <w:r w:rsidRPr="007E4AD1">
        <w:t xml:space="preserve"> of the diet for poultry in Australia. However, detectable residues of </w:t>
      </w:r>
      <w:proofErr w:type="spellStart"/>
      <w:r w:rsidRPr="007E4AD1">
        <w:t>topramezone</w:t>
      </w:r>
      <w:proofErr w:type="spellEnd"/>
      <w:r w:rsidRPr="007E4AD1">
        <w:t xml:space="preserve"> are not expected to occur in wheat and barley grain from the proposed use. Poultry commodity MRLs for </w:t>
      </w:r>
      <w:proofErr w:type="spellStart"/>
      <w:r w:rsidRPr="007E4AD1">
        <w:t>topramezone</w:t>
      </w:r>
      <w:proofErr w:type="spellEnd"/>
      <w:r w:rsidRPr="007E4AD1">
        <w:t xml:space="preserve"> will be established at the respective LOQs of the analytical method.</w:t>
      </w:r>
    </w:p>
    <w:p w14:paraId="054027C4" w14:textId="77777777" w:rsidR="00642A09" w:rsidRDefault="00642A09" w:rsidP="000D74AA">
      <w:pPr>
        <w:pStyle w:val="Heading2"/>
        <w:rPr>
          <w:lang w:val="en-GB"/>
        </w:rPr>
      </w:pPr>
      <w:bookmarkStart w:id="35" w:name="_Toc6472833"/>
      <w:r>
        <w:rPr>
          <w:lang w:val="en-GB"/>
        </w:rPr>
        <w:t>Crop rotation</w:t>
      </w:r>
      <w:bookmarkEnd w:id="35"/>
    </w:p>
    <w:p w14:paraId="5EE7F968" w14:textId="77777777" w:rsidR="001E11F6" w:rsidRPr="00EC1FD7" w:rsidRDefault="001E11F6" w:rsidP="001E11F6">
      <w:pPr>
        <w:pStyle w:val="APVMAText"/>
      </w:pPr>
      <w:r>
        <w:t xml:space="preserve">Given the low residues observed in the confined crop rotation study (summarised in section 4.1) after application at much higher rates than proposed, it is not expected that residues of </w:t>
      </w:r>
      <w:proofErr w:type="spellStart"/>
      <w:r>
        <w:t>topramezone</w:t>
      </w:r>
      <w:proofErr w:type="spellEnd"/>
      <w:r>
        <w:t xml:space="preserve"> or its metabolites will occur in rotational crops planted after the primary crop.</w:t>
      </w:r>
    </w:p>
    <w:p w14:paraId="4ECBFC4B" w14:textId="77777777" w:rsidR="000D74AA" w:rsidRDefault="000D74AA" w:rsidP="000D74AA">
      <w:pPr>
        <w:pStyle w:val="Heading2"/>
        <w:rPr>
          <w:lang w:val="en-GB"/>
        </w:rPr>
      </w:pPr>
      <w:bookmarkStart w:id="36" w:name="_Toc6472834"/>
      <w:r>
        <w:rPr>
          <w:lang w:val="en-GB"/>
        </w:rPr>
        <w:lastRenderedPageBreak/>
        <w:t>Residues in animal commodities</w:t>
      </w:r>
      <w:bookmarkEnd w:id="36"/>
    </w:p>
    <w:p w14:paraId="27016B5B" w14:textId="3F8A4101" w:rsidR="001E11F6" w:rsidRPr="00EC1FD7" w:rsidRDefault="001E11F6" w:rsidP="001E11F6">
      <w:pPr>
        <w:pStyle w:val="APVMAText"/>
      </w:pPr>
      <w:r w:rsidRPr="007E4AD1">
        <w:t xml:space="preserve">The log </w:t>
      </w:r>
      <w:proofErr w:type="gramStart"/>
      <w:r w:rsidRPr="007E4AD1">
        <w:t>P</w:t>
      </w:r>
      <w:r w:rsidRPr="007E4AD1">
        <w:rPr>
          <w:vertAlign w:val="subscript"/>
        </w:rPr>
        <w:t>ow</w:t>
      </w:r>
      <w:proofErr w:type="gramEnd"/>
      <w:r w:rsidRPr="007E4AD1">
        <w:t xml:space="preserve"> </w:t>
      </w:r>
      <w:r>
        <w:t xml:space="preserve">for </w:t>
      </w:r>
      <w:proofErr w:type="spellStart"/>
      <w:r>
        <w:t>tropamezone</w:t>
      </w:r>
      <w:proofErr w:type="spellEnd"/>
      <w:r>
        <w:t xml:space="preserve"> </w:t>
      </w:r>
      <w:r w:rsidRPr="007E4AD1">
        <w:t>is</w:t>
      </w:r>
      <w:r w:rsidR="000E3142">
        <w:t xml:space="preserve"> -</w:t>
      </w:r>
      <w:r w:rsidRPr="007E4AD1">
        <w:t>1.13 (deionized water), -0.81 (buffer pH4), -1.52 (buffer pH7) indicates low potential for bioaccumulation.</w:t>
      </w:r>
    </w:p>
    <w:p w14:paraId="039CFB94" w14:textId="77777777" w:rsidR="00CF4E15" w:rsidRDefault="00CF4E15" w:rsidP="000D74AA">
      <w:pPr>
        <w:pStyle w:val="Heading2"/>
        <w:rPr>
          <w:lang w:val="en-GB"/>
        </w:rPr>
      </w:pPr>
      <w:bookmarkStart w:id="37" w:name="_Toc6472835"/>
      <w:r>
        <w:rPr>
          <w:lang w:val="en-GB"/>
        </w:rPr>
        <w:t>Spray drift</w:t>
      </w:r>
      <w:bookmarkEnd w:id="37"/>
    </w:p>
    <w:p w14:paraId="74F2BA18" w14:textId="77777777" w:rsidR="001E11F6" w:rsidRDefault="001E11F6" w:rsidP="001E11F6">
      <w:pPr>
        <w:pStyle w:val="APVMAText"/>
      </w:pPr>
      <w:r>
        <w:t>The product will be applied by ground application only with a medium or larger spray droplet size.</w:t>
      </w:r>
    </w:p>
    <w:p w14:paraId="1EDA29A6" w14:textId="77777777" w:rsidR="001E11F6" w:rsidRPr="007E4AD1" w:rsidRDefault="001E11F6" w:rsidP="001E11F6">
      <w:pPr>
        <w:pStyle w:val="APVMAText"/>
      </w:pPr>
      <w:r>
        <w:t xml:space="preserve">In the </w:t>
      </w:r>
      <w:proofErr w:type="spellStart"/>
      <w:r>
        <w:t>topramezone</w:t>
      </w:r>
      <w:proofErr w:type="spellEnd"/>
      <w:r>
        <w:t xml:space="preserve"> dairy cattle transfer study provided in support of the application, dosing at 0.36 ppm give a maximum residue of 0.608 mg/kg in liver. The feeding level for residues in liver to be at the LOQ of 0.01 mg/kg is therefore 0.006 ppm. Assuming pasture consists of 3000 kg DM/ha this corresponds to an allowable drift of 0.018 g/ha or 0.0015× the field rate (12 g </w:t>
      </w:r>
      <w:proofErr w:type="spellStart"/>
      <w:r>
        <w:t>ai</w:t>
      </w:r>
      <w:proofErr w:type="spellEnd"/>
      <w:r>
        <w:t>/ha).</w:t>
      </w:r>
    </w:p>
    <w:p w14:paraId="327C93C1" w14:textId="750D79D3" w:rsidR="001E11F6" w:rsidRPr="00EC1FD7" w:rsidRDefault="001E11F6" w:rsidP="001E11F6">
      <w:pPr>
        <w:pStyle w:val="APVMAText"/>
      </w:pPr>
      <w:r>
        <w:t xml:space="preserve">Using the APVMA standard scenario for ground application / high boom / medium droplets, average spray drift deposition over a 100 metre field will drop below 0.0015× the field rate by 120 metres downwind from the application area. A no-spray zone for livestock areas of 120 meters is recommended for the protection of international </w:t>
      </w:r>
      <w:r w:rsidR="00276C28">
        <w:t>trade in livestock commodities.</w:t>
      </w:r>
    </w:p>
    <w:p w14:paraId="2592795D" w14:textId="77777777" w:rsidR="000D74AA" w:rsidRDefault="000D74AA" w:rsidP="000D74AA">
      <w:pPr>
        <w:pStyle w:val="Heading2"/>
        <w:rPr>
          <w:lang w:val="en-GB"/>
        </w:rPr>
      </w:pPr>
      <w:bookmarkStart w:id="38" w:name="_Toc6472836"/>
      <w:r>
        <w:rPr>
          <w:lang w:val="en-GB"/>
        </w:rPr>
        <w:t>Dietary risk assessment</w:t>
      </w:r>
      <w:bookmarkEnd w:id="38"/>
    </w:p>
    <w:p w14:paraId="51DDD902" w14:textId="3BC72214" w:rsidR="00130F2C" w:rsidRDefault="00130F2C" w:rsidP="00130F2C">
      <w:pPr>
        <w:pStyle w:val="APVMAText"/>
      </w:pPr>
      <w:r>
        <w:t xml:space="preserve">The chronic dietary exposure </w:t>
      </w:r>
      <w:r w:rsidRPr="004267AE">
        <w:t xml:space="preserve">to </w:t>
      </w:r>
      <w:proofErr w:type="spellStart"/>
      <w:r w:rsidRPr="004267AE">
        <w:t>topramezone</w:t>
      </w:r>
      <w:proofErr w:type="spellEnd"/>
      <w:r w:rsidRPr="004267AE">
        <w:t xml:space="preserve"> is estimated by the National Estimated Daily Intake (NEDI) calculation encompassing all registered/temporary uses of the chemical and the mean daily dietary consumption data derived primarily from the 2011</w:t>
      </w:r>
      <w:r w:rsidR="002B04B9">
        <w:t>–</w:t>
      </w:r>
      <w:r w:rsidRPr="004267AE">
        <w:t xml:space="preserve">12 National Nutritional and Physical Activity Survey. The NEDI calculation is made in accordance with WHO Guidelines and is a conservative estimate of dietary exposure to chemical residues in food. The NEDI for </w:t>
      </w:r>
      <w:proofErr w:type="spellStart"/>
      <w:r w:rsidRPr="004267AE">
        <w:t>topramezone</w:t>
      </w:r>
      <w:proofErr w:type="spellEnd"/>
      <w:r w:rsidRPr="004267AE">
        <w:t xml:space="preserve"> i</w:t>
      </w:r>
      <w:r w:rsidR="00276C28">
        <w:t>s equivalent to &lt;5</w:t>
      </w:r>
      <w:r w:rsidR="00EA2FEF">
        <w:t xml:space="preserve"> per cent</w:t>
      </w:r>
      <w:r w:rsidR="00276C28">
        <w:t xml:space="preserve"> of the ADI.</w:t>
      </w:r>
    </w:p>
    <w:p w14:paraId="115CD0D8" w14:textId="21C48AEA" w:rsidR="00130F2C" w:rsidRDefault="00130F2C" w:rsidP="00130F2C">
      <w:pPr>
        <w:pStyle w:val="APVMAText"/>
      </w:pPr>
      <w:r>
        <w:t>HARVEST Modelling</w:t>
      </w:r>
      <w:r>
        <w:rPr>
          <w:vertAlign w:val="superscript"/>
        </w:rPr>
        <w:footnoteReference w:id="3"/>
      </w:r>
      <w:r>
        <w:t xml:space="preserve">: HARVEST Modelling of chronic dietary exposure is also performed on new chemicals. The HARVEST model estimated the chronic dietary exposure of </w:t>
      </w:r>
      <w:proofErr w:type="spellStart"/>
      <w:r>
        <w:t>topramezone</w:t>
      </w:r>
      <w:proofErr w:type="spellEnd"/>
      <w:r>
        <w:t xml:space="preserve"> as </w:t>
      </w:r>
      <w:r w:rsidRPr="00603E21">
        <w:t>&lt;5</w:t>
      </w:r>
      <w:r w:rsidR="00EA2FEF">
        <w:t xml:space="preserve"> per cent</w:t>
      </w:r>
      <w:r>
        <w:t xml:space="preserve"> of the ADI for the general population.</w:t>
      </w:r>
    </w:p>
    <w:p w14:paraId="30C4A04C" w14:textId="20D20F56" w:rsidR="00130F2C" w:rsidRPr="004267AE" w:rsidRDefault="00130F2C" w:rsidP="00130F2C">
      <w:pPr>
        <w:pStyle w:val="APVMAText"/>
      </w:pPr>
      <w:r w:rsidRPr="004267AE">
        <w:t xml:space="preserve">It is concluded that the chronic dietary exposure to </w:t>
      </w:r>
      <w:proofErr w:type="spellStart"/>
      <w:r w:rsidRPr="004267AE">
        <w:t>topramezone</w:t>
      </w:r>
      <w:proofErr w:type="spellEnd"/>
      <w:r w:rsidRPr="004267AE">
        <w:t xml:space="preserve"> is acceptable.</w:t>
      </w:r>
    </w:p>
    <w:p w14:paraId="7F469F87" w14:textId="657BF7BE" w:rsidR="00F27E0D" w:rsidRDefault="00130F2C" w:rsidP="00130F2C">
      <w:pPr>
        <w:pStyle w:val="APVMAText"/>
        <w:rPr>
          <w:lang w:val="en-GB"/>
        </w:rPr>
      </w:pPr>
      <w:r w:rsidRPr="00990F44">
        <w:t>The acute dietary exposure is estimated by the National Estimated Short Term Intake (NESTI) calculation.</w:t>
      </w:r>
      <w:r>
        <w:t xml:space="preserve"> The NESTI calculations are made in accordance with the deterministic method used by the JMPR with 97.5th percentile food consumption data derived primarily from the 2011</w:t>
      </w:r>
      <w:r w:rsidR="002B04B9">
        <w:t>–</w:t>
      </w:r>
      <w:r>
        <w:t xml:space="preserve">12 National Nutritional and Physical Activity Survey. NESTI calculations are </w:t>
      </w:r>
      <w:r w:rsidRPr="00882020">
        <w:t>conservative estimates of short-term exposure (24 hour period) to</w:t>
      </w:r>
      <w:r w:rsidRPr="00130F2C">
        <w:t xml:space="preserve"> </w:t>
      </w:r>
      <w:r w:rsidRPr="00882020">
        <w:t xml:space="preserve">chemical residues in food. </w:t>
      </w:r>
      <w:r>
        <w:t xml:space="preserve">An acute reference dose for </w:t>
      </w:r>
      <w:proofErr w:type="spellStart"/>
      <w:r>
        <w:t>topramezone</w:t>
      </w:r>
      <w:proofErr w:type="spellEnd"/>
      <w:r>
        <w:t xml:space="preserve"> was considered to be unnecessary. A NESTI calculation is not required.</w:t>
      </w:r>
    </w:p>
    <w:p w14:paraId="5362E777" w14:textId="77777777" w:rsidR="00F27E0D" w:rsidRDefault="005A7D0A" w:rsidP="005A7D0A">
      <w:pPr>
        <w:pStyle w:val="Heading2"/>
      </w:pPr>
      <w:bookmarkStart w:id="39" w:name="_Toc6472837"/>
      <w:r>
        <w:lastRenderedPageBreak/>
        <w:t>Recommendations</w:t>
      </w:r>
      <w:bookmarkEnd w:id="39"/>
    </w:p>
    <w:p w14:paraId="78831F1C" w14:textId="77777777" w:rsidR="00130F2C" w:rsidRDefault="00130F2C" w:rsidP="00130F2C">
      <w:pPr>
        <w:pStyle w:val="APVMAText"/>
      </w:pPr>
      <w:r>
        <w:t xml:space="preserve">In considering the application, and section </w:t>
      </w:r>
      <w:proofErr w:type="gramStart"/>
      <w:r>
        <w:t>5A(</w:t>
      </w:r>
      <w:proofErr w:type="gramEnd"/>
      <w:r>
        <w:t>3)(b)</w:t>
      </w:r>
      <w:r w:rsidRPr="007139BF">
        <w:t>(iii)</w:t>
      </w:r>
      <w:r>
        <w:t xml:space="preserve"> of the schedule to the Code Act, the following amendments will be made to the APVMA MRL Standard should the application be approved:</w:t>
      </w:r>
    </w:p>
    <w:p w14:paraId="5CA8D072" w14:textId="038EAEE6" w:rsidR="001D4D17" w:rsidRDefault="001D4D17" w:rsidP="001D4D17">
      <w:pPr>
        <w:pStyle w:val="Caption"/>
      </w:pPr>
      <w:bookmarkStart w:id="40" w:name="_Toc6472806"/>
      <w:r>
        <w:t xml:space="preserve">Table </w:t>
      </w:r>
      <w:r w:rsidR="00D21C3A">
        <w:rPr>
          <w:noProof/>
        </w:rPr>
        <w:fldChar w:fldCharType="begin"/>
      </w:r>
      <w:r w:rsidR="00D21C3A">
        <w:rPr>
          <w:noProof/>
        </w:rPr>
        <w:instrText xml:space="preserve"> SEQ Table \* ARABIC </w:instrText>
      </w:r>
      <w:r w:rsidR="00D21C3A">
        <w:rPr>
          <w:noProof/>
        </w:rPr>
        <w:fldChar w:fldCharType="separate"/>
      </w:r>
      <w:r w:rsidR="00FC32D4">
        <w:rPr>
          <w:noProof/>
        </w:rPr>
        <w:t>5</w:t>
      </w:r>
      <w:r w:rsidR="00D21C3A">
        <w:rPr>
          <w:noProof/>
        </w:rPr>
        <w:fldChar w:fldCharType="end"/>
      </w:r>
      <w:r>
        <w:t>:</w:t>
      </w:r>
      <w:r w:rsidRPr="001D4D17">
        <w:t xml:space="preserve"> </w:t>
      </w:r>
      <w:r>
        <w:t xml:space="preserve">Amendments to the APVMA </w:t>
      </w:r>
      <w:r>
        <w:rPr>
          <w:bCs/>
        </w:rPr>
        <w:t>MRL Standard</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1D4D17" w14:paraId="7C1DC928" w14:textId="77777777" w:rsidTr="004F0A8F">
        <w:trPr>
          <w:tblHeader/>
        </w:trPr>
        <w:tc>
          <w:tcPr>
            <w:tcW w:w="5000" w:type="pct"/>
            <w:gridSpan w:val="3"/>
            <w:tcBorders>
              <w:top w:val="nil"/>
              <w:left w:val="nil"/>
              <w:bottom w:val="single" w:sz="4" w:space="0" w:color="auto"/>
              <w:right w:val="nil"/>
            </w:tcBorders>
            <w:shd w:val="clear" w:color="auto" w:fill="E6E6E6"/>
          </w:tcPr>
          <w:p w14:paraId="53519714" w14:textId="77777777" w:rsidR="001D4D17" w:rsidRDefault="001D4D17">
            <w:pPr>
              <w:pStyle w:val="APVMATableHead"/>
            </w:pPr>
            <w:r>
              <w:t>amendments to table 1</w:t>
            </w:r>
          </w:p>
        </w:tc>
      </w:tr>
      <w:tr w:rsidR="00F27E0D" w14:paraId="35BE0652" w14:textId="77777777" w:rsidTr="004F0A8F">
        <w:trPr>
          <w:tblHeader/>
        </w:trPr>
        <w:tc>
          <w:tcPr>
            <w:tcW w:w="1613" w:type="pct"/>
            <w:tcBorders>
              <w:top w:val="nil"/>
              <w:left w:val="nil"/>
              <w:bottom w:val="single" w:sz="4" w:space="0" w:color="auto"/>
              <w:right w:val="nil"/>
            </w:tcBorders>
            <w:shd w:val="clear" w:color="auto" w:fill="E6E6E6"/>
          </w:tcPr>
          <w:p w14:paraId="1DBAFD24" w14:textId="77777777" w:rsidR="00F27E0D" w:rsidRDefault="00F27E0D">
            <w:pPr>
              <w:pStyle w:val="APVMATableHead"/>
            </w:pPr>
            <w:r>
              <w:t>COMPOUND</w:t>
            </w:r>
          </w:p>
        </w:tc>
        <w:tc>
          <w:tcPr>
            <w:tcW w:w="2392" w:type="pct"/>
            <w:tcBorders>
              <w:top w:val="nil"/>
              <w:left w:val="nil"/>
              <w:bottom w:val="single" w:sz="4" w:space="0" w:color="auto"/>
              <w:right w:val="nil"/>
            </w:tcBorders>
            <w:shd w:val="clear" w:color="auto" w:fill="E6E6E6"/>
          </w:tcPr>
          <w:p w14:paraId="298E206D" w14:textId="77777777" w:rsidR="00F27E0D" w:rsidRDefault="00F27E0D">
            <w:pPr>
              <w:pStyle w:val="APVMATableHead"/>
            </w:pPr>
            <w:r>
              <w:t>FOOD</w:t>
            </w:r>
          </w:p>
        </w:tc>
        <w:tc>
          <w:tcPr>
            <w:tcW w:w="995" w:type="pct"/>
            <w:tcBorders>
              <w:top w:val="nil"/>
              <w:left w:val="nil"/>
              <w:bottom w:val="single" w:sz="4" w:space="0" w:color="auto"/>
              <w:right w:val="nil"/>
            </w:tcBorders>
            <w:shd w:val="clear" w:color="auto" w:fill="E6E6E6"/>
          </w:tcPr>
          <w:p w14:paraId="4C7EC0FA" w14:textId="77777777" w:rsidR="00F27E0D" w:rsidRDefault="00F27E0D">
            <w:pPr>
              <w:pStyle w:val="APVMATableHead"/>
            </w:pPr>
            <w:r>
              <w:t>MRL (</w:t>
            </w:r>
            <w:r>
              <w:rPr>
                <w:caps w:val="0"/>
              </w:rPr>
              <w:t>mg/kg</w:t>
            </w:r>
            <w:r>
              <w:t>)</w:t>
            </w:r>
          </w:p>
        </w:tc>
      </w:tr>
      <w:tr w:rsidR="00F27E0D" w14:paraId="237E51A8" w14:textId="77777777" w:rsidTr="004F0A8F">
        <w:tc>
          <w:tcPr>
            <w:tcW w:w="5000" w:type="pct"/>
            <w:gridSpan w:val="3"/>
            <w:tcBorders>
              <w:top w:val="single" w:sz="4" w:space="0" w:color="auto"/>
              <w:left w:val="nil"/>
              <w:bottom w:val="nil"/>
              <w:right w:val="nil"/>
            </w:tcBorders>
          </w:tcPr>
          <w:p w14:paraId="560546EA" w14:textId="77777777" w:rsidR="00F27E0D" w:rsidRDefault="00B05E81" w:rsidP="00B05E81">
            <w:pPr>
              <w:pStyle w:val="APVMATableText"/>
            </w:pPr>
            <w:r>
              <w:t>ADD:</w:t>
            </w:r>
          </w:p>
        </w:tc>
      </w:tr>
      <w:tr w:rsidR="00130F2C" w14:paraId="5389636F" w14:textId="77777777" w:rsidTr="004F0A8F">
        <w:tc>
          <w:tcPr>
            <w:tcW w:w="1613" w:type="pct"/>
            <w:tcBorders>
              <w:top w:val="nil"/>
              <w:left w:val="nil"/>
              <w:bottom w:val="nil"/>
              <w:right w:val="nil"/>
            </w:tcBorders>
          </w:tcPr>
          <w:p w14:paraId="400F5AEB" w14:textId="19A32F44" w:rsidR="00130F2C" w:rsidRDefault="00130F2C" w:rsidP="00130F2C">
            <w:pPr>
              <w:pStyle w:val="APVMATableText"/>
              <w:ind w:firstLine="493"/>
            </w:pPr>
            <w:proofErr w:type="spellStart"/>
            <w:r>
              <w:rPr>
                <w:b/>
                <w:sz w:val="18"/>
                <w:szCs w:val="18"/>
              </w:rPr>
              <w:t>Topramezone</w:t>
            </w:r>
            <w:proofErr w:type="spellEnd"/>
          </w:p>
        </w:tc>
        <w:tc>
          <w:tcPr>
            <w:tcW w:w="2392" w:type="pct"/>
            <w:tcBorders>
              <w:top w:val="nil"/>
              <w:left w:val="nil"/>
              <w:bottom w:val="nil"/>
              <w:right w:val="nil"/>
            </w:tcBorders>
          </w:tcPr>
          <w:p w14:paraId="281FCEC0" w14:textId="77777777" w:rsidR="00130F2C" w:rsidRDefault="00130F2C" w:rsidP="00130F2C">
            <w:pPr>
              <w:pStyle w:val="MRLTableText"/>
            </w:pPr>
          </w:p>
        </w:tc>
        <w:tc>
          <w:tcPr>
            <w:tcW w:w="995" w:type="pct"/>
            <w:tcBorders>
              <w:top w:val="nil"/>
              <w:left w:val="nil"/>
              <w:bottom w:val="nil"/>
              <w:right w:val="nil"/>
            </w:tcBorders>
          </w:tcPr>
          <w:p w14:paraId="674B6C5F" w14:textId="77777777" w:rsidR="00130F2C" w:rsidRDefault="00130F2C" w:rsidP="00130F2C">
            <w:pPr>
              <w:pStyle w:val="MRLValue"/>
              <w:tabs>
                <w:tab w:val="clear" w:pos="612"/>
                <w:tab w:val="decimal" w:pos="792"/>
              </w:tabs>
              <w:jc w:val="both"/>
            </w:pPr>
          </w:p>
        </w:tc>
      </w:tr>
      <w:tr w:rsidR="00130F2C" w14:paraId="6312904E" w14:textId="77777777" w:rsidTr="004F0A8F">
        <w:tc>
          <w:tcPr>
            <w:tcW w:w="1613" w:type="pct"/>
            <w:tcBorders>
              <w:top w:val="nil"/>
              <w:left w:val="nil"/>
              <w:bottom w:val="nil"/>
              <w:right w:val="nil"/>
            </w:tcBorders>
          </w:tcPr>
          <w:p w14:paraId="58B87AE1" w14:textId="074B4C24" w:rsidR="00130F2C" w:rsidRDefault="00130F2C" w:rsidP="00130F2C">
            <w:pPr>
              <w:pStyle w:val="APVMATableText"/>
            </w:pPr>
            <w:r w:rsidRPr="000D1246">
              <w:rPr>
                <w:sz w:val="18"/>
                <w:szCs w:val="18"/>
              </w:rPr>
              <w:t>GC</w:t>
            </w:r>
            <w:r w:rsidRPr="000D1246">
              <w:rPr>
                <w:sz w:val="18"/>
                <w:szCs w:val="18"/>
              </w:rPr>
              <w:tab/>
              <w:t>0640</w:t>
            </w:r>
          </w:p>
        </w:tc>
        <w:tc>
          <w:tcPr>
            <w:tcW w:w="2392" w:type="pct"/>
            <w:tcBorders>
              <w:top w:val="nil"/>
              <w:left w:val="nil"/>
              <w:bottom w:val="nil"/>
              <w:right w:val="nil"/>
            </w:tcBorders>
          </w:tcPr>
          <w:p w14:paraId="384EF69C" w14:textId="25CA39E6" w:rsidR="00130F2C" w:rsidRDefault="00130F2C" w:rsidP="00130F2C">
            <w:pPr>
              <w:pStyle w:val="APVMATableText"/>
            </w:pPr>
            <w:r w:rsidRPr="000D1246">
              <w:rPr>
                <w:sz w:val="18"/>
                <w:szCs w:val="18"/>
              </w:rPr>
              <w:t>Barley</w:t>
            </w:r>
          </w:p>
        </w:tc>
        <w:tc>
          <w:tcPr>
            <w:tcW w:w="995" w:type="pct"/>
            <w:tcBorders>
              <w:top w:val="nil"/>
              <w:left w:val="nil"/>
              <w:bottom w:val="nil"/>
              <w:right w:val="nil"/>
            </w:tcBorders>
          </w:tcPr>
          <w:p w14:paraId="48579597" w14:textId="7B8DD7A4" w:rsidR="00130F2C" w:rsidRDefault="00130F2C" w:rsidP="00130F2C">
            <w:pPr>
              <w:pStyle w:val="APVMATableText"/>
            </w:pPr>
            <w:r w:rsidRPr="000D1246">
              <w:rPr>
                <w:sz w:val="18"/>
                <w:szCs w:val="18"/>
              </w:rPr>
              <w:t>*0.01</w:t>
            </w:r>
          </w:p>
        </w:tc>
      </w:tr>
      <w:tr w:rsidR="00130F2C" w14:paraId="0EEA28EF" w14:textId="77777777" w:rsidTr="004F0A8F">
        <w:tc>
          <w:tcPr>
            <w:tcW w:w="1613" w:type="pct"/>
            <w:tcBorders>
              <w:top w:val="nil"/>
              <w:left w:val="nil"/>
              <w:bottom w:val="nil"/>
              <w:right w:val="nil"/>
            </w:tcBorders>
          </w:tcPr>
          <w:p w14:paraId="5A36E0FE" w14:textId="3026301C" w:rsidR="00130F2C" w:rsidRDefault="00130F2C" w:rsidP="00130F2C">
            <w:pPr>
              <w:pStyle w:val="APVMATableText"/>
            </w:pPr>
            <w:r w:rsidRPr="004B189E">
              <w:rPr>
                <w:sz w:val="18"/>
                <w:lang w:val="en-US"/>
              </w:rPr>
              <w:t>MO</w:t>
            </w:r>
            <w:r w:rsidRPr="004B189E">
              <w:rPr>
                <w:sz w:val="18"/>
                <w:lang w:val="en-US"/>
              </w:rPr>
              <w:tab/>
              <w:t>0105</w:t>
            </w:r>
          </w:p>
        </w:tc>
        <w:tc>
          <w:tcPr>
            <w:tcW w:w="2392" w:type="pct"/>
            <w:tcBorders>
              <w:top w:val="nil"/>
              <w:left w:val="nil"/>
              <w:bottom w:val="nil"/>
              <w:right w:val="nil"/>
            </w:tcBorders>
          </w:tcPr>
          <w:p w14:paraId="06625641" w14:textId="4558C8F2" w:rsidR="00130F2C" w:rsidRDefault="00130F2C" w:rsidP="00130F2C">
            <w:pPr>
              <w:pStyle w:val="APVMATableText"/>
            </w:pPr>
            <w:r w:rsidRPr="004B189E">
              <w:rPr>
                <w:sz w:val="18"/>
              </w:rPr>
              <w:t xml:space="preserve">Edible offal (Mammalian) </w:t>
            </w:r>
          </w:p>
        </w:tc>
        <w:tc>
          <w:tcPr>
            <w:tcW w:w="995" w:type="pct"/>
            <w:tcBorders>
              <w:top w:val="nil"/>
              <w:left w:val="nil"/>
              <w:bottom w:val="nil"/>
              <w:right w:val="nil"/>
            </w:tcBorders>
          </w:tcPr>
          <w:p w14:paraId="0593B743" w14:textId="7D1C69BD" w:rsidR="00130F2C" w:rsidRDefault="00130F2C" w:rsidP="00130F2C">
            <w:pPr>
              <w:pStyle w:val="APVMATableText"/>
            </w:pPr>
            <w:r>
              <w:rPr>
                <w:sz w:val="18"/>
                <w:szCs w:val="18"/>
              </w:rPr>
              <w:t>0.05</w:t>
            </w:r>
          </w:p>
        </w:tc>
      </w:tr>
      <w:tr w:rsidR="00130F2C" w14:paraId="27D66E1A" w14:textId="77777777" w:rsidTr="004F0A8F">
        <w:tc>
          <w:tcPr>
            <w:tcW w:w="1613" w:type="pct"/>
            <w:tcBorders>
              <w:top w:val="nil"/>
              <w:left w:val="nil"/>
              <w:bottom w:val="nil"/>
              <w:right w:val="nil"/>
            </w:tcBorders>
          </w:tcPr>
          <w:p w14:paraId="48311704" w14:textId="260AF83A" w:rsidR="00130F2C" w:rsidRDefault="00130F2C" w:rsidP="00130F2C">
            <w:pPr>
              <w:pStyle w:val="APVMATableText"/>
            </w:pPr>
            <w:r w:rsidRPr="004B189E">
              <w:rPr>
                <w:sz w:val="18"/>
                <w:lang w:val="en-US"/>
              </w:rPr>
              <w:t>PE</w:t>
            </w:r>
            <w:r w:rsidRPr="004B189E">
              <w:rPr>
                <w:sz w:val="18"/>
                <w:lang w:val="en-US"/>
              </w:rPr>
              <w:tab/>
              <w:t>0112</w:t>
            </w:r>
          </w:p>
        </w:tc>
        <w:tc>
          <w:tcPr>
            <w:tcW w:w="2392" w:type="pct"/>
            <w:tcBorders>
              <w:top w:val="nil"/>
              <w:left w:val="nil"/>
              <w:bottom w:val="nil"/>
              <w:right w:val="nil"/>
            </w:tcBorders>
          </w:tcPr>
          <w:p w14:paraId="1E4CC527" w14:textId="1F2EB021" w:rsidR="00130F2C" w:rsidRDefault="00130F2C" w:rsidP="00130F2C">
            <w:pPr>
              <w:pStyle w:val="APVMATableText"/>
            </w:pPr>
            <w:r w:rsidRPr="004B189E">
              <w:rPr>
                <w:sz w:val="18"/>
              </w:rPr>
              <w:t>Eggs</w:t>
            </w:r>
          </w:p>
        </w:tc>
        <w:tc>
          <w:tcPr>
            <w:tcW w:w="995" w:type="pct"/>
            <w:tcBorders>
              <w:top w:val="nil"/>
              <w:left w:val="nil"/>
              <w:bottom w:val="nil"/>
              <w:right w:val="nil"/>
            </w:tcBorders>
          </w:tcPr>
          <w:p w14:paraId="023434B3" w14:textId="52A66783" w:rsidR="00130F2C" w:rsidRDefault="00130F2C" w:rsidP="00130F2C">
            <w:pPr>
              <w:pStyle w:val="APVMATableText"/>
            </w:pPr>
            <w:r>
              <w:rPr>
                <w:sz w:val="18"/>
                <w:szCs w:val="18"/>
              </w:rPr>
              <w:t>*0.01</w:t>
            </w:r>
          </w:p>
        </w:tc>
      </w:tr>
      <w:tr w:rsidR="00130F2C" w14:paraId="65B3DB74" w14:textId="77777777" w:rsidTr="004F0A8F">
        <w:tc>
          <w:tcPr>
            <w:tcW w:w="1613" w:type="pct"/>
            <w:tcBorders>
              <w:top w:val="nil"/>
              <w:left w:val="nil"/>
              <w:bottom w:val="nil"/>
              <w:right w:val="nil"/>
            </w:tcBorders>
          </w:tcPr>
          <w:p w14:paraId="762E3830" w14:textId="4D18D50F" w:rsidR="00130F2C" w:rsidRPr="004B189E" w:rsidRDefault="00130F2C" w:rsidP="00130F2C">
            <w:pPr>
              <w:pStyle w:val="APVMATableText"/>
              <w:rPr>
                <w:sz w:val="18"/>
                <w:lang w:val="en-US"/>
              </w:rPr>
            </w:pPr>
            <w:r w:rsidRPr="004B189E">
              <w:rPr>
                <w:sz w:val="18"/>
                <w:lang w:val="en-US"/>
              </w:rPr>
              <w:t>MM</w:t>
            </w:r>
            <w:r w:rsidRPr="004B189E">
              <w:rPr>
                <w:sz w:val="18"/>
                <w:lang w:val="en-US"/>
              </w:rPr>
              <w:tab/>
              <w:t>0095</w:t>
            </w:r>
          </w:p>
        </w:tc>
        <w:tc>
          <w:tcPr>
            <w:tcW w:w="2392" w:type="pct"/>
            <w:tcBorders>
              <w:top w:val="nil"/>
              <w:left w:val="nil"/>
              <w:bottom w:val="nil"/>
              <w:right w:val="nil"/>
            </w:tcBorders>
          </w:tcPr>
          <w:p w14:paraId="662E6F0A" w14:textId="4CB27DA9" w:rsidR="00130F2C" w:rsidRPr="004B189E" w:rsidRDefault="00130F2C" w:rsidP="00130F2C">
            <w:pPr>
              <w:pStyle w:val="APVMATableText"/>
              <w:rPr>
                <w:sz w:val="18"/>
              </w:rPr>
            </w:pPr>
            <w:r w:rsidRPr="004B189E">
              <w:rPr>
                <w:sz w:val="18"/>
              </w:rPr>
              <w:t>Meat [mammalian]</w:t>
            </w:r>
          </w:p>
        </w:tc>
        <w:tc>
          <w:tcPr>
            <w:tcW w:w="995" w:type="pct"/>
            <w:tcBorders>
              <w:top w:val="nil"/>
              <w:left w:val="nil"/>
              <w:bottom w:val="nil"/>
              <w:right w:val="nil"/>
            </w:tcBorders>
          </w:tcPr>
          <w:p w14:paraId="1E66B82A" w14:textId="768B94BB" w:rsidR="00130F2C" w:rsidRDefault="00130F2C" w:rsidP="00130F2C">
            <w:pPr>
              <w:pStyle w:val="APVMATableText"/>
              <w:rPr>
                <w:sz w:val="18"/>
                <w:szCs w:val="18"/>
              </w:rPr>
            </w:pPr>
            <w:r>
              <w:rPr>
                <w:sz w:val="18"/>
                <w:szCs w:val="18"/>
              </w:rPr>
              <w:t>*0.01</w:t>
            </w:r>
          </w:p>
        </w:tc>
      </w:tr>
      <w:tr w:rsidR="00130F2C" w14:paraId="2A18AEC4" w14:textId="77777777" w:rsidTr="004F0A8F">
        <w:tc>
          <w:tcPr>
            <w:tcW w:w="1613" w:type="pct"/>
            <w:tcBorders>
              <w:top w:val="nil"/>
              <w:left w:val="nil"/>
              <w:bottom w:val="nil"/>
              <w:right w:val="nil"/>
            </w:tcBorders>
          </w:tcPr>
          <w:p w14:paraId="69B381E9" w14:textId="63D5D00E" w:rsidR="00130F2C" w:rsidRPr="004B189E" w:rsidRDefault="00130F2C" w:rsidP="00130F2C">
            <w:pPr>
              <w:pStyle w:val="APVMATableText"/>
              <w:rPr>
                <w:sz w:val="18"/>
                <w:lang w:val="en-US"/>
              </w:rPr>
            </w:pPr>
            <w:r w:rsidRPr="004B189E">
              <w:rPr>
                <w:sz w:val="18"/>
                <w:lang w:val="en-US"/>
              </w:rPr>
              <w:t>ML</w:t>
            </w:r>
            <w:r w:rsidRPr="004B189E">
              <w:rPr>
                <w:sz w:val="18"/>
                <w:lang w:val="en-US"/>
              </w:rPr>
              <w:tab/>
              <w:t>0106</w:t>
            </w:r>
          </w:p>
        </w:tc>
        <w:tc>
          <w:tcPr>
            <w:tcW w:w="2392" w:type="pct"/>
            <w:tcBorders>
              <w:top w:val="nil"/>
              <w:left w:val="nil"/>
              <w:bottom w:val="nil"/>
              <w:right w:val="nil"/>
            </w:tcBorders>
          </w:tcPr>
          <w:p w14:paraId="268BC154" w14:textId="1C9B8853" w:rsidR="00130F2C" w:rsidRPr="004B189E" w:rsidRDefault="00130F2C" w:rsidP="00130F2C">
            <w:pPr>
              <w:pStyle w:val="APVMATableText"/>
              <w:rPr>
                <w:sz w:val="18"/>
              </w:rPr>
            </w:pPr>
            <w:r w:rsidRPr="004B189E">
              <w:rPr>
                <w:sz w:val="18"/>
              </w:rPr>
              <w:t>Milks</w:t>
            </w:r>
          </w:p>
        </w:tc>
        <w:tc>
          <w:tcPr>
            <w:tcW w:w="995" w:type="pct"/>
            <w:tcBorders>
              <w:top w:val="nil"/>
              <w:left w:val="nil"/>
              <w:bottom w:val="nil"/>
              <w:right w:val="nil"/>
            </w:tcBorders>
          </w:tcPr>
          <w:p w14:paraId="5A848CC1" w14:textId="15C98676" w:rsidR="00130F2C" w:rsidRDefault="00130F2C" w:rsidP="00130F2C">
            <w:pPr>
              <w:pStyle w:val="APVMATableText"/>
              <w:rPr>
                <w:sz w:val="18"/>
                <w:szCs w:val="18"/>
              </w:rPr>
            </w:pPr>
            <w:r>
              <w:rPr>
                <w:sz w:val="18"/>
                <w:szCs w:val="18"/>
              </w:rPr>
              <w:t>*0.001</w:t>
            </w:r>
          </w:p>
        </w:tc>
      </w:tr>
      <w:tr w:rsidR="00130F2C" w14:paraId="02FE6BC8" w14:textId="77777777" w:rsidTr="004F0A8F">
        <w:tc>
          <w:tcPr>
            <w:tcW w:w="1613" w:type="pct"/>
            <w:tcBorders>
              <w:top w:val="nil"/>
              <w:left w:val="nil"/>
              <w:bottom w:val="nil"/>
              <w:right w:val="nil"/>
            </w:tcBorders>
          </w:tcPr>
          <w:p w14:paraId="3E566832" w14:textId="6F381A15" w:rsidR="00130F2C" w:rsidRPr="004B189E" w:rsidRDefault="00130F2C" w:rsidP="00130F2C">
            <w:pPr>
              <w:pStyle w:val="APVMATableText"/>
              <w:rPr>
                <w:sz w:val="18"/>
                <w:lang w:val="en-US"/>
              </w:rPr>
            </w:pPr>
            <w:r w:rsidRPr="004B189E">
              <w:rPr>
                <w:sz w:val="18"/>
                <w:lang w:val="en-US"/>
              </w:rPr>
              <w:t>PO</w:t>
            </w:r>
            <w:r w:rsidRPr="004B189E">
              <w:rPr>
                <w:sz w:val="18"/>
                <w:lang w:val="en-US"/>
              </w:rPr>
              <w:tab/>
              <w:t>0111</w:t>
            </w:r>
          </w:p>
        </w:tc>
        <w:tc>
          <w:tcPr>
            <w:tcW w:w="2392" w:type="pct"/>
            <w:tcBorders>
              <w:top w:val="nil"/>
              <w:left w:val="nil"/>
              <w:bottom w:val="nil"/>
              <w:right w:val="nil"/>
            </w:tcBorders>
          </w:tcPr>
          <w:p w14:paraId="13E82E51" w14:textId="564D80D4" w:rsidR="00130F2C" w:rsidRPr="004B189E" w:rsidRDefault="00130F2C" w:rsidP="00130F2C">
            <w:pPr>
              <w:pStyle w:val="APVMATableText"/>
              <w:rPr>
                <w:sz w:val="18"/>
              </w:rPr>
            </w:pPr>
            <w:r w:rsidRPr="004B189E">
              <w:rPr>
                <w:sz w:val="18"/>
              </w:rPr>
              <w:t>Poultry, Edible offal of</w:t>
            </w:r>
          </w:p>
        </w:tc>
        <w:tc>
          <w:tcPr>
            <w:tcW w:w="995" w:type="pct"/>
            <w:tcBorders>
              <w:top w:val="nil"/>
              <w:left w:val="nil"/>
              <w:bottom w:val="nil"/>
              <w:right w:val="nil"/>
            </w:tcBorders>
          </w:tcPr>
          <w:p w14:paraId="4D459F55" w14:textId="76541FC0" w:rsidR="00130F2C" w:rsidRDefault="00130F2C" w:rsidP="00130F2C">
            <w:pPr>
              <w:pStyle w:val="APVMATableText"/>
              <w:rPr>
                <w:sz w:val="18"/>
                <w:szCs w:val="18"/>
              </w:rPr>
            </w:pPr>
            <w:r>
              <w:rPr>
                <w:sz w:val="18"/>
                <w:szCs w:val="18"/>
              </w:rPr>
              <w:t>*0.01</w:t>
            </w:r>
          </w:p>
        </w:tc>
      </w:tr>
      <w:tr w:rsidR="00130F2C" w14:paraId="7349FD82" w14:textId="77777777" w:rsidTr="004F0A8F">
        <w:tc>
          <w:tcPr>
            <w:tcW w:w="1613" w:type="pct"/>
            <w:tcBorders>
              <w:top w:val="nil"/>
              <w:left w:val="nil"/>
              <w:bottom w:val="nil"/>
              <w:right w:val="nil"/>
            </w:tcBorders>
          </w:tcPr>
          <w:p w14:paraId="64D50EA1" w14:textId="145307AE" w:rsidR="00130F2C" w:rsidRPr="004B189E" w:rsidRDefault="00130F2C" w:rsidP="00130F2C">
            <w:pPr>
              <w:pStyle w:val="APVMATableText"/>
              <w:rPr>
                <w:sz w:val="18"/>
                <w:lang w:val="en-US"/>
              </w:rPr>
            </w:pPr>
            <w:r w:rsidRPr="004B189E">
              <w:rPr>
                <w:sz w:val="18"/>
                <w:lang w:val="en-US"/>
              </w:rPr>
              <w:t>PM</w:t>
            </w:r>
            <w:r w:rsidRPr="004B189E">
              <w:rPr>
                <w:sz w:val="18"/>
                <w:lang w:val="en-US"/>
              </w:rPr>
              <w:tab/>
              <w:t>0110</w:t>
            </w:r>
          </w:p>
        </w:tc>
        <w:tc>
          <w:tcPr>
            <w:tcW w:w="2392" w:type="pct"/>
            <w:tcBorders>
              <w:top w:val="nil"/>
              <w:left w:val="nil"/>
              <w:bottom w:val="nil"/>
              <w:right w:val="nil"/>
            </w:tcBorders>
          </w:tcPr>
          <w:p w14:paraId="5C9F2887" w14:textId="505A6CA9" w:rsidR="00130F2C" w:rsidRPr="004B189E" w:rsidRDefault="00130F2C" w:rsidP="00130F2C">
            <w:pPr>
              <w:pStyle w:val="APVMATableText"/>
              <w:rPr>
                <w:sz w:val="18"/>
              </w:rPr>
            </w:pPr>
            <w:r w:rsidRPr="004B189E">
              <w:rPr>
                <w:sz w:val="18"/>
              </w:rPr>
              <w:t>Poultry meat</w:t>
            </w:r>
          </w:p>
        </w:tc>
        <w:tc>
          <w:tcPr>
            <w:tcW w:w="995" w:type="pct"/>
            <w:tcBorders>
              <w:top w:val="nil"/>
              <w:left w:val="nil"/>
              <w:bottom w:val="nil"/>
              <w:right w:val="nil"/>
            </w:tcBorders>
          </w:tcPr>
          <w:p w14:paraId="60E2AE6A" w14:textId="3807700E" w:rsidR="00130F2C" w:rsidRDefault="00130F2C" w:rsidP="00130F2C">
            <w:pPr>
              <w:pStyle w:val="APVMATableText"/>
              <w:rPr>
                <w:sz w:val="18"/>
                <w:szCs w:val="18"/>
              </w:rPr>
            </w:pPr>
            <w:r>
              <w:rPr>
                <w:sz w:val="18"/>
                <w:szCs w:val="18"/>
              </w:rPr>
              <w:t>*0.01</w:t>
            </w:r>
          </w:p>
        </w:tc>
      </w:tr>
      <w:tr w:rsidR="00130F2C" w14:paraId="48122BC3" w14:textId="77777777" w:rsidTr="004F0A8F">
        <w:tc>
          <w:tcPr>
            <w:tcW w:w="1613" w:type="pct"/>
            <w:tcBorders>
              <w:top w:val="nil"/>
              <w:left w:val="nil"/>
              <w:bottom w:val="nil"/>
              <w:right w:val="nil"/>
            </w:tcBorders>
          </w:tcPr>
          <w:p w14:paraId="4D850955" w14:textId="106288B4" w:rsidR="00130F2C" w:rsidRPr="004B189E" w:rsidRDefault="00130F2C" w:rsidP="00130F2C">
            <w:pPr>
              <w:pStyle w:val="APVMATableText"/>
              <w:rPr>
                <w:sz w:val="18"/>
                <w:lang w:val="en-US"/>
              </w:rPr>
            </w:pPr>
            <w:r w:rsidRPr="000D1246">
              <w:rPr>
                <w:sz w:val="18"/>
                <w:szCs w:val="18"/>
              </w:rPr>
              <w:t>GC</w:t>
            </w:r>
            <w:r w:rsidRPr="000D1246">
              <w:rPr>
                <w:sz w:val="18"/>
                <w:szCs w:val="18"/>
              </w:rPr>
              <w:tab/>
              <w:t>0654</w:t>
            </w:r>
          </w:p>
        </w:tc>
        <w:tc>
          <w:tcPr>
            <w:tcW w:w="2392" w:type="pct"/>
            <w:tcBorders>
              <w:top w:val="nil"/>
              <w:left w:val="nil"/>
              <w:bottom w:val="nil"/>
              <w:right w:val="nil"/>
            </w:tcBorders>
          </w:tcPr>
          <w:p w14:paraId="03C3F20D" w14:textId="2F231D09" w:rsidR="00130F2C" w:rsidRPr="004B189E" w:rsidRDefault="00130F2C" w:rsidP="00130F2C">
            <w:pPr>
              <w:pStyle w:val="APVMATableText"/>
              <w:rPr>
                <w:sz w:val="18"/>
              </w:rPr>
            </w:pPr>
            <w:r w:rsidRPr="000D1246">
              <w:rPr>
                <w:sz w:val="18"/>
                <w:szCs w:val="18"/>
              </w:rPr>
              <w:t>Wheat</w:t>
            </w:r>
          </w:p>
        </w:tc>
        <w:tc>
          <w:tcPr>
            <w:tcW w:w="995" w:type="pct"/>
            <w:tcBorders>
              <w:top w:val="nil"/>
              <w:left w:val="nil"/>
              <w:bottom w:val="nil"/>
              <w:right w:val="nil"/>
            </w:tcBorders>
          </w:tcPr>
          <w:p w14:paraId="0F298CFB" w14:textId="711DAC39" w:rsidR="00130F2C" w:rsidRDefault="00130F2C" w:rsidP="00130F2C">
            <w:pPr>
              <w:pStyle w:val="APVMATableText"/>
              <w:rPr>
                <w:sz w:val="18"/>
                <w:szCs w:val="18"/>
              </w:rPr>
            </w:pPr>
            <w:r w:rsidRPr="000D1246">
              <w:rPr>
                <w:sz w:val="18"/>
                <w:szCs w:val="18"/>
              </w:rPr>
              <w:t>*0.01</w:t>
            </w:r>
          </w:p>
        </w:tc>
      </w:tr>
    </w:tbl>
    <w:p w14:paraId="00907512" w14:textId="77777777" w:rsidR="005A7B49" w:rsidRDefault="005A7B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23"/>
        <w:gridCol w:w="6515"/>
      </w:tblGrid>
      <w:tr w:rsidR="00130F2C" w14:paraId="12425AEB" w14:textId="77777777" w:rsidTr="004F0A8F">
        <w:trPr>
          <w:tblHeader/>
        </w:trPr>
        <w:tc>
          <w:tcPr>
            <w:tcW w:w="5000" w:type="pct"/>
            <w:gridSpan w:val="2"/>
            <w:tcBorders>
              <w:top w:val="single" w:sz="4" w:space="0" w:color="auto"/>
              <w:left w:val="nil"/>
              <w:bottom w:val="single" w:sz="4" w:space="0" w:color="auto"/>
              <w:right w:val="nil"/>
            </w:tcBorders>
            <w:shd w:val="clear" w:color="auto" w:fill="E6E6E6"/>
          </w:tcPr>
          <w:p w14:paraId="684AA254" w14:textId="77777777" w:rsidR="00130F2C" w:rsidRDefault="00130F2C" w:rsidP="00130F2C">
            <w:pPr>
              <w:pStyle w:val="APVMATableHead"/>
            </w:pPr>
            <w:r>
              <w:t>amendments to table 3</w:t>
            </w:r>
          </w:p>
        </w:tc>
      </w:tr>
      <w:tr w:rsidR="00130F2C" w14:paraId="61720430" w14:textId="77777777" w:rsidTr="004F0A8F">
        <w:trPr>
          <w:tblHeader/>
        </w:trPr>
        <w:tc>
          <w:tcPr>
            <w:tcW w:w="1620" w:type="pct"/>
            <w:tcBorders>
              <w:top w:val="single" w:sz="4" w:space="0" w:color="auto"/>
              <w:left w:val="nil"/>
              <w:bottom w:val="single" w:sz="4" w:space="0" w:color="auto"/>
              <w:right w:val="nil"/>
            </w:tcBorders>
            <w:shd w:val="clear" w:color="auto" w:fill="E6E6E6"/>
          </w:tcPr>
          <w:p w14:paraId="16A69A27" w14:textId="77777777" w:rsidR="00130F2C" w:rsidRDefault="00130F2C" w:rsidP="00130F2C">
            <w:pPr>
              <w:pStyle w:val="APVMATableHead"/>
            </w:pPr>
            <w:r>
              <w:t>COMPOUND</w:t>
            </w:r>
          </w:p>
        </w:tc>
        <w:tc>
          <w:tcPr>
            <w:tcW w:w="3380" w:type="pct"/>
            <w:tcBorders>
              <w:top w:val="single" w:sz="4" w:space="0" w:color="auto"/>
              <w:left w:val="nil"/>
              <w:bottom w:val="single" w:sz="4" w:space="0" w:color="auto"/>
              <w:right w:val="nil"/>
            </w:tcBorders>
            <w:shd w:val="clear" w:color="auto" w:fill="E6E6E6"/>
          </w:tcPr>
          <w:p w14:paraId="1074872A" w14:textId="77777777" w:rsidR="00130F2C" w:rsidRDefault="00130F2C" w:rsidP="00130F2C">
            <w:pPr>
              <w:pStyle w:val="APVMATableHead"/>
            </w:pPr>
            <w:r>
              <w:t>residue</w:t>
            </w:r>
          </w:p>
        </w:tc>
      </w:tr>
      <w:tr w:rsidR="00130F2C" w14:paraId="18776194" w14:textId="77777777" w:rsidTr="004F0A8F">
        <w:tc>
          <w:tcPr>
            <w:tcW w:w="5000" w:type="pct"/>
            <w:gridSpan w:val="2"/>
            <w:tcBorders>
              <w:top w:val="single" w:sz="4" w:space="0" w:color="auto"/>
              <w:left w:val="nil"/>
              <w:bottom w:val="nil"/>
              <w:right w:val="nil"/>
            </w:tcBorders>
          </w:tcPr>
          <w:p w14:paraId="6E178C89" w14:textId="77777777" w:rsidR="00130F2C" w:rsidRDefault="00130F2C" w:rsidP="00130F2C">
            <w:pPr>
              <w:pStyle w:val="APVMATableText"/>
            </w:pPr>
            <w:r>
              <w:t>ADD:</w:t>
            </w:r>
          </w:p>
        </w:tc>
      </w:tr>
      <w:tr w:rsidR="00130F2C" w14:paraId="2D941ADE" w14:textId="77777777" w:rsidTr="004F0A8F">
        <w:tc>
          <w:tcPr>
            <w:tcW w:w="1620" w:type="pct"/>
            <w:tcBorders>
              <w:top w:val="nil"/>
              <w:left w:val="nil"/>
              <w:bottom w:val="single" w:sz="4" w:space="0" w:color="auto"/>
              <w:right w:val="nil"/>
            </w:tcBorders>
          </w:tcPr>
          <w:p w14:paraId="36E71D58" w14:textId="35A52FA6" w:rsidR="00130F2C" w:rsidRDefault="00130F2C" w:rsidP="00130F2C">
            <w:pPr>
              <w:pStyle w:val="APVMATableText"/>
              <w:ind w:firstLine="493"/>
            </w:pPr>
            <w:proofErr w:type="spellStart"/>
            <w:r w:rsidRPr="00750265">
              <w:rPr>
                <w:b/>
                <w:bCs/>
                <w:sz w:val="18"/>
                <w:szCs w:val="18"/>
              </w:rPr>
              <w:t>Topramezone</w:t>
            </w:r>
            <w:proofErr w:type="spellEnd"/>
          </w:p>
        </w:tc>
        <w:tc>
          <w:tcPr>
            <w:tcW w:w="3380" w:type="pct"/>
            <w:tcBorders>
              <w:top w:val="nil"/>
              <w:left w:val="nil"/>
              <w:bottom w:val="single" w:sz="4" w:space="0" w:color="auto"/>
              <w:right w:val="nil"/>
            </w:tcBorders>
          </w:tcPr>
          <w:p w14:paraId="5B5D83BF" w14:textId="1D21C594" w:rsidR="00130F2C" w:rsidRDefault="00130F2C" w:rsidP="00130F2C">
            <w:pPr>
              <w:pStyle w:val="APVMATableText"/>
            </w:pPr>
            <w:proofErr w:type="spellStart"/>
            <w:r w:rsidRPr="00750265">
              <w:rPr>
                <w:sz w:val="18"/>
                <w:szCs w:val="18"/>
              </w:rPr>
              <w:t>Topramezone</w:t>
            </w:r>
            <w:proofErr w:type="spellEnd"/>
          </w:p>
        </w:tc>
      </w:tr>
    </w:tbl>
    <w:p w14:paraId="37B6288E" w14:textId="77777777" w:rsidR="005A7B49" w:rsidRDefault="005A7B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130F2C" w14:paraId="5764D8E3" w14:textId="77777777" w:rsidTr="004F0A8F">
        <w:trPr>
          <w:tblHeader/>
        </w:trPr>
        <w:tc>
          <w:tcPr>
            <w:tcW w:w="5000" w:type="pct"/>
            <w:gridSpan w:val="3"/>
            <w:tcBorders>
              <w:top w:val="nil"/>
              <w:left w:val="nil"/>
              <w:bottom w:val="single" w:sz="4" w:space="0" w:color="auto"/>
              <w:right w:val="nil"/>
            </w:tcBorders>
            <w:shd w:val="clear" w:color="auto" w:fill="E6E6E6"/>
          </w:tcPr>
          <w:p w14:paraId="25D78061" w14:textId="77777777" w:rsidR="00130F2C" w:rsidRDefault="00130F2C" w:rsidP="00130F2C">
            <w:pPr>
              <w:pStyle w:val="APVMATableHead"/>
            </w:pPr>
            <w:r>
              <w:t>amendments to table 4</w:t>
            </w:r>
          </w:p>
        </w:tc>
      </w:tr>
      <w:tr w:rsidR="00130F2C" w14:paraId="581C53D7" w14:textId="77777777" w:rsidTr="004F0A8F">
        <w:trPr>
          <w:tblHeader/>
        </w:trPr>
        <w:tc>
          <w:tcPr>
            <w:tcW w:w="1613" w:type="pct"/>
            <w:tcBorders>
              <w:top w:val="nil"/>
              <w:left w:val="nil"/>
              <w:bottom w:val="single" w:sz="4" w:space="0" w:color="auto"/>
              <w:right w:val="nil"/>
            </w:tcBorders>
            <w:shd w:val="clear" w:color="auto" w:fill="E6E6E6"/>
          </w:tcPr>
          <w:p w14:paraId="52E15986" w14:textId="77777777" w:rsidR="00130F2C" w:rsidRDefault="00130F2C" w:rsidP="00130F2C">
            <w:pPr>
              <w:pStyle w:val="APVMATableHead"/>
            </w:pPr>
            <w:r>
              <w:t>COMPOUND</w:t>
            </w:r>
          </w:p>
        </w:tc>
        <w:tc>
          <w:tcPr>
            <w:tcW w:w="2392" w:type="pct"/>
            <w:tcBorders>
              <w:top w:val="nil"/>
              <w:left w:val="nil"/>
              <w:bottom w:val="single" w:sz="4" w:space="0" w:color="auto"/>
              <w:right w:val="nil"/>
            </w:tcBorders>
            <w:shd w:val="clear" w:color="auto" w:fill="E6E6E6"/>
          </w:tcPr>
          <w:p w14:paraId="2A345A73" w14:textId="77777777" w:rsidR="00130F2C" w:rsidRDefault="00130F2C" w:rsidP="00130F2C">
            <w:pPr>
              <w:pStyle w:val="APVMATableHead"/>
            </w:pPr>
            <w:r>
              <w:t>animal feed commodity</w:t>
            </w:r>
          </w:p>
        </w:tc>
        <w:tc>
          <w:tcPr>
            <w:tcW w:w="995" w:type="pct"/>
            <w:tcBorders>
              <w:top w:val="nil"/>
              <w:left w:val="nil"/>
              <w:bottom w:val="single" w:sz="4" w:space="0" w:color="auto"/>
              <w:right w:val="nil"/>
            </w:tcBorders>
            <w:shd w:val="clear" w:color="auto" w:fill="E6E6E6"/>
          </w:tcPr>
          <w:p w14:paraId="357EAF6A" w14:textId="77777777" w:rsidR="00130F2C" w:rsidRDefault="00130F2C" w:rsidP="00130F2C">
            <w:pPr>
              <w:pStyle w:val="APVMATableHead"/>
            </w:pPr>
            <w:r>
              <w:t>MRL (</w:t>
            </w:r>
            <w:r>
              <w:rPr>
                <w:caps w:val="0"/>
              </w:rPr>
              <w:t>mg/kg</w:t>
            </w:r>
            <w:r>
              <w:t>)</w:t>
            </w:r>
          </w:p>
        </w:tc>
      </w:tr>
      <w:tr w:rsidR="00130F2C" w14:paraId="338B6032" w14:textId="77777777" w:rsidTr="004F0A8F">
        <w:tc>
          <w:tcPr>
            <w:tcW w:w="5000" w:type="pct"/>
            <w:gridSpan w:val="3"/>
            <w:tcBorders>
              <w:top w:val="single" w:sz="4" w:space="0" w:color="auto"/>
              <w:left w:val="nil"/>
              <w:bottom w:val="nil"/>
              <w:right w:val="nil"/>
            </w:tcBorders>
          </w:tcPr>
          <w:p w14:paraId="51C9533E" w14:textId="77777777" w:rsidR="00130F2C" w:rsidRDefault="00130F2C" w:rsidP="00130F2C">
            <w:pPr>
              <w:pStyle w:val="APVMATableText"/>
            </w:pPr>
            <w:r>
              <w:t>ADD:</w:t>
            </w:r>
          </w:p>
        </w:tc>
      </w:tr>
      <w:tr w:rsidR="00130F2C" w14:paraId="4529215B" w14:textId="77777777" w:rsidTr="004F0A8F">
        <w:tc>
          <w:tcPr>
            <w:tcW w:w="1613" w:type="pct"/>
            <w:tcBorders>
              <w:top w:val="nil"/>
              <w:left w:val="nil"/>
              <w:bottom w:val="nil"/>
              <w:right w:val="nil"/>
            </w:tcBorders>
          </w:tcPr>
          <w:p w14:paraId="04F61C82" w14:textId="77BB576F" w:rsidR="00130F2C" w:rsidRDefault="00130F2C" w:rsidP="00130F2C">
            <w:pPr>
              <w:pStyle w:val="APVMATableText"/>
              <w:ind w:firstLine="493"/>
            </w:pPr>
            <w:proofErr w:type="spellStart"/>
            <w:r>
              <w:rPr>
                <w:b/>
                <w:sz w:val="18"/>
                <w:szCs w:val="18"/>
                <w:lang w:val="en-US"/>
              </w:rPr>
              <w:t>Topramezone</w:t>
            </w:r>
            <w:proofErr w:type="spellEnd"/>
          </w:p>
        </w:tc>
        <w:tc>
          <w:tcPr>
            <w:tcW w:w="2392" w:type="pct"/>
            <w:tcBorders>
              <w:top w:val="nil"/>
              <w:left w:val="nil"/>
              <w:bottom w:val="nil"/>
              <w:right w:val="nil"/>
            </w:tcBorders>
          </w:tcPr>
          <w:p w14:paraId="70B05F7F" w14:textId="77777777" w:rsidR="00130F2C" w:rsidRDefault="00130F2C" w:rsidP="00130F2C">
            <w:pPr>
              <w:pStyle w:val="APVMATableText"/>
            </w:pPr>
          </w:p>
        </w:tc>
        <w:tc>
          <w:tcPr>
            <w:tcW w:w="995" w:type="pct"/>
            <w:tcBorders>
              <w:top w:val="nil"/>
              <w:left w:val="nil"/>
              <w:bottom w:val="nil"/>
              <w:right w:val="nil"/>
            </w:tcBorders>
          </w:tcPr>
          <w:p w14:paraId="394C74C9" w14:textId="77777777" w:rsidR="00130F2C" w:rsidRDefault="00130F2C" w:rsidP="00130F2C">
            <w:pPr>
              <w:pStyle w:val="APVMATableText"/>
            </w:pPr>
          </w:p>
        </w:tc>
      </w:tr>
      <w:tr w:rsidR="00130F2C" w14:paraId="58B3DC72" w14:textId="77777777" w:rsidTr="004F0A8F">
        <w:tc>
          <w:tcPr>
            <w:tcW w:w="1613" w:type="pct"/>
            <w:tcBorders>
              <w:top w:val="nil"/>
              <w:left w:val="nil"/>
              <w:bottom w:val="single" w:sz="4" w:space="0" w:color="auto"/>
              <w:right w:val="nil"/>
            </w:tcBorders>
          </w:tcPr>
          <w:p w14:paraId="55F16DD5" w14:textId="69163B5A" w:rsidR="00130F2C" w:rsidRDefault="00130F2C" w:rsidP="00130F2C">
            <w:pPr>
              <w:pStyle w:val="APVMATableText"/>
            </w:pPr>
          </w:p>
        </w:tc>
        <w:tc>
          <w:tcPr>
            <w:tcW w:w="2392" w:type="pct"/>
            <w:tcBorders>
              <w:top w:val="nil"/>
              <w:left w:val="nil"/>
              <w:bottom w:val="single" w:sz="4" w:space="0" w:color="auto"/>
              <w:right w:val="nil"/>
            </w:tcBorders>
          </w:tcPr>
          <w:p w14:paraId="2A0F730D" w14:textId="507C47C8" w:rsidR="00130F2C" w:rsidRDefault="00130F2C" w:rsidP="00130F2C">
            <w:pPr>
              <w:pStyle w:val="APVMATableText"/>
            </w:pPr>
            <w:r w:rsidRPr="005A5195">
              <w:rPr>
                <w:sz w:val="18"/>
                <w:szCs w:val="18"/>
              </w:rPr>
              <w:t>Cereal forage and fodder</w:t>
            </w:r>
          </w:p>
        </w:tc>
        <w:tc>
          <w:tcPr>
            <w:tcW w:w="995" w:type="pct"/>
            <w:tcBorders>
              <w:top w:val="nil"/>
              <w:left w:val="nil"/>
              <w:bottom w:val="single" w:sz="4" w:space="0" w:color="auto"/>
              <w:right w:val="nil"/>
            </w:tcBorders>
          </w:tcPr>
          <w:p w14:paraId="2DBD7810" w14:textId="40FE159E" w:rsidR="00130F2C" w:rsidRDefault="00130F2C" w:rsidP="00130F2C">
            <w:pPr>
              <w:pStyle w:val="APVMATableText"/>
            </w:pPr>
            <w:r w:rsidRPr="005A5195">
              <w:rPr>
                <w:bCs/>
                <w:sz w:val="18"/>
                <w:szCs w:val="18"/>
              </w:rPr>
              <w:t>0.03</w:t>
            </w:r>
          </w:p>
        </w:tc>
      </w:tr>
    </w:tbl>
    <w:p w14:paraId="38BEFB6A" w14:textId="77777777" w:rsidR="00130F2C" w:rsidRPr="00925742" w:rsidRDefault="00130F2C" w:rsidP="00130F2C">
      <w:pPr>
        <w:pStyle w:val="APVMAText"/>
      </w:pPr>
      <w:r>
        <w:t>MRL amendments recommended for Tables 1 and 3 above will be considered for inclusion in Schedule 20 of the Australia New Zealand Food Standards Code.</w:t>
      </w:r>
    </w:p>
    <w:p w14:paraId="073059B7" w14:textId="77777777" w:rsidR="008221D8" w:rsidRPr="008221D8" w:rsidRDefault="008221D8" w:rsidP="008221D8">
      <w:pPr>
        <w:pStyle w:val="APVMAText"/>
        <w:sectPr w:rsidR="008221D8" w:rsidRPr="008221D8">
          <w:headerReference w:type="default" r:id="rId39"/>
          <w:pgSz w:w="11906" w:h="16838" w:code="9"/>
          <w:pgMar w:top="2835" w:right="1134" w:bottom="1134" w:left="1134" w:header="1701" w:footer="680" w:gutter="0"/>
          <w:cols w:space="708"/>
          <w:docGrid w:linePitch="360"/>
        </w:sectPr>
      </w:pPr>
    </w:p>
    <w:p w14:paraId="64EE7F5F" w14:textId="77777777" w:rsidR="00F27E0D" w:rsidRDefault="00F27E0D">
      <w:pPr>
        <w:pStyle w:val="Heading1"/>
      </w:pPr>
      <w:bookmarkStart w:id="41" w:name="_Toc6472838"/>
      <w:bookmarkStart w:id="42" w:name="_Toc231963183"/>
      <w:bookmarkStart w:id="43" w:name="_Toc231963195"/>
      <w:r>
        <w:lastRenderedPageBreak/>
        <w:t>Assessment of overseas trade aspects of residues in food</w:t>
      </w:r>
      <w:bookmarkEnd w:id="41"/>
    </w:p>
    <w:p w14:paraId="46937892" w14:textId="77777777" w:rsidR="00F27E0D" w:rsidRDefault="00B05E81" w:rsidP="00B05E81">
      <w:pPr>
        <w:pStyle w:val="Heading2"/>
      </w:pPr>
      <w:bookmarkStart w:id="44" w:name="_Toc6472839"/>
      <w:r>
        <w:t>Commodities exported</w:t>
      </w:r>
      <w:r w:rsidR="0088250E">
        <w:t xml:space="preserve"> and main destinations</w:t>
      </w:r>
      <w:bookmarkEnd w:id="44"/>
    </w:p>
    <w:p w14:paraId="7DD0E6AE" w14:textId="77777777" w:rsidR="00130F2C" w:rsidRDefault="00130F2C" w:rsidP="00130F2C">
      <w:pPr>
        <w:pStyle w:val="APVMAText"/>
      </w:pPr>
      <w:r w:rsidRPr="004326F1">
        <w:t>Wheat and barley are considered to be major export commodities</w:t>
      </w:r>
      <w:r w:rsidRPr="00263BB0">
        <w:rPr>
          <w:vertAlign w:val="superscript"/>
        </w:rPr>
        <w:footnoteReference w:id="4"/>
      </w:r>
      <w:r w:rsidRPr="004326F1">
        <w:t>, as are commodities of animal origin, such as meat, offal and dairy products, which may be derived from livestock fed feeds produced from treated wheat and barley.</w:t>
      </w:r>
      <w:r w:rsidRPr="00263BB0">
        <w:t xml:space="preserve"> </w:t>
      </w:r>
      <w:r w:rsidRPr="004326F1">
        <w:t xml:space="preserve">Residues in these commodities resulting from the use of </w:t>
      </w:r>
      <w:r w:rsidRPr="00263BB0">
        <w:t>Frequency Herbicide</w:t>
      </w:r>
      <w:r w:rsidRPr="004326F1">
        <w:t xml:space="preserve"> may have the potential </w:t>
      </w:r>
      <w:r>
        <w:t>to unduly prejudice trade.</w:t>
      </w:r>
    </w:p>
    <w:p w14:paraId="522EAF0D" w14:textId="77777777" w:rsidR="00130F2C" w:rsidRDefault="00130F2C" w:rsidP="00130F2C">
      <w:pPr>
        <w:pStyle w:val="APVMAText"/>
      </w:pPr>
      <w:r>
        <w:t xml:space="preserve">Total exports of barley were 9,537 </w:t>
      </w:r>
      <w:proofErr w:type="spellStart"/>
      <w:r>
        <w:t>kilotonnes</w:t>
      </w:r>
      <w:proofErr w:type="spellEnd"/>
      <w:r>
        <w:t xml:space="preserve"> in 2016/17, valued at $2.43</w:t>
      </w:r>
      <w:r w:rsidRPr="00B136F1">
        <w:t xml:space="preserve"> billion. Total exports of wheat (</w:t>
      </w:r>
      <w:r>
        <w:t>including flour) were 22,057</w:t>
      </w:r>
      <w:r w:rsidRPr="00B136F1">
        <w:t xml:space="preserve"> </w:t>
      </w:r>
      <w:proofErr w:type="spellStart"/>
      <w:r w:rsidRPr="00B136F1">
        <w:t>kiloto</w:t>
      </w:r>
      <w:r>
        <w:t>nnes</w:t>
      </w:r>
      <w:proofErr w:type="spellEnd"/>
      <w:r>
        <w:t xml:space="preserve"> in 2016/17, valued at $6.09</w:t>
      </w:r>
      <w:r w:rsidRPr="00B136F1">
        <w:t xml:space="preserve"> billion</w:t>
      </w:r>
      <w:r>
        <w:t xml:space="preserve"> (ABARES)</w:t>
      </w:r>
      <w:r w:rsidRPr="00B136F1">
        <w:t>.</w:t>
      </w:r>
      <w:r>
        <w:t xml:space="preserve"> Major export destinations are summarised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7292"/>
      </w:tblGrid>
      <w:tr w:rsidR="00D87AB1" w:rsidRPr="0060220E" w14:paraId="39A822FB" w14:textId="77777777" w:rsidTr="0017725B">
        <w:trPr>
          <w:tblHeader/>
        </w:trPr>
        <w:tc>
          <w:tcPr>
            <w:tcW w:w="1217" w:type="pct"/>
            <w:tcBorders>
              <w:top w:val="nil"/>
              <w:left w:val="nil"/>
              <w:bottom w:val="single" w:sz="4" w:space="0" w:color="auto"/>
              <w:right w:val="nil"/>
            </w:tcBorders>
            <w:shd w:val="clear" w:color="auto" w:fill="D9D9D9"/>
          </w:tcPr>
          <w:p w14:paraId="5A8471E8" w14:textId="77777777" w:rsidR="00D87AB1" w:rsidRPr="0060220E" w:rsidRDefault="00D87AB1" w:rsidP="00D87AB1">
            <w:pPr>
              <w:pStyle w:val="APVMATableHead"/>
            </w:pPr>
            <w:r w:rsidRPr="0060220E">
              <w:t>COMMODITY</w:t>
            </w:r>
          </w:p>
        </w:tc>
        <w:tc>
          <w:tcPr>
            <w:tcW w:w="3783" w:type="pct"/>
            <w:tcBorders>
              <w:top w:val="nil"/>
              <w:left w:val="nil"/>
              <w:bottom w:val="single" w:sz="4" w:space="0" w:color="auto"/>
              <w:right w:val="nil"/>
            </w:tcBorders>
            <w:shd w:val="clear" w:color="auto" w:fill="D9D9D9"/>
          </w:tcPr>
          <w:p w14:paraId="2612C8A5" w14:textId="77777777" w:rsidR="00D87AB1" w:rsidRPr="0060220E" w:rsidRDefault="00D87AB1" w:rsidP="00D87AB1">
            <w:pPr>
              <w:pStyle w:val="APVMATableHead"/>
            </w:pPr>
            <w:r w:rsidRPr="0060220E">
              <w:t>MAJOR DESTINATIONS</w:t>
            </w:r>
          </w:p>
        </w:tc>
      </w:tr>
      <w:tr w:rsidR="00D87AB1" w:rsidRPr="0060220E" w14:paraId="4756F365" w14:textId="77777777" w:rsidTr="0017725B">
        <w:tc>
          <w:tcPr>
            <w:tcW w:w="1217" w:type="pct"/>
            <w:tcBorders>
              <w:top w:val="single" w:sz="4" w:space="0" w:color="auto"/>
              <w:left w:val="nil"/>
              <w:right w:val="nil"/>
            </w:tcBorders>
            <w:shd w:val="clear" w:color="auto" w:fill="auto"/>
          </w:tcPr>
          <w:p w14:paraId="0252C424" w14:textId="77777777" w:rsidR="00D87AB1" w:rsidRPr="0060220E" w:rsidRDefault="00D87AB1" w:rsidP="00D87AB1">
            <w:pPr>
              <w:pStyle w:val="APVMATableText"/>
            </w:pPr>
            <w:r w:rsidRPr="0060220E">
              <w:t>Barley</w:t>
            </w:r>
          </w:p>
        </w:tc>
        <w:tc>
          <w:tcPr>
            <w:tcW w:w="3783" w:type="pct"/>
            <w:tcBorders>
              <w:top w:val="single" w:sz="4" w:space="0" w:color="auto"/>
              <w:left w:val="nil"/>
              <w:right w:val="nil"/>
            </w:tcBorders>
            <w:shd w:val="clear" w:color="auto" w:fill="auto"/>
          </w:tcPr>
          <w:p w14:paraId="3C3B3B19" w14:textId="77777777" w:rsidR="00D87AB1" w:rsidRPr="0060220E" w:rsidRDefault="00D87AB1" w:rsidP="00D87AB1">
            <w:pPr>
              <w:pStyle w:val="APVMATableText"/>
            </w:pPr>
            <w:r w:rsidRPr="0060220E">
              <w:t>China, Japan, Korea, Vietnam, the Philippines, Taiwan, Saudi Arabia, Kuwait, United Arab Emirates</w:t>
            </w:r>
          </w:p>
        </w:tc>
      </w:tr>
      <w:tr w:rsidR="00D87AB1" w:rsidRPr="0060220E" w14:paraId="0757E83D" w14:textId="77777777" w:rsidTr="0017725B">
        <w:tc>
          <w:tcPr>
            <w:tcW w:w="1217" w:type="pct"/>
            <w:tcBorders>
              <w:top w:val="single" w:sz="4" w:space="0" w:color="auto"/>
              <w:left w:val="nil"/>
              <w:right w:val="nil"/>
            </w:tcBorders>
            <w:shd w:val="clear" w:color="auto" w:fill="auto"/>
          </w:tcPr>
          <w:p w14:paraId="6DC434D8" w14:textId="77777777" w:rsidR="00D87AB1" w:rsidRPr="0060220E" w:rsidRDefault="00D87AB1" w:rsidP="00D87AB1">
            <w:pPr>
              <w:pStyle w:val="APVMATableText"/>
            </w:pPr>
            <w:r w:rsidRPr="0060220E">
              <w:t>Wheat</w:t>
            </w:r>
          </w:p>
        </w:tc>
        <w:tc>
          <w:tcPr>
            <w:tcW w:w="3783" w:type="pct"/>
            <w:tcBorders>
              <w:top w:val="single" w:sz="4" w:space="0" w:color="auto"/>
              <w:left w:val="nil"/>
              <w:right w:val="nil"/>
            </w:tcBorders>
            <w:shd w:val="clear" w:color="auto" w:fill="auto"/>
          </w:tcPr>
          <w:p w14:paraId="1B2C236E" w14:textId="77777777" w:rsidR="00D87AB1" w:rsidRPr="0060220E" w:rsidRDefault="00D87AB1" w:rsidP="00D87AB1">
            <w:pPr>
              <w:pStyle w:val="APVMATableText"/>
            </w:pPr>
            <w:r w:rsidRPr="0060220E">
              <w:t>Indonesia, India, Korea, China, Japan, Thailand, Malaysia, Philippines, Vietnam, Egypt, Nigeria, Yemen, Kuwait, New Zealand</w:t>
            </w:r>
          </w:p>
        </w:tc>
      </w:tr>
    </w:tbl>
    <w:p w14:paraId="53D0066D" w14:textId="2DAE996A" w:rsidR="00D87AB1" w:rsidRDefault="00D87AB1" w:rsidP="00D87AB1">
      <w:pPr>
        <w:pStyle w:val="APVMAText"/>
      </w:pPr>
      <w:r>
        <w:t xml:space="preserve">The significant export markets for Australian beef, sheep, pig meat and </w:t>
      </w:r>
      <w:proofErr w:type="spellStart"/>
      <w:r>
        <w:t>offals</w:t>
      </w:r>
      <w:proofErr w:type="spellEnd"/>
      <w:r>
        <w:t xml:space="preserve"> are listed in the APVMA Regulatory Guidelines</w:t>
      </w:r>
      <w:r w:rsidR="002B04B9">
        <w:t>—</w:t>
      </w:r>
      <w:r>
        <w:t>Data Guidelines: Agricultural</w:t>
      </w:r>
      <w:r w:rsidR="002B04B9">
        <w:t>—</w:t>
      </w:r>
      <w:r>
        <w:t>Overseas trade (Part 5B).</w:t>
      </w:r>
    </w:p>
    <w:p w14:paraId="6F0E7BD0" w14:textId="77777777" w:rsidR="00B05E81" w:rsidRDefault="00B05E81" w:rsidP="00B05E81">
      <w:pPr>
        <w:pStyle w:val="Heading2"/>
      </w:pPr>
      <w:bookmarkStart w:id="45" w:name="_Toc6472840"/>
      <w:r>
        <w:t>Overseas registrations and approved label instructions</w:t>
      </w:r>
      <w:bookmarkEnd w:id="45"/>
    </w:p>
    <w:p w14:paraId="4F60243F" w14:textId="5CC73C9D" w:rsidR="00D87AB1" w:rsidRDefault="00D87AB1" w:rsidP="00D87AB1">
      <w:pPr>
        <w:pStyle w:val="APVMAText"/>
      </w:pPr>
      <w:r w:rsidRPr="00263BB0">
        <w:t xml:space="preserve">The applicant indicated that </w:t>
      </w:r>
      <w:proofErr w:type="spellStart"/>
      <w:r w:rsidRPr="00263BB0">
        <w:t>topramezone</w:t>
      </w:r>
      <w:proofErr w:type="spellEnd"/>
      <w:r w:rsidRPr="00263BB0">
        <w:t xml:space="preserve"> products are regist</w:t>
      </w:r>
      <w:r w:rsidR="000E3142">
        <w:t>ered for use on corn</w:t>
      </w:r>
      <w:r w:rsidRPr="00263BB0">
        <w:t>/maize in the USA, Canada, Europe, Argentina, Mexico, Chile and South Africa and on sugar cane in the USA.</w:t>
      </w:r>
    </w:p>
    <w:p w14:paraId="309A44D1" w14:textId="77777777" w:rsidR="00B05E81" w:rsidRDefault="00B05E81" w:rsidP="00B05E81">
      <w:pPr>
        <w:pStyle w:val="Heading2"/>
      </w:pPr>
      <w:bookmarkStart w:id="46" w:name="_Toc6472841"/>
      <w:r>
        <w:t xml:space="preserve">Comparison of </w:t>
      </w:r>
      <w:r w:rsidR="0088250E">
        <w:t>Australian MRLs with Codex and i</w:t>
      </w:r>
      <w:r>
        <w:t>nternational MRLs</w:t>
      </w:r>
      <w:bookmarkEnd w:id="46"/>
    </w:p>
    <w:p w14:paraId="0C68B64F" w14:textId="0E5C9483" w:rsidR="00D87AB1" w:rsidRDefault="00D87AB1" w:rsidP="00D87AB1">
      <w:pPr>
        <w:pStyle w:val="APVMAText"/>
      </w:pPr>
      <w:r>
        <w:t>The Codex Alimentarius Commission (Codex) is responsible for establishing Codex Maximum Residue</w:t>
      </w:r>
      <w:r w:rsidR="00276C28">
        <w:t xml:space="preserve"> Limits (CXLs) for pesticides. </w:t>
      </w:r>
      <w:r>
        <w:t xml:space="preserve">Codex CXLs are primarily intended to facilitate international trade, and accommodate differences in Good Agricultural Practice (GAP) employed </w:t>
      </w:r>
      <w:r w:rsidRPr="00E65B28">
        <w:t>by various countries. Some countries may accept Co</w:t>
      </w:r>
      <w:r w:rsidR="00276C28">
        <w:t xml:space="preserve">dex CXLs when importing foods. </w:t>
      </w:r>
      <w:proofErr w:type="spellStart"/>
      <w:r w:rsidRPr="00E65B28">
        <w:t>Topramezone</w:t>
      </w:r>
      <w:proofErr w:type="spellEnd"/>
      <w:r w:rsidRPr="00E65B28">
        <w:t xml:space="preserve"> has not been considered by Codex.</w:t>
      </w:r>
    </w:p>
    <w:p w14:paraId="2826BBF5" w14:textId="474A496E" w:rsidR="00D87AB1" w:rsidRDefault="00D87AB1" w:rsidP="005A7B49">
      <w:pPr>
        <w:pStyle w:val="APVMAText"/>
        <w:spacing w:after="1080"/>
      </w:pPr>
      <w:r w:rsidRPr="00E65B28">
        <w:t xml:space="preserve">The following relevant overseas MRLs have been established for </w:t>
      </w:r>
      <w:proofErr w:type="spellStart"/>
      <w:r w:rsidRPr="00E65B28">
        <w:t>topramezone</w:t>
      </w:r>
      <w:proofErr w:type="spellEnd"/>
      <w:r w:rsidRPr="00E65B28">
        <w:t>:</w:t>
      </w:r>
    </w:p>
    <w:p w14:paraId="2CE8584D" w14:textId="77777777" w:rsidR="00276C28" w:rsidRDefault="00276C28" w:rsidP="00276C28">
      <w:pPr>
        <w:pStyle w:val="Caption"/>
      </w:pPr>
      <w:bookmarkStart w:id="47" w:name="_Toc6472807"/>
      <w:r>
        <w:lastRenderedPageBreak/>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w:t>
      </w:r>
      <w:r w:rsidRPr="001D4D17">
        <w:t xml:space="preserve"> </w:t>
      </w:r>
      <w:r>
        <w:t xml:space="preserve">Proposed Australian and current international MRLs for </w:t>
      </w:r>
      <w:proofErr w:type="spellStart"/>
      <w:r w:rsidRPr="00E65B28">
        <w:t>Topramezone</w:t>
      </w:r>
      <w:bookmarkEnd w:id="47"/>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Proposed Australian and current international Maximum Residue Limits (MRLs) for the active constituent"/>
        <w:tblDescription w:val="List of proposed Australian MRLs and current international MRLs for the active consistituent"/>
      </w:tblPr>
      <w:tblGrid>
        <w:gridCol w:w="2497"/>
        <w:gridCol w:w="1448"/>
        <w:gridCol w:w="1448"/>
        <w:gridCol w:w="1195"/>
        <w:gridCol w:w="1716"/>
        <w:gridCol w:w="1334"/>
      </w:tblGrid>
      <w:tr w:rsidR="00D87AB1" w:rsidRPr="004D3DFC" w14:paraId="5CA233F9" w14:textId="77777777" w:rsidTr="004F0A8F">
        <w:trPr>
          <w:tblHeader/>
        </w:trPr>
        <w:tc>
          <w:tcPr>
            <w:tcW w:w="1296" w:type="pct"/>
            <w:vMerge w:val="restart"/>
            <w:tcBorders>
              <w:top w:val="single" w:sz="4" w:space="0" w:color="auto"/>
              <w:left w:val="nil"/>
              <w:bottom w:val="single" w:sz="4" w:space="0" w:color="215868" w:themeColor="accent5" w:themeShade="80"/>
              <w:right w:val="nil"/>
            </w:tcBorders>
            <w:shd w:val="clear" w:color="auto" w:fill="F2F2F2" w:themeFill="background1" w:themeFillShade="F2"/>
            <w:vAlign w:val="center"/>
          </w:tcPr>
          <w:p w14:paraId="701F2FF0" w14:textId="77777777" w:rsidR="00D87AB1" w:rsidRPr="007551C2" w:rsidRDefault="00D87AB1" w:rsidP="00D87AB1">
            <w:pPr>
              <w:pStyle w:val="APVMATableHead"/>
            </w:pPr>
            <w:r w:rsidRPr="007551C2">
              <w:t>Commodity</w:t>
            </w:r>
          </w:p>
        </w:tc>
        <w:tc>
          <w:tcPr>
            <w:tcW w:w="3704" w:type="pct"/>
            <w:gridSpan w:val="5"/>
            <w:tcBorders>
              <w:top w:val="single" w:sz="4" w:space="0" w:color="auto"/>
              <w:left w:val="nil"/>
              <w:bottom w:val="single" w:sz="4" w:space="0" w:color="215868" w:themeColor="accent5" w:themeShade="80"/>
              <w:right w:val="nil"/>
            </w:tcBorders>
            <w:shd w:val="clear" w:color="auto" w:fill="F2F2F2" w:themeFill="background1" w:themeFillShade="F2"/>
          </w:tcPr>
          <w:p w14:paraId="777EF5A2" w14:textId="77777777" w:rsidR="00D87AB1" w:rsidRPr="007551C2" w:rsidRDefault="00D87AB1" w:rsidP="00D87AB1">
            <w:pPr>
              <w:pStyle w:val="APVMATableHead"/>
            </w:pPr>
            <w:r w:rsidRPr="007551C2">
              <w:t>Tolerance for residues arising from the use of topramezone (mg/kg)</w:t>
            </w:r>
          </w:p>
        </w:tc>
      </w:tr>
      <w:tr w:rsidR="00D87AB1" w:rsidRPr="004D3DFC" w14:paraId="1DC691CD" w14:textId="77777777" w:rsidTr="004F0A8F">
        <w:trPr>
          <w:tblHeader/>
        </w:trPr>
        <w:tc>
          <w:tcPr>
            <w:tcW w:w="1296" w:type="pct"/>
            <w:vMerge/>
            <w:tcBorders>
              <w:top w:val="single" w:sz="4" w:space="0" w:color="215868" w:themeColor="accent5" w:themeShade="80"/>
              <w:left w:val="nil"/>
              <w:bottom w:val="single" w:sz="4" w:space="0" w:color="auto"/>
              <w:right w:val="nil"/>
            </w:tcBorders>
            <w:shd w:val="clear" w:color="auto" w:fill="F2F2F2" w:themeFill="background1" w:themeFillShade="F2"/>
          </w:tcPr>
          <w:p w14:paraId="55B0B57E" w14:textId="77777777" w:rsidR="00D87AB1" w:rsidRPr="007551C2" w:rsidRDefault="00D87AB1" w:rsidP="00D87AB1">
            <w:pPr>
              <w:pStyle w:val="APVMATableHead"/>
            </w:pPr>
          </w:p>
        </w:tc>
        <w:tc>
          <w:tcPr>
            <w:tcW w:w="751" w:type="pct"/>
            <w:tcBorders>
              <w:top w:val="single" w:sz="4" w:space="0" w:color="215868" w:themeColor="accent5" w:themeShade="80"/>
              <w:left w:val="nil"/>
              <w:bottom w:val="single" w:sz="4" w:space="0" w:color="auto"/>
              <w:right w:val="nil"/>
            </w:tcBorders>
            <w:shd w:val="clear" w:color="auto" w:fill="F2F2F2" w:themeFill="background1" w:themeFillShade="F2"/>
          </w:tcPr>
          <w:p w14:paraId="772F7B09" w14:textId="77777777" w:rsidR="00D87AB1" w:rsidRPr="007551C2" w:rsidRDefault="00D87AB1" w:rsidP="00D87AB1">
            <w:pPr>
              <w:pStyle w:val="APVMATableHead"/>
            </w:pPr>
            <w:r w:rsidRPr="007551C2">
              <w:t>Australia</w:t>
            </w:r>
          </w:p>
          <w:p w14:paraId="7390076C" w14:textId="77777777" w:rsidR="00D87AB1" w:rsidRPr="007551C2" w:rsidRDefault="00D87AB1" w:rsidP="00D87AB1">
            <w:pPr>
              <w:pStyle w:val="APVMATableHead"/>
            </w:pPr>
            <w:r w:rsidRPr="007551C2">
              <w:t>(proposed)</w:t>
            </w:r>
          </w:p>
        </w:tc>
        <w:tc>
          <w:tcPr>
            <w:tcW w:w="751" w:type="pct"/>
            <w:tcBorders>
              <w:top w:val="single" w:sz="4" w:space="0" w:color="215868" w:themeColor="accent5" w:themeShade="80"/>
              <w:left w:val="nil"/>
              <w:bottom w:val="single" w:sz="4" w:space="0" w:color="auto"/>
              <w:right w:val="nil"/>
            </w:tcBorders>
            <w:shd w:val="clear" w:color="auto" w:fill="F2F2F2" w:themeFill="background1" w:themeFillShade="F2"/>
          </w:tcPr>
          <w:p w14:paraId="77799D83" w14:textId="77777777" w:rsidR="00D87AB1" w:rsidRPr="007551C2" w:rsidRDefault="00D87AB1" w:rsidP="00D87AB1">
            <w:pPr>
              <w:pStyle w:val="APVMATableHead"/>
            </w:pPr>
            <w:r w:rsidRPr="007551C2">
              <w:t>EU</w:t>
            </w:r>
          </w:p>
        </w:tc>
        <w:tc>
          <w:tcPr>
            <w:tcW w:w="620" w:type="pct"/>
            <w:tcBorders>
              <w:top w:val="single" w:sz="4" w:space="0" w:color="215868" w:themeColor="accent5" w:themeShade="80"/>
              <w:left w:val="nil"/>
              <w:bottom w:val="single" w:sz="4" w:space="0" w:color="auto"/>
              <w:right w:val="nil"/>
            </w:tcBorders>
            <w:shd w:val="clear" w:color="auto" w:fill="F2F2F2" w:themeFill="background1" w:themeFillShade="F2"/>
          </w:tcPr>
          <w:p w14:paraId="0F9C9E5B" w14:textId="77777777" w:rsidR="00D87AB1" w:rsidRPr="007551C2" w:rsidRDefault="00D87AB1" w:rsidP="00D87AB1">
            <w:pPr>
              <w:pStyle w:val="APVMATableHead"/>
            </w:pPr>
            <w:r w:rsidRPr="007551C2">
              <w:t>Japan</w:t>
            </w:r>
          </w:p>
        </w:tc>
        <w:tc>
          <w:tcPr>
            <w:tcW w:w="890" w:type="pct"/>
            <w:tcBorders>
              <w:top w:val="single" w:sz="4" w:space="0" w:color="215868" w:themeColor="accent5" w:themeShade="80"/>
              <w:left w:val="nil"/>
              <w:bottom w:val="single" w:sz="4" w:space="0" w:color="auto"/>
              <w:right w:val="nil"/>
            </w:tcBorders>
            <w:shd w:val="clear" w:color="auto" w:fill="F2F2F2" w:themeFill="background1" w:themeFillShade="F2"/>
          </w:tcPr>
          <w:p w14:paraId="0673D4F7" w14:textId="77777777" w:rsidR="00D87AB1" w:rsidRPr="007551C2" w:rsidRDefault="00D87AB1" w:rsidP="00D87AB1">
            <w:pPr>
              <w:pStyle w:val="APVMATableHead"/>
            </w:pPr>
            <w:r w:rsidRPr="007551C2">
              <w:t>Codex</w:t>
            </w:r>
          </w:p>
        </w:tc>
        <w:tc>
          <w:tcPr>
            <w:tcW w:w="691" w:type="pct"/>
            <w:tcBorders>
              <w:top w:val="single" w:sz="4" w:space="0" w:color="215868" w:themeColor="accent5" w:themeShade="80"/>
              <w:left w:val="nil"/>
              <w:bottom w:val="single" w:sz="4" w:space="0" w:color="auto"/>
              <w:right w:val="nil"/>
            </w:tcBorders>
            <w:shd w:val="clear" w:color="auto" w:fill="F2F2F2" w:themeFill="background1" w:themeFillShade="F2"/>
          </w:tcPr>
          <w:p w14:paraId="24BDBB48" w14:textId="77777777" w:rsidR="00D87AB1" w:rsidRPr="007551C2" w:rsidRDefault="00D87AB1" w:rsidP="00D87AB1">
            <w:pPr>
              <w:pStyle w:val="APVMATableHead"/>
            </w:pPr>
            <w:r w:rsidRPr="007551C2">
              <w:t>USA</w:t>
            </w:r>
          </w:p>
        </w:tc>
      </w:tr>
      <w:tr w:rsidR="00D87AB1" w:rsidRPr="004D3DFC" w14:paraId="26628872" w14:textId="77777777" w:rsidTr="004F0A8F">
        <w:tc>
          <w:tcPr>
            <w:tcW w:w="1296" w:type="pct"/>
            <w:tcBorders>
              <w:top w:val="single" w:sz="4" w:space="0" w:color="auto"/>
              <w:left w:val="nil"/>
              <w:bottom w:val="single" w:sz="4" w:space="0" w:color="215868" w:themeColor="accent5" w:themeShade="80"/>
              <w:right w:val="nil"/>
            </w:tcBorders>
          </w:tcPr>
          <w:p w14:paraId="65D41460" w14:textId="77777777" w:rsidR="00D87AB1" w:rsidRPr="00D87AB1" w:rsidRDefault="00D87AB1" w:rsidP="00D87AB1">
            <w:pPr>
              <w:pStyle w:val="APVMATableText"/>
            </w:pPr>
            <w:r w:rsidRPr="00D87AB1">
              <w:t>Residue Definition</w:t>
            </w:r>
          </w:p>
        </w:tc>
        <w:tc>
          <w:tcPr>
            <w:tcW w:w="751" w:type="pct"/>
            <w:tcBorders>
              <w:top w:val="single" w:sz="4" w:space="0" w:color="auto"/>
              <w:left w:val="nil"/>
              <w:bottom w:val="single" w:sz="4" w:space="0" w:color="215868" w:themeColor="accent5" w:themeShade="80"/>
              <w:right w:val="nil"/>
            </w:tcBorders>
          </w:tcPr>
          <w:p w14:paraId="141E9BD7" w14:textId="77777777" w:rsidR="00D87AB1" w:rsidRPr="00D87AB1" w:rsidRDefault="00D87AB1" w:rsidP="00D87AB1">
            <w:pPr>
              <w:pStyle w:val="APVMATableText"/>
            </w:pPr>
            <w:proofErr w:type="spellStart"/>
            <w:r w:rsidRPr="00D87AB1">
              <w:t>topramezone</w:t>
            </w:r>
            <w:proofErr w:type="spellEnd"/>
          </w:p>
        </w:tc>
        <w:tc>
          <w:tcPr>
            <w:tcW w:w="751" w:type="pct"/>
            <w:tcBorders>
              <w:top w:val="single" w:sz="4" w:space="0" w:color="auto"/>
              <w:left w:val="nil"/>
              <w:bottom w:val="single" w:sz="4" w:space="0" w:color="215868" w:themeColor="accent5" w:themeShade="80"/>
              <w:right w:val="nil"/>
            </w:tcBorders>
          </w:tcPr>
          <w:p w14:paraId="754D4F55" w14:textId="77777777" w:rsidR="00D87AB1" w:rsidRPr="00D87AB1" w:rsidRDefault="00D87AB1" w:rsidP="00D87AB1">
            <w:pPr>
              <w:pStyle w:val="APVMATableText"/>
            </w:pPr>
            <w:proofErr w:type="spellStart"/>
            <w:r w:rsidRPr="00D87AB1">
              <w:t>topramezone</w:t>
            </w:r>
            <w:proofErr w:type="spellEnd"/>
          </w:p>
        </w:tc>
        <w:tc>
          <w:tcPr>
            <w:tcW w:w="620" w:type="pct"/>
            <w:tcBorders>
              <w:top w:val="single" w:sz="4" w:space="0" w:color="auto"/>
              <w:left w:val="nil"/>
              <w:bottom w:val="single" w:sz="4" w:space="0" w:color="215868" w:themeColor="accent5" w:themeShade="80"/>
              <w:right w:val="nil"/>
            </w:tcBorders>
          </w:tcPr>
          <w:p w14:paraId="31E973FB" w14:textId="77777777" w:rsidR="00D87AB1" w:rsidRPr="00D87AB1" w:rsidRDefault="00D87AB1" w:rsidP="00D87AB1">
            <w:pPr>
              <w:pStyle w:val="APVMATableText"/>
            </w:pPr>
            <w:r w:rsidRPr="00D87AB1">
              <w:t>Not established</w:t>
            </w:r>
          </w:p>
        </w:tc>
        <w:tc>
          <w:tcPr>
            <w:tcW w:w="890" w:type="pct"/>
            <w:tcBorders>
              <w:top w:val="single" w:sz="4" w:space="0" w:color="auto"/>
              <w:left w:val="nil"/>
              <w:bottom w:val="single" w:sz="4" w:space="0" w:color="215868" w:themeColor="accent5" w:themeShade="80"/>
              <w:right w:val="nil"/>
            </w:tcBorders>
          </w:tcPr>
          <w:p w14:paraId="641320A6" w14:textId="77777777" w:rsidR="00D87AB1" w:rsidRPr="00D87AB1" w:rsidRDefault="00D87AB1" w:rsidP="00D87AB1">
            <w:pPr>
              <w:pStyle w:val="APVMATableText"/>
            </w:pPr>
            <w:r w:rsidRPr="00D87AB1">
              <w:t>Not established</w:t>
            </w:r>
          </w:p>
        </w:tc>
        <w:tc>
          <w:tcPr>
            <w:tcW w:w="691" w:type="pct"/>
            <w:tcBorders>
              <w:top w:val="single" w:sz="4" w:space="0" w:color="auto"/>
              <w:left w:val="nil"/>
              <w:bottom w:val="single" w:sz="4" w:space="0" w:color="215868" w:themeColor="accent5" w:themeShade="80"/>
              <w:right w:val="nil"/>
            </w:tcBorders>
          </w:tcPr>
          <w:p w14:paraId="4CD8708C" w14:textId="77777777" w:rsidR="00D87AB1" w:rsidRPr="00D87AB1" w:rsidRDefault="00D87AB1" w:rsidP="00D87AB1">
            <w:pPr>
              <w:pStyle w:val="APVMATableText"/>
            </w:pPr>
            <w:proofErr w:type="spellStart"/>
            <w:r w:rsidRPr="00D87AB1">
              <w:t>topramezone</w:t>
            </w:r>
            <w:proofErr w:type="spellEnd"/>
          </w:p>
        </w:tc>
      </w:tr>
      <w:tr w:rsidR="00D87AB1" w:rsidRPr="004D3DFC" w14:paraId="02CE7D24" w14:textId="77777777" w:rsidTr="004F0A8F">
        <w:tc>
          <w:tcPr>
            <w:tcW w:w="1296" w:type="pct"/>
            <w:tcBorders>
              <w:top w:val="single" w:sz="4" w:space="0" w:color="215868" w:themeColor="accent5" w:themeShade="80"/>
              <w:left w:val="nil"/>
              <w:bottom w:val="single" w:sz="4" w:space="0" w:color="215868" w:themeColor="accent5" w:themeShade="80"/>
              <w:right w:val="nil"/>
            </w:tcBorders>
            <w:vAlign w:val="center"/>
          </w:tcPr>
          <w:p w14:paraId="2D19523C" w14:textId="77777777" w:rsidR="00D87AB1" w:rsidRPr="00D87AB1" w:rsidRDefault="00D87AB1" w:rsidP="00D87AB1">
            <w:pPr>
              <w:pStyle w:val="APVMATableText"/>
            </w:pPr>
            <w:r w:rsidRPr="00D87AB1">
              <w:t>Wheat</w:t>
            </w:r>
          </w:p>
        </w:tc>
        <w:tc>
          <w:tcPr>
            <w:tcW w:w="751" w:type="pct"/>
            <w:tcBorders>
              <w:top w:val="single" w:sz="4" w:space="0" w:color="215868" w:themeColor="accent5" w:themeShade="80"/>
              <w:left w:val="nil"/>
              <w:bottom w:val="single" w:sz="4" w:space="0" w:color="215868" w:themeColor="accent5" w:themeShade="80"/>
              <w:right w:val="nil"/>
            </w:tcBorders>
          </w:tcPr>
          <w:p w14:paraId="3F7492F3" w14:textId="77777777" w:rsidR="00D87AB1" w:rsidRPr="00D87AB1" w:rsidRDefault="00D87AB1" w:rsidP="00D87AB1">
            <w:pPr>
              <w:pStyle w:val="APVMATableText"/>
            </w:pPr>
            <w:r w:rsidRPr="00D87AB1">
              <w:t>*0.01</w:t>
            </w:r>
          </w:p>
        </w:tc>
        <w:tc>
          <w:tcPr>
            <w:tcW w:w="751" w:type="pct"/>
            <w:tcBorders>
              <w:top w:val="single" w:sz="4" w:space="0" w:color="215868" w:themeColor="accent5" w:themeShade="80"/>
              <w:left w:val="nil"/>
              <w:bottom w:val="single" w:sz="4" w:space="0" w:color="215868" w:themeColor="accent5" w:themeShade="80"/>
              <w:right w:val="nil"/>
            </w:tcBorders>
          </w:tcPr>
          <w:p w14:paraId="7636553B" w14:textId="77777777" w:rsidR="00D87AB1" w:rsidRPr="00D87AB1" w:rsidRDefault="00D87AB1" w:rsidP="00D87AB1">
            <w:pPr>
              <w:pStyle w:val="APVMATableText"/>
            </w:pPr>
            <w:r w:rsidRPr="00D87AB1">
              <w:t>*0.01</w:t>
            </w:r>
          </w:p>
        </w:tc>
        <w:tc>
          <w:tcPr>
            <w:tcW w:w="620" w:type="pct"/>
            <w:tcBorders>
              <w:top w:val="single" w:sz="4" w:space="0" w:color="215868" w:themeColor="accent5" w:themeShade="80"/>
              <w:left w:val="nil"/>
              <w:bottom w:val="single" w:sz="4" w:space="0" w:color="215868" w:themeColor="accent5" w:themeShade="80"/>
              <w:right w:val="nil"/>
            </w:tcBorders>
            <w:vAlign w:val="center"/>
          </w:tcPr>
          <w:p w14:paraId="1D70BA49" w14:textId="77777777" w:rsidR="00D87AB1" w:rsidRPr="00D87AB1" w:rsidRDefault="00D87AB1" w:rsidP="00D87AB1">
            <w:pPr>
              <w:pStyle w:val="APVMATableText"/>
            </w:pPr>
          </w:p>
        </w:tc>
        <w:tc>
          <w:tcPr>
            <w:tcW w:w="890" w:type="pct"/>
            <w:tcBorders>
              <w:top w:val="single" w:sz="4" w:space="0" w:color="215868" w:themeColor="accent5" w:themeShade="80"/>
              <w:left w:val="nil"/>
              <w:bottom w:val="single" w:sz="4" w:space="0" w:color="215868" w:themeColor="accent5" w:themeShade="80"/>
              <w:right w:val="nil"/>
            </w:tcBorders>
          </w:tcPr>
          <w:p w14:paraId="08A7541F" w14:textId="77777777" w:rsidR="00D87AB1" w:rsidRPr="00D87AB1" w:rsidRDefault="00D87AB1" w:rsidP="00D87AB1">
            <w:pPr>
              <w:pStyle w:val="APVMATableText"/>
            </w:pPr>
          </w:p>
        </w:tc>
        <w:tc>
          <w:tcPr>
            <w:tcW w:w="691" w:type="pct"/>
            <w:tcBorders>
              <w:top w:val="single" w:sz="4" w:space="0" w:color="215868" w:themeColor="accent5" w:themeShade="80"/>
              <w:left w:val="nil"/>
              <w:bottom w:val="single" w:sz="4" w:space="0" w:color="215868" w:themeColor="accent5" w:themeShade="80"/>
              <w:right w:val="nil"/>
            </w:tcBorders>
          </w:tcPr>
          <w:p w14:paraId="1652D553" w14:textId="77777777" w:rsidR="00D87AB1" w:rsidRPr="00D87AB1" w:rsidRDefault="00D87AB1" w:rsidP="00D87AB1">
            <w:pPr>
              <w:pStyle w:val="APVMATableText"/>
            </w:pPr>
            <w:r w:rsidRPr="00D87AB1">
              <w:t>-</w:t>
            </w:r>
          </w:p>
        </w:tc>
      </w:tr>
      <w:tr w:rsidR="00D87AB1" w:rsidRPr="004D3DFC" w14:paraId="0A145775" w14:textId="77777777" w:rsidTr="004F0A8F">
        <w:tc>
          <w:tcPr>
            <w:tcW w:w="1296" w:type="pct"/>
            <w:tcBorders>
              <w:top w:val="single" w:sz="4" w:space="0" w:color="215868" w:themeColor="accent5" w:themeShade="80"/>
              <w:left w:val="nil"/>
              <w:bottom w:val="single" w:sz="4" w:space="0" w:color="215868" w:themeColor="accent5" w:themeShade="80"/>
              <w:right w:val="nil"/>
            </w:tcBorders>
            <w:vAlign w:val="center"/>
          </w:tcPr>
          <w:p w14:paraId="46A37318" w14:textId="77777777" w:rsidR="00D87AB1" w:rsidRPr="00D87AB1" w:rsidRDefault="00D87AB1" w:rsidP="00D87AB1">
            <w:pPr>
              <w:pStyle w:val="APVMATableText"/>
            </w:pPr>
            <w:r w:rsidRPr="00D87AB1">
              <w:t>Barley</w:t>
            </w:r>
          </w:p>
        </w:tc>
        <w:tc>
          <w:tcPr>
            <w:tcW w:w="751" w:type="pct"/>
            <w:tcBorders>
              <w:top w:val="single" w:sz="4" w:space="0" w:color="215868" w:themeColor="accent5" w:themeShade="80"/>
              <w:left w:val="nil"/>
              <w:bottom w:val="single" w:sz="4" w:space="0" w:color="215868" w:themeColor="accent5" w:themeShade="80"/>
              <w:right w:val="nil"/>
            </w:tcBorders>
          </w:tcPr>
          <w:p w14:paraId="07832F39" w14:textId="77777777" w:rsidR="00D87AB1" w:rsidRPr="00D87AB1" w:rsidRDefault="00D87AB1" w:rsidP="00D87AB1">
            <w:pPr>
              <w:pStyle w:val="APVMATableText"/>
            </w:pPr>
            <w:r w:rsidRPr="00D87AB1">
              <w:t>*0.01</w:t>
            </w:r>
          </w:p>
        </w:tc>
        <w:tc>
          <w:tcPr>
            <w:tcW w:w="751" w:type="pct"/>
            <w:tcBorders>
              <w:top w:val="single" w:sz="4" w:space="0" w:color="215868" w:themeColor="accent5" w:themeShade="80"/>
              <w:left w:val="nil"/>
              <w:bottom w:val="single" w:sz="4" w:space="0" w:color="215868" w:themeColor="accent5" w:themeShade="80"/>
              <w:right w:val="nil"/>
            </w:tcBorders>
          </w:tcPr>
          <w:p w14:paraId="4EB75D78" w14:textId="77777777" w:rsidR="00D87AB1" w:rsidRPr="00D87AB1" w:rsidRDefault="00D87AB1" w:rsidP="00D87AB1">
            <w:pPr>
              <w:pStyle w:val="APVMATableText"/>
            </w:pPr>
            <w:r w:rsidRPr="00D87AB1">
              <w:t>*0.01</w:t>
            </w:r>
          </w:p>
        </w:tc>
        <w:tc>
          <w:tcPr>
            <w:tcW w:w="620" w:type="pct"/>
            <w:tcBorders>
              <w:top w:val="single" w:sz="4" w:space="0" w:color="215868" w:themeColor="accent5" w:themeShade="80"/>
              <w:left w:val="nil"/>
              <w:bottom w:val="single" w:sz="4" w:space="0" w:color="215868" w:themeColor="accent5" w:themeShade="80"/>
              <w:right w:val="nil"/>
            </w:tcBorders>
          </w:tcPr>
          <w:p w14:paraId="6B89B489" w14:textId="77777777" w:rsidR="00D87AB1" w:rsidRPr="00D87AB1" w:rsidRDefault="00D87AB1" w:rsidP="00D87AB1">
            <w:pPr>
              <w:pStyle w:val="APVMATableText"/>
            </w:pPr>
          </w:p>
        </w:tc>
        <w:tc>
          <w:tcPr>
            <w:tcW w:w="890" w:type="pct"/>
            <w:tcBorders>
              <w:top w:val="single" w:sz="4" w:space="0" w:color="215868" w:themeColor="accent5" w:themeShade="80"/>
              <w:left w:val="nil"/>
              <w:bottom w:val="single" w:sz="4" w:space="0" w:color="215868" w:themeColor="accent5" w:themeShade="80"/>
              <w:right w:val="nil"/>
            </w:tcBorders>
          </w:tcPr>
          <w:p w14:paraId="1CDFD3D9" w14:textId="77777777" w:rsidR="00D87AB1" w:rsidRPr="00D87AB1" w:rsidRDefault="00D87AB1" w:rsidP="00D87AB1">
            <w:pPr>
              <w:pStyle w:val="APVMATableText"/>
            </w:pPr>
          </w:p>
        </w:tc>
        <w:tc>
          <w:tcPr>
            <w:tcW w:w="691" w:type="pct"/>
            <w:tcBorders>
              <w:top w:val="single" w:sz="4" w:space="0" w:color="215868" w:themeColor="accent5" w:themeShade="80"/>
              <w:left w:val="nil"/>
              <w:bottom w:val="single" w:sz="4" w:space="0" w:color="215868" w:themeColor="accent5" w:themeShade="80"/>
              <w:right w:val="nil"/>
            </w:tcBorders>
          </w:tcPr>
          <w:p w14:paraId="51CEEAD9" w14:textId="77777777" w:rsidR="00D87AB1" w:rsidRPr="00D87AB1" w:rsidRDefault="00D87AB1" w:rsidP="00D87AB1">
            <w:pPr>
              <w:pStyle w:val="APVMATableText"/>
            </w:pPr>
            <w:r w:rsidRPr="00D87AB1">
              <w:t>-</w:t>
            </w:r>
          </w:p>
        </w:tc>
      </w:tr>
      <w:tr w:rsidR="00D87AB1" w:rsidRPr="004D3DFC" w14:paraId="6D406A2F" w14:textId="77777777" w:rsidTr="004F0A8F">
        <w:tc>
          <w:tcPr>
            <w:tcW w:w="1296" w:type="pct"/>
            <w:tcBorders>
              <w:top w:val="single" w:sz="4" w:space="0" w:color="215868" w:themeColor="accent5" w:themeShade="80"/>
              <w:left w:val="nil"/>
              <w:bottom w:val="single" w:sz="4" w:space="0" w:color="215868" w:themeColor="accent5" w:themeShade="80"/>
              <w:right w:val="nil"/>
            </w:tcBorders>
            <w:vAlign w:val="center"/>
          </w:tcPr>
          <w:p w14:paraId="496BE810" w14:textId="77777777" w:rsidR="00D87AB1" w:rsidRPr="00D87AB1" w:rsidRDefault="00D87AB1" w:rsidP="00D87AB1">
            <w:pPr>
              <w:pStyle w:val="APVMATableText"/>
            </w:pPr>
            <w:r w:rsidRPr="00D87AB1">
              <w:t>Edible offal (Mammalian)</w:t>
            </w:r>
          </w:p>
        </w:tc>
        <w:tc>
          <w:tcPr>
            <w:tcW w:w="751" w:type="pct"/>
            <w:tcBorders>
              <w:top w:val="single" w:sz="4" w:space="0" w:color="215868" w:themeColor="accent5" w:themeShade="80"/>
              <w:left w:val="nil"/>
              <w:bottom w:val="single" w:sz="4" w:space="0" w:color="215868" w:themeColor="accent5" w:themeShade="80"/>
              <w:right w:val="nil"/>
            </w:tcBorders>
          </w:tcPr>
          <w:p w14:paraId="4BB28F5E" w14:textId="77777777" w:rsidR="00D87AB1" w:rsidRPr="00D87AB1" w:rsidRDefault="00D87AB1" w:rsidP="00D87AB1">
            <w:pPr>
              <w:pStyle w:val="APVMATableText"/>
            </w:pPr>
            <w:r w:rsidRPr="00D87AB1">
              <w:t>0.05</w:t>
            </w:r>
          </w:p>
        </w:tc>
        <w:tc>
          <w:tcPr>
            <w:tcW w:w="751" w:type="pct"/>
            <w:tcBorders>
              <w:top w:val="single" w:sz="4" w:space="0" w:color="215868" w:themeColor="accent5" w:themeShade="80"/>
              <w:left w:val="nil"/>
              <w:bottom w:val="single" w:sz="4" w:space="0" w:color="215868" w:themeColor="accent5" w:themeShade="80"/>
              <w:right w:val="nil"/>
            </w:tcBorders>
          </w:tcPr>
          <w:p w14:paraId="1C32F606" w14:textId="77777777" w:rsidR="00D87AB1" w:rsidRPr="00D87AB1" w:rsidRDefault="00D87AB1" w:rsidP="00D87AB1">
            <w:pPr>
              <w:pStyle w:val="APVMATableText"/>
            </w:pPr>
            <w:r w:rsidRPr="00D87AB1">
              <w:t>0.2 (liver)</w:t>
            </w:r>
          </w:p>
          <w:p w14:paraId="6A14F4BB" w14:textId="77777777" w:rsidR="00D87AB1" w:rsidRPr="00D87AB1" w:rsidRDefault="00D87AB1" w:rsidP="00D87AB1">
            <w:pPr>
              <w:pStyle w:val="APVMATableText"/>
            </w:pPr>
            <w:r w:rsidRPr="00D87AB1">
              <w:t>1 (kidney)</w:t>
            </w:r>
          </w:p>
          <w:p w14:paraId="40FD9EBF" w14:textId="77777777" w:rsidR="00D87AB1" w:rsidRPr="00D87AB1" w:rsidRDefault="00D87AB1" w:rsidP="00D87AB1">
            <w:pPr>
              <w:pStyle w:val="APVMATableText"/>
            </w:pPr>
            <w:r w:rsidRPr="00D87AB1">
              <w:t>*0.05 (other)</w:t>
            </w:r>
          </w:p>
        </w:tc>
        <w:tc>
          <w:tcPr>
            <w:tcW w:w="620" w:type="pct"/>
            <w:tcBorders>
              <w:top w:val="single" w:sz="4" w:space="0" w:color="215868" w:themeColor="accent5" w:themeShade="80"/>
              <w:left w:val="nil"/>
              <w:bottom w:val="single" w:sz="4" w:space="0" w:color="215868" w:themeColor="accent5" w:themeShade="80"/>
              <w:right w:val="nil"/>
            </w:tcBorders>
          </w:tcPr>
          <w:p w14:paraId="5CBFE60B" w14:textId="77777777" w:rsidR="00D87AB1" w:rsidRPr="00D87AB1" w:rsidRDefault="00D87AB1" w:rsidP="00D87AB1">
            <w:pPr>
              <w:pStyle w:val="APVMATableText"/>
            </w:pPr>
          </w:p>
        </w:tc>
        <w:tc>
          <w:tcPr>
            <w:tcW w:w="890" w:type="pct"/>
            <w:tcBorders>
              <w:top w:val="single" w:sz="4" w:space="0" w:color="215868" w:themeColor="accent5" w:themeShade="80"/>
              <w:left w:val="nil"/>
              <w:bottom w:val="single" w:sz="4" w:space="0" w:color="215868" w:themeColor="accent5" w:themeShade="80"/>
              <w:right w:val="nil"/>
            </w:tcBorders>
          </w:tcPr>
          <w:p w14:paraId="48E919F9" w14:textId="77777777" w:rsidR="00D87AB1" w:rsidRPr="00D87AB1" w:rsidRDefault="00D87AB1" w:rsidP="00D87AB1">
            <w:pPr>
              <w:pStyle w:val="APVMATableText"/>
            </w:pPr>
          </w:p>
        </w:tc>
        <w:tc>
          <w:tcPr>
            <w:tcW w:w="691" w:type="pct"/>
            <w:tcBorders>
              <w:top w:val="single" w:sz="4" w:space="0" w:color="215868" w:themeColor="accent5" w:themeShade="80"/>
              <w:left w:val="nil"/>
              <w:bottom w:val="single" w:sz="4" w:space="0" w:color="215868" w:themeColor="accent5" w:themeShade="80"/>
              <w:right w:val="nil"/>
            </w:tcBorders>
          </w:tcPr>
          <w:p w14:paraId="31964777" w14:textId="77777777" w:rsidR="00D87AB1" w:rsidRPr="00D87AB1" w:rsidRDefault="00D87AB1" w:rsidP="00D87AB1">
            <w:pPr>
              <w:pStyle w:val="APVMATableText"/>
            </w:pPr>
            <w:r w:rsidRPr="00D87AB1">
              <w:t xml:space="preserve">0.8 (Cattle, meat </w:t>
            </w:r>
            <w:proofErr w:type="spellStart"/>
            <w:r w:rsidRPr="00D87AB1">
              <w:t>byproducts</w:t>
            </w:r>
            <w:proofErr w:type="spellEnd"/>
            <w:r w:rsidRPr="00D87AB1">
              <w:t>)</w:t>
            </w:r>
          </w:p>
        </w:tc>
      </w:tr>
      <w:tr w:rsidR="00D87AB1" w:rsidRPr="004D3DFC" w14:paraId="7216CCC8" w14:textId="77777777" w:rsidTr="004F0A8F">
        <w:tc>
          <w:tcPr>
            <w:tcW w:w="1296" w:type="pct"/>
            <w:tcBorders>
              <w:top w:val="single" w:sz="4" w:space="0" w:color="215868" w:themeColor="accent5" w:themeShade="80"/>
              <w:left w:val="nil"/>
              <w:bottom w:val="single" w:sz="4" w:space="0" w:color="215868" w:themeColor="accent5" w:themeShade="80"/>
              <w:right w:val="nil"/>
            </w:tcBorders>
            <w:vAlign w:val="center"/>
          </w:tcPr>
          <w:p w14:paraId="5B3671A0" w14:textId="77777777" w:rsidR="00D87AB1" w:rsidRPr="00D87AB1" w:rsidRDefault="00D87AB1" w:rsidP="00D87AB1">
            <w:pPr>
              <w:pStyle w:val="APVMATableText"/>
            </w:pPr>
            <w:r w:rsidRPr="00D87AB1">
              <w:t>Meat [mammalian]</w:t>
            </w:r>
          </w:p>
        </w:tc>
        <w:tc>
          <w:tcPr>
            <w:tcW w:w="751" w:type="pct"/>
            <w:tcBorders>
              <w:top w:val="single" w:sz="4" w:space="0" w:color="215868" w:themeColor="accent5" w:themeShade="80"/>
              <w:left w:val="nil"/>
              <w:bottom w:val="single" w:sz="4" w:space="0" w:color="215868" w:themeColor="accent5" w:themeShade="80"/>
              <w:right w:val="nil"/>
            </w:tcBorders>
          </w:tcPr>
          <w:p w14:paraId="52B1FE56" w14:textId="77777777" w:rsidR="00D87AB1" w:rsidRPr="00D87AB1" w:rsidRDefault="00D87AB1" w:rsidP="00D87AB1">
            <w:pPr>
              <w:pStyle w:val="APVMATableText"/>
            </w:pPr>
            <w:r w:rsidRPr="00D87AB1">
              <w:t>*0.01</w:t>
            </w:r>
          </w:p>
        </w:tc>
        <w:tc>
          <w:tcPr>
            <w:tcW w:w="751" w:type="pct"/>
            <w:tcBorders>
              <w:top w:val="single" w:sz="4" w:space="0" w:color="215868" w:themeColor="accent5" w:themeShade="80"/>
              <w:left w:val="nil"/>
              <w:bottom w:val="single" w:sz="4" w:space="0" w:color="215868" w:themeColor="accent5" w:themeShade="80"/>
              <w:right w:val="nil"/>
            </w:tcBorders>
          </w:tcPr>
          <w:p w14:paraId="117702B6" w14:textId="77777777" w:rsidR="00D87AB1" w:rsidRPr="00D87AB1" w:rsidRDefault="00D87AB1" w:rsidP="00D87AB1">
            <w:pPr>
              <w:pStyle w:val="APVMATableText"/>
            </w:pPr>
            <w:r w:rsidRPr="00D87AB1">
              <w:t>*0.01 (muscle)</w:t>
            </w:r>
          </w:p>
          <w:p w14:paraId="1DAFAEF3" w14:textId="77777777" w:rsidR="00D87AB1" w:rsidRPr="00D87AB1" w:rsidRDefault="00D87AB1" w:rsidP="00D87AB1">
            <w:pPr>
              <w:pStyle w:val="APVMATableText"/>
            </w:pPr>
            <w:r w:rsidRPr="00D87AB1">
              <w:t>*0.05 (fat)</w:t>
            </w:r>
          </w:p>
        </w:tc>
        <w:tc>
          <w:tcPr>
            <w:tcW w:w="620" w:type="pct"/>
            <w:tcBorders>
              <w:top w:val="single" w:sz="4" w:space="0" w:color="215868" w:themeColor="accent5" w:themeShade="80"/>
              <w:left w:val="nil"/>
              <w:bottom w:val="single" w:sz="4" w:space="0" w:color="215868" w:themeColor="accent5" w:themeShade="80"/>
              <w:right w:val="nil"/>
            </w:tcBorders>
          </w:tcPr>
          <w:p w14:paraId="77D767E8" w14:textId="77777777" w:rsidR="00D87AB1" w:rsidRPr="00D87AB1" w:rsidRDefault="00D87AB1" w:rsidP="00D87AB1">
            <w:pPr>
              <w:pStyle w:val="APVMATableText"/>
            </w:pPr>
          </w:p>
        </w:tc>
        <w:tc>
          <w:tcPr>
            <w:tcW w:w="890" w:type="pct"/>
            <w:tcBorders>
              <w:top w:val="single" w:sz="4" w:space="0" w:color="215868" w:themeColor="accent5" w:themeShade="80"/>
              <w:left w:val="nil"/>
              <w:bottom w:val="single" w:sz="4" w:space="0" w:color="215868" w:themeColor="accent5" w:themeShade="80"/>
              <w:right w:val="nil"/>
            </w:tcBorders>
          </w:tcPr>
          <w:p w14:paraId="1DBA2200" w14:textId="77777777" w:rsidR="00D87AB1" w:rsidRPr="00D87AB1" w:rsidRDefault="00D87AB1" w:rsidP="00D87AB1">
            <w:pPr>
              <w:pStyle w:val="APVMATableText"/>
            </w:pPr>
          </w:p>
        </w:tc>
        <w:tc>
          <w:tcPr>
            <w:tcW w:w="691" w:type="pct"/>
            <w:tcBorders>
              <w:top w:val="single" w:sz="4" w:space="0" w:color="215868" w:themeColor="accent5" w:themeShade="80"/>
              <w:left w:val="nil"/>
              <w:bottom w:val="single" w:sz="4" w:space="0" w:color="215868" w:themeColor="accent5" w:themeShade="80"/>
              <w:right w:val="nil"/>
            </w:tcBorders>
          </w:tcPr>
          <w:p w14:paraId="08B71113" w14:textId="77777777" w:rsidR="00D87AB1" w:rsidRPr="00D87AB1" w:rsidRDefault="00D87AB1" w:rsidP="00D87AB1">
            <w:pPr>
              <w:pStyle w:val="APVMATableText"/>
            </w:pPr>
            <w:r w:rsidRPr="00D87AB1">
              <w:t>-</w:t>
            </w:r>
          </w:p>
        </w:tc>
      </w:tr>
      <w:tr w:rsidR="00D87AB1" w:rsidRPr="004D3DFC" w14:paraId="23F8245B" w14:textId="77777777" w:rsidTr="004F0A8F">
        <w:tc>
          <w:tcPr>
            <w:tcW w:w="1296" w:type="pct"/>
            <w:tcBorders>
              <w:top w:val="single" w:sz="4" w:space="0" w:color="215868" w:themeColor="accent5" w:themeShade="80"/>
              <w:left w:val="nil"/>
              <w:bottom w:val="single" w:sz="4" w:space="0" w:color="auto"/>
              <w:right w:val="nil"/>
            </w:tcBorders>
            <w:vAlign w:val="center"/>
          </w:tcPr>
          <w:p w14:paraId="6FBB0E6A" w14:textId="77777777" w:rsidR="00D87AB1" w:rsidRPr="00D87AB1" w:rsidRDefault="00D87AB1" w:rsidP="00D87AB1">
            <w:pPr>
              <w:pStyle w:val="APVMATableText"/>
            </w:pPr>
            <w:r w:rsidRPr="00D87AB1">
              <w:t>Milks</w:t>
            </w:r>
          </w:p>
        </w:tc>
        <w:tc>
          <w:tcPr>
            <w:tcW w:w="751" w:type="pct"/>
            <w:tcBorders>
              <w:top w:val="single" w:sz="4" w:space="0" w:color="215868" w:themeColor="accent5" w:themeShade="80"/>
              <w:left w:val="nil"/>
              <w:bottom w:val="single" w:sz="4" w:space="0" w:color="auto"/>
              <w:right w:val="nil"/>
            </w:tcBorders>
          </w:tcPr>
          <w:p w14:paraId="7624D8CA" w14:textId="77777777" w:rsidR="00D87AB1" w:rsidRPr="00D87AB1" w:rsidRDefault="00D87AB1" w:rsidP="00D87AB1">
            <w:pPr>
              <w:pStyle w:val="APVMATableText"/>
            </w:pPr>
            <w:r w:rsidRPr="00D87AB1">
              <w:t>*0.001</w:t>
            </w:r>
          </w:p>
        </w:tc>
        <w:tc>
          <w:tcPr>
            <w:tcW w:w="751" w:type="pct"/>
            <w:tcBorders>
              <w:top w:val="single" w:sz="4" w:space="0" w:color="215868" w:themeColor="accent5" w:themeShade="80"/>
              <w:left w:val="nil"/>
              <w:bottom w:val="single" w:sz="4" w:space="0" w:color="auto"/>
              <w:right w:val="nil"/>
            </w:tcBorders>
          </w:tcPr>
          <w:p w14:paraId="7E9DA6F4" w14:textId="77777777" w:rsidR="00D87AB1" w:rsidRPr="00D87AB1" w:rsidRDefault="00D87AB1" w:rsidP="00D87AB1">
            <w:pPr>
              <w:pStyle w:val="APVMATableText"/>
            </w:pPr>
            <w:r w:rsidRPr="00D87AB1">
              <w:t>*0.01</w:t>
            </w:r>
          </w:p>
        </w:tc>
        <w:tc>
          <w:tcPr>
            <w:tcW w:w="620" w:type="pct"/>
            <w:tcBorders>
              <w:top w:val="single" w:sz="4" w:space="0" w:color="215868" w:themeColor="accent5" w:themeShade="80"/>
              <w:left w:val="nil"/>
              <w:bottom w:val="single" w:sz="4" w:space="0" w:color="auto"/>
              <w:right w:val="nil"/>
            </w:tcBorders>
          </w:tcPr>
          <w:p w14:paraId="011ADC4D" w14:textId="77777777" w:rsidR="00D87AB1" w:rsidRPr="00D87AB1" w:rsidRDefault="00D87AB1" w:rsidP="00D87AB1">
            <w:pPr>
              <w:pStyle w:val="APVMATableText"/>
            </w:pPr>
          </w:p>
        </w:tc>
        <w:tc>
          <w:tcPr>
            <w:tcW w:w="890" w:type="pct"/>
            <w:tcBorders>
              <w:top w:val="single" w:sz="4" w:space="0" w:color="215868" w:themeColor="accent5" w:themeShade="80"/>
              <w:left w:val="nil"/>
              <w:bottom w:val="single" w:sz="4" w:space="0" w:color="auto"/>
              <w:right w:val="nil"/>
            </w:tcBorders>
          </w:tcPr>
          <w:p w14:paraId="7E821A9C" w14:textId="77777777" w:rsidR="00D87AB1" w:rsidRPr="00D87AB1" w:rsidRDefault="00D87AB1" w:rsidP="00D87AB1">
            <w:pPr>
              <w:pStyle w:val="APVMATableText"/>
            </w:pPr>
          </w:p>
        </w:tc>
        <w:tc>
          <w:tcPr>
            <w:tcW w:w="691" w:type="pct"/>
            <w:tcBorders>
              <w:top w:val="single" w:sz="4" w:space="0" w:color="215868" w:themeColor="accent5" w:themeShade="80"/>
              <w:left w:val="nil"/>
              <w:bottom w:val="single" w:sz="4" w:space="0" w:color="auto"/>
              <w:right w:val="nil"/>
            </w:tcBorders>
          </w:tcPr>
          <w:p w14:paraId="6043CC0E" w14:textId="77777777" w:rsidR="00D87AB1" w:rsidRPr="00D87AB1" w:rsidRDefault="00D87AB1" w:rsidP="00D87AB1">
            <w:pPr>
              <w:pStyle w:val="APVMATableText"/>
            </w:pPr>
            <w:r w:rsidRPr="00D87AB1">
              <w:t>-</w:t>
            </w:r>
          </w:p>
        </w:tc>
      </w:tr>
    </w:tbl>
    <w:p w14:paraId="00F295F6" w14:textId="77777777" w:rsidR="00D87AB1" w:rsidRPr="00D87AB1" w:rsidRDefault="00D87AB1" w:rsidP="0017725B">
      <w:pPr>
        <w:pStyle w:val="APVMASourceTableNote"/>
      </w:pPr>
      <w:r w:rsidRPr="00D87AB1">
        <w:t xml:space="preserve">MRLs for </w:t>
      </w:r>
      <w:proofErr w:type="spellStart"/>
      <w:r w:rsidRPr="00D87AB1">
        <w:t>topramezone</w:t>
      </w:r>
      <w:proofErr w:type="spellEnd"/>
      <w:r w:rsidRPr="00D87AB1">
        <w:t xml:space="preserve"> have also not been established in Korea or Taiwan</w:t>
      </w:r>
    </w:p>
    <w:p w14:paraId="7D0B467A" w14:textId="62A77B31" w:rsidR="00F27E0D" w:rsidRDefault="00B05E81" w:rsidP="00B05E81">
      <w:pPr>
        <w:pStyle w:val="Heading2"/>
      </w:pPr>
      <w:bookmarkStart w:id="48" w:name="_Toc6472842"/>
      <w:r>
        <w:t>Potential risk to trade</w:t>
      </w:r>
      <w:bookmarkEnd w:id="48"/>
    </w:p>
    <w:p w14:paraId="58FA5592" w14:textId="77777777" w:rsidR="00D87AB1" w:rsidRDefault="00D87AB1" w:rsidP="00D87AB1">
      <w:pPr>
        <w:pStyle w:val="APVMAText"/>
      </w:pPr>
      <w:r w:rsidRPr="00092BB9">
        <w:t xml:space="preserve">Export of treated produce containing finite (measurable) residues of </w:t>
      </w:r>
      <w:proofErr w:type="spellStart"/>
      <w:r>
        <w:t>topramezone</w:t>
      </w:r>
      <w:proofErr w:type="spellEnd"/>
      <w:r>
        <w:t xml:space="preserve"> </w:t>
      </w:r>
      <w:r w:rsidRPr="00092BB9">
        <w:t>may pose a risk to Australian trade in situations where (</w:t>
      </w:r>
      <w:proofErr w:type="spellStart"/>
      <w:r w:rsidRPr="00092BB9">
        <w:t>i</w:t>
      </w:r>
      <w:proofErr w:type="spellEnd"/>
      <w:r w:rsidRPr="00092BB9">
        <w:t>) no residue tolerance (import tolerance) is established in the importing country or (ii) where residues in Australian produce are likely to exceed a residue tolerance (import tolerance) established in the importing country.</w:t>
      </w:r>
    </w:p>
    <w:p w14:paraId="16B1A40C" w14:textId="77777777" w:rsidR="00D87AB1" w:rsidRDefault="00D87AB1" w:rsidP="00D87AB1">
      <w:pPr>
        <w:pStyle w:val="APVMAText"/>
      </w:pPr>
      <w:r>
        <w:t xml:space="preserve">Quantifiable residues of </w:t>
      </w:r>
      <w:proofErr w:type="spellStart"/>
      <w:r>
        <w:t>topramezone</w:t>
      </w:r>
      <w:proofErr w:type="spellEnd"/>
      <w:r>
        <w:t xml:space="preserve"> are not expected to occur in wheat or barley grain. Noting finite residues may occur in liver and kidney following feeding on treated cereal forage and that some markets including Codex have not established MRLs, a 14 day ESI will ensure residues are &lt;0.01 mg/kg in animal tissues for export. The risk to trade from the proposed use with respect to </w:t>
      </w:r>
      <w:proofErr w:type="spellStart"/>
      <w:r>
        <w:t>topramezone</w:t>
      </w:r>
      <w:proofErr w:type="spellEnd"/>
      <w:r>
        <w:t xml:space="preserve"> is low, however comment on the potential risk to trade is requested from stakeholders.</w:t>
      </w:r>
    </w:p>
    <w:p w14:paraId="7BDB5C7D" w14:textId="77777777" w:rsidR="00F27E0D" w:rsidRDefault="00F27E0D">
      <w:pPr>
        <w:pStyle w:val="APVMAText"/>
        <w:sectPr w:rsidR="00F27E0D">
          <w:headerReference w:type="even" r:id="rId40"/>
          <w:headerReference w:type="default" r:id="rId41"/>
          <w:footerReference w:type="default" r:id="rId42"/>
          <w:pgSz w:w="11906" w:h="16838" w:code="9"/>
          <w:pgMar w:top="2835" w:right="1134" w:bottom="1134" w:left="1134" w:header="1701" w:footer="680" w:gutter="0"/>
          <w:cols w:space="708"/>
          <w:docGrid w:linePitch="360"/>
        </w:sectPr>
      </w:pPr>
    </w:p>
    <w:p w14:paraId="297819AD" w14:textId="77777777" w:rsidR="00F27E0D" w:rsidRDefault="005B223E">
      <w:pPr>
        <w:pStyle w:val="Heading1"/>
      </w:pPr>
      <w:bookmarkStart w:id="49" w:name="_Toc6472843"/>
      <w:r>
        <w:lastRenderedPageBreak/>
        <w:t>work</w:t>
      </w:r>
      <w:r w:rsidR="00F27E0D">
        <w:t xml:space="preserve"> Health and Safety assessment</w:t>
      </w:r>
      <w:bookmarkEnd w:id="49"/>
    </w:p>
    <w:p w14:paraId="0D69DC02" w14:textId="77777777" w:rsidR="00D87AB1" w:rsidRPr="005A7B49" w:rsidRDefault="00D87AB1" w:rsidP="00D87AB1">
      <w:pPr>
        <w:pStyle w:val="InstructionalText"/>
        <w:rPr>
          <w:color w:val="auto"/>
        </w:rPr>
      </w:pPr>
      <w:r w:rsidRPr="0087258C">
        <w:rPr>
          <w:color w:val="auto"/>
          <w:sz w:val="20"/>
        </w:rPr>
        <w:t>Frequency Herbicide</w:t>
      </w:r>
      <w:r>
        <w:rPr>
          <w:color w:val="auto"/>
          <w:sz w:val="20"/>
        </w:rPr>
        <w:t xml:space="preserve"> is intended to be applied using ground boom for the control of various weeds in wheat, barley and durum. </w:t>
      </w:r>
      <w:r w:rsidRPr="0087258C">
        <w:rPr>
          <w:color w:val="auto"/>
          <w:sz w:val="20"/>
        </w:rPr>
        <w:t>Frequency Herbicide</w:t>
      </w:r>
      <w:r w:rsidRPr="00DD0FFE">
        <w:rPr>
          <w:color w:val="auto"/>
          <w:sz w:val="20"/>
        </w:rPr>
        <w:t xml:space="preserve"> </w:t>
      </w:r>
      <w:r>
        <w:rPr>
          <w:color w:val="auto"/>
          <w:sz w:val="20"/>
        </w:rPr>
        <w:t xml:space="preserve">is to be applied at a rate of </w:t>
      </w:r>
      <w:r w:rsidRPr="00DD0FFE">
        <w:rPr>
          <w:color w:val="auto"/>
          <w:sz w:val="20"/>
        </w:rPr>
        <w:t>2</w:t>
      </w:r>
      <w:r>
        <w:rPr>
          <w:color w:val="auto"/>
          <w:sz w:val="20"/>
        </w:rPr>
        <w:t>00</w:t>
      </w:r>
      <w:r w:rsidRPr="00DD0FFE">
        <w:rPr>
          <w:color w:val="auto"/>
          <w:sz w:val="20"/>
        </w:rPr>
        <w:t xml:space="preserve"> </w:t>
      </w:r>
      <w:r>
        <w:rPr>
          <w:color w:val="auto"/>
          <w:sz w:val="20"/>
        </w:rPr>
        <w:t>m</w:t>
      </w:r>
      <w:r w:rsidRPr="00DD0FFE">
        <w:rPr>
          <w:color w:val="auto"/>
          <w:sz w:val="20"/>
        </w:rPr>
        <w:t>L/ha in a minimum of 80 L/ha water, once a season.</w:t>
      </w:r>
    </w:p>
    <w:p w14:paraId="0FB3CDD9" w14:textId="77777777" w:rsidR="004B38B0" w:rsidRDefault="004B38B0" w:rsidP="00B05E81">
      <w:pPr>
        <w:pStyle w:val="Heading2"/>
      </w:pPr>
      <w:bookmarkStart w:id="50" w:name="_Toc6472844"/>
      <w:r>
        <w:t>Health hazards</w:t>
      </w:r>
      <w:bookmarkEnd w:id="50"/>
    </w:p>
    <w:p w14:paraId="069B0955" w14:textId="77777777" w:rsidR="00D87AB1" w:rsidRDefault="00D87AB1" w:rsidP="00D87AB1">
      <w:pPr>
        <w:pStyle w:val="APVMAText"/>
      </w:pPr>
      <w:r w:rsidRPr="0087258C">
        <w:t>Frequency Herbicide</w:t>
      </w:r>
      <w:r w:rsidRPr="00DD0FFE">
        <w:t xml:space="preserve"> has a very low toxicity via the oral (LD</w:t>
      </w:r>
      <w:r w:rsidRPr="002227BE">
        <w:rPr>
          <w:vertAlign w:val="subscript"/>
        </w:rPr>
        <w:t>50</w:t>
      </w:r>
      <w:r w:rsidRPr="00DD0FFE">
        <w:t xml:space="preserve"> &gt;2000 mg/kg </w:t>
      </w:r>
      <w:proofErr w:type="spellStart"/>
      <w:proofErr w:type="gramStart"/>
      <w:r w:rsidRPr="00DD0FFE">
        <w:t>bw</w:t>
      </w:r>
      <w:proofErr w:type="spellEnd"/>
      <w:proofErr w:type="gramEnd"/>
      <w:r w:rsidRPr="00DD0FFE">
        <w:t>) route of exposure and is of low toxicity via the dermal (LD</w:t>
      </w:r>
      <w:r w:rsidRPr="002227BE">
        <w:rPr>
          <w:vertAlign w:val="subscript"/>
        </w:rPr>
        <w:t>50</w:t>
      </w:r>
      <w:r w:rsidRPr="00DD0FFE">
        <w:t xml:space="preserve"> &gt;5000 mg/kg </w:t>
      </w:r>
      <w:proofErr w:type="spellStart"/>
      <w:r w:rsidRPr="00DD0FFE">
        <w:t>bw</w:t>
      </w:r>
      <w:proofErr w:type="spellEnd"/>
      <w:r w:rsidRPr="00DD0FFE">
        <w:t>) and inhalation (LC</w:t>
      </w:r>
      <w:r w:rsidRPr="002227BE">
        <w:rPr>
          <w:vertAlign w:val="subscript"/>
        </w:rPr>
        <w:t>50</w:t>
      </w:r>
      <w:r w:rsidRPr="00DD0FFE">
        <w:t xml:space="preserve"> &gt;2835 mg/m</w:t>
      </w:r>
      <w:r w:rsidRPr="002227BE">
        <w:rPr>
          <w:vertAlign w:val="superscript"/>
        </w:rPr>
        <w:t>3</w:t>
      </w:r>
      <w:r w:rsidRPr="00DD0FFE">
        <w:t>) routes but the product is moderately irritating to rabbit skin and eyes, and is a skin sensitiser.</w:t>
      </w:r>
    </w:p>
    <w:p w14:paraId="31C489E9" w14:textId="77777777" w:rsidR="00C93AAB" w:rsidRDefault="00C93AAB" w:rsidP="00B05E81">
      <w:pPr>
        <w:pStyle w:val="Heading2"/>
      </w:pPr>
      <w:bookmarkStart w:id="51" w:name="_Toc6472845"/>
      <w:r>
        <w:t>Occupational exposure</w:t>
      </w:r>
      <w:bookmarkEnd w:id="51"/>
    </w:p>
    <w:p w14:paraId="5BEB89EF" w14:textId="77777777" w:rsidR="00B05E81" w:rsidRDefault="00B05E81" w:rsidP="00C93AAB">
      <w:pPr>
        <w:pStyle w:val="Heading3"/>
      </w:pPr>
      <w:r>
        <w:t>Exposure during use</w:t>
      </w:r>
    </w:p>
    <w:p w14:paraId="0EC9B6DC" w14:textId="77777777" w:rsidR="00D87AB1" w:rsidRDefault="00D87AB1" w:rsidP="00D87AB1">
      <w:pPr>
        <w:pStyle w:val="APVMAText"/>
      </w:pPr>
      <w:r w:rsidRPr="00DD0FFE">
        <w:t xml:space="preserve">Users of the product may be exposed to the product during mixing and loading and application. </w:t>
      </w:r>
      <w:r>
        <w:t xml:space="preserve">In the absence of chemical-specific, worker exposure studies for </w:t>
      </w:r>
      <w:r w:rsidRPr="0087258C">
        <w:t>Frequency Herbicide</w:t>
      </w:r>
      <w:r>
        <w:t xml:space="preserve">, the US EPA Pesticides Handlers Database (PHED, 1998) was used to estimate worker exposure during mixing, loading and application activities. Acceptable margins of exposure (MOE) for mixing, loading and application by ground boom (open cab) were obtained when users of the product wear appropriate </w:t>
      </w:r>
      <w:r w:rsidRPr="00990F44">
        <w:t>personal protective equipment (PPE)</w:t>
      </w:r>
      <w:r>
        <w:t>. Please see Safety Directions section below for the appropriate PPE.</w:t>
      </w:r>
    </w:p>
    <w:p w14:paraId="7B6E8693" w14:textId="77777777" w:rsidR="00B05E81" w:rsidRDefault="00B05E81" w:rsidP="00C93AAB">
      <w:pPr>
        <w:pStyle w:val="Heading3"/>
      </w:pPr>
      <w:r>
        <w:t>Exposure during re-entry</w:t>
      </w:r>
      <w:r w:rsidR="0090196F">
        <w:t xml:space="preserve"> or rehandling</w:t>
      </w:r>
    </w:p>
    <w:p w14:paraId="0B96EC05" w14:textId="48D2A393" w:rsidR="00D87AB1" w:rsidRDefault="00D87AB1" w:rsidP="00D87AB1">
      <w:pPr>
        <w:pStyle w:val="APVMAText"/>
      </w:pPr>
      <w:r w:rsidRPr="00855C67">
        <w:rPr>
          <w:rFonts w:cs="Times New Roman"/>
        </w:rPr>
        <w:t>F</w:t>
      </w:r>
      <w:r>
        <w:rPr>
          <w:rFonts w:cs="Times New Roman"/>
        </w:rPr>
        <w:t>armers and farm workers may</w:t>
      </w:r>
      <w:r w:rsidRPr="00855C67">
        <w:rPr>
          <w:rFonts w:cs="Times New Roman"/>
        </w:rPr>
        <w:t xml:space="preserve"> be exposed to the product when they re-enter treated areas for inspection and farming activities.</w:t>
      </w:r>
      <w:r w:rsidRPr="00DD0FFE">
        <w:t xml:space="preserve"> </w:t>
      </w:r>
      <w:r w:rsidRPr="00DD0FFE">
        <w:rPr>
          <w:rFonts w:cs="Times New Roman"/>
        </w:rPr>
        <w:t xml:space="preserve">In the absence of chemical-specific, worker exposure studies for </w:t>
      </w:r>
      <w:r w:rsidRPr="0087258C">
        <w:rPr>
          <w:rFonts w:cs="Times New Roman"/>
        </w:rPr>
        <w:t>Frequency Herbicide</w:t>
      </w:r>
      <w:r w:rsidRPr="00DD0FFE">
        <w:rPr>
          <w:rFonts w:cs="Times New Roman"/>
        </w:rPr>
        <w:t xml:space="preserve">, the US EPA </w:t>
      </w:r>
      <w:r>
        <w:rPr>
          <w:rFonts w:cs="Times New Roman"/>
        </w:rPr>
        <w:t xml:space="preserve">Occupational </w:t>
      </w:r>
      <w:r w:rsidRPr="00DD0FFE">
        <w:rPr>
          <w:rFonts w:cs="Times New Roman"/>
        </w:rPr>
        <w:t>Pesticide</w:t>
      </w:r>
      <w:r>
        <w:rPr>
          <w:rFonts w:cs="Times New Roman"/>
        </w:rPr>
        <w:t xml:space="preserve"> Re-entry Exposure Calculator (OPREC, 2016) was used to estimate </w:t>
      </w:r>
      <w:r w:rsidRPr="00DD0FFE">
        <w:rPr>
          <w:rFonts w:cs="Times New Roman"/>
        </w:rPr>
        <w:t>exposure during activities</w:t>
      </w:r>
      <w:r>
        <w:rPr>
          <w:rFonts w:cs="Times New Roman"/>
        </w:rPr>
        <w:t xml:space="preserve"> associated with re-entering treated areas. Acceptable MOEs were obtained from day 0 for scouting and hand weeding activities.</w:t>
      </w:r>
    </w:p>
    <w:p w14:paraId="17037061" w14:textId="52A56FCD" w:rsidR="00B05E81" w:rsidRDefault="00B05E81" w:rsidP="00B05E81">
      <w:pPr>
        <w:pStyle w:val="Heading2"/>
      </w:pPr>
      <w:bookmarkStart w:id="52" w:name="_Toc6472846"/>
      <w:r>
        <w:t>Recommendations</w:t>
      </w:r>
      <w:bookmarkEnd w:id="52"/>
    </w:p>
    <w:p w14:paraId="5A8ADA67" w14:textId="77777777" w:rsidR="00D87AB1" w:rsidRDefault="00D87AB1" w:rsidP="00D87AB1">
      <w:pPr>
        <w:pStyle w:val="APVMAText"/>
        <w:rPr>
          <w:szCs w:val="20"/>
        </w:rPr>
      </w:pPr>
      <w:r w:rsidRPr="0087258C">
        <w:t>Frequency Herbicide</w:t>
      </w:r>
      <w:r>
        <w:t xml:space="preserve">, a </w:t>
      </w:r>
      <w:proofErr w:type="spellStart"/>
      <w:r>
        <w:t>suspo</w:t>
      </w:r>
      <w:proofErr w:type="spellEnd"/>
      <w:r>
        <w:t xml:space="preserve">-emulsion (SE) formulation containing 60g/L </w:t>
      </w:r>
      <w:proofErr w:type="spellStart"/>
      <w:r>
        <w:t>topramezone</w:t>
      </w:r>
      <w:proofErr w:type="spellEnd"/>
      <w:r>
        <w:t xml:space="preserve"> and 60 g/L </w:t>
      </w:r>
      <w:proofErr w:type="spellStart"/>
      <w:r>
        <w:t>cloquintocet-mexyl</w:t>
      </w:r>
      <w:proofErr w:type="spellEnd"/>
      <w:r>
        <w:t xml:space="preserve"> for the control of various weeds in cereals, is supported from a human health perspective. </w:t>
      </w:r>
      <w:r w:rsidRPr="0087258C">
        <w:t>Frequency Herbicide</w:t>
      </w:r>
      <w:r>
        <w:t xml:space="preserve"> can be used safely if used in accordance with the instructions and t</w:t>
      </w:r>
      <w:r>
        <w:rPr>
          <w:szCs w:val="20"/>
        </w:rPr>
        <w:t>he following first aid instructions, safety directions and re-entry statements that are recommended for the product label.</w:t>
      </w:r>
    </w:p>
    <w:p w14:paraId="2A803858" w14:textId="77777777" w:rsidR="00B05E81" w:rsidRDefault="00B05E81" w:rsidP="00B05E81">
      <w:pPr>
        <w:pStyle w:val="Heading3"/>
      </w:pPr>
      <w:r>
        <w:t>First aid instructions</w:t>
      </w:r>
    </w:p>
    <w:p w14:paraId="3E9E6728" w14:textId="34AD9B7D" w:rsidR="00D87AB1" w:rsidRDefault="00D87AB1" w:rsidP="00D87AB1">
      <w:pPr>
        <w:pStyle w:val="APVMAText"/>
      </w:pPr>
      <w:r>
        <w:t>If poisoning occurs, contact a doctor or Poisons Information Centre. Phone Australia 13</w:t>
      </w:r>
      <w:r w:rsidR="0017725B">
        <w:t xml:space="preserve"> </w:t>
      </w:r>
      <w:r>
        <w:t>11</w:t>
      </w:r>
      <w:r w:rsidR="0017725B">
        <w:t xml:space="preserve"> </w:t>
      </w:r>
      <w:r>
        <w:t xml:space="preserve">26; New Zealand 0800 764 766. </w:t>
      </w:r>
      <w:r w:rsidRPr="00C13AFB">
        <w:t>If swallowed, do NOT induce vomiting</w:t>
      </w:r>
      <w:r>
        <w:t>.</w:t>
      </w:r>
    </w:p>
    <w:p w14:paraId="1E043604" w14:textId="77777777" w:rsidR="00B05E81" w:rsidRDefault="00B05E81" w:rsidP="00B05E81">
      <w:pPr>
        <w:pStyle w:val="Heading3"/>
      </w:pPr>
      <w:r>
        <w:lastRenderedPageBreak/>
        <w:t>Safety directions</w:t>
      </w:r>
    </w:p>
    <w:p w14:paraId="5883BEE3" w14:textId="77777777" w:rsidR="00D87AB1" w:rsidRDefault="00D87AB1" w:rsidP="00D87AB1">
      <w:pPr>
        <w:pStyle w:val="APVMAText"/>
      </w:pPr>
      <w:r w:rsidRPr="00C13AFB">
        <w:t>Harmful if inhaled</w:t>
      </w:r>
      <w:r>
        <w:t xml:space="preserve">. </w:t>
      </w:r>
      <w:r w:rsidRPr="00C13AFB">
        <w:t>Will irritate the eyes and skin</w:t>
      </w:r>
      <w:r>
        <w:t xml:space="preserve">. </w:t>
      </w:r>
      <w:r w:rsidRPr="00C13AFB">
        <w:t>Repeated exposure may cause allergic disorders</w:t>
      </w:r>
      <w:r>
        <w:t xml:space="preserve">. </w:t>
      </w:r>
      <w:r w:rsidRPr="00C13AFB">
        <w:t>Avoid contact with eyes and skin</w:t>
      </w:r>
      <w:r>
        <w:t xml:space="preserve">. </w:t>
      </w:r>
      <w:r w:rsidRPr="007F0116">
        <w:rPr>
          <w:rFonts w:cs="Times New Roman"/>
        </w:rPr>
        <w:t xml:space="preserve">Do not inhale </w:t>
      </w:r>
      <w:r>
        <w:rPr>
          <w:rFonts w:cs="Times New Roman"/>
        </w:rPr>
        <w:t xml:space="preserve">vapour. </w:t>
      </w:r>
      <w:r w:rsidRPr="00C13AFB">
        <w:rPr>
          <w:rFonts w:cs="Times New Roman"/>
        </w:rPr>
        <w:t>If product on skin immediately wash area with soap and water</w:t>
      </w:r>
      <w:r>
        <w:rPr>
          <w:rFonts w:cs="Times New Roman"/>
        </w:rPr>
        <w:t xml:space="preserve">. </w:t>
      </w:r>
      <w:r w:rsidRPr="00A26832">
        <w:rPr>
          <w:rFonts w:cs="Times New Roman"/>
          <w:szCs w:val="20"/>
        </w:rPr>
        <w:t>If product in eyes, wash it out immediately with water</w:t>
      </w:r>
      <w:r>
        <w:rPr>
          <w:rFonts w:cs="Times New Roman"/>
          <w:szCs w:val="20"/>
        </w:rPr>
        <w:t xml:space="preserve">. </w:t>
      </w:r>
      <w:r w:rsidRPr="00C13AFB">
        <w:rPr>
          <w:rFonts w:cs="Times New Roman"/>
          <w:szCs w:val="20"/>
        </w:rPr>
        <w:t>When opening the container and preparing spray, wear cotton overalls buttoned to the neck and wrist (or equivalent clothing), elbow length chemical resistant gloves and face shield or goggles</w:t>
      </w:r>
      <w:r>
        <w:rPr>
          <w:rFonts w:cs="Times New Roman"/>
          <w:szCs w:val="20"/>
        </w:rPr>
        <w:t xml:space="preserve">. </w:t>
      </w:r>
      <w:r w:rsidRPr="00C13AFB">
        <w:rPr>
          <w:rFonts w:cs="Times New Roman"/>
          <w:szCs w:val="20"/>
        </w:rPr>
        <w:t xml:space="preserve">If applying by </w:t>
      </w:r>
      <w:proofErr w:type="spellStart"/>
      <w:r w:rsidRPr="00C13AFB">
        <w:rPr>
          <w:rFonts w:cs="Times New Roman"/>
          <w:szCs w:val="20"/>
        </w:rPr>
        <w:t>boomspray</w:t>
      </w:r>
      <w:proofErr w:type="spellEnd"/>
      <w:r w:rsidRPr="00C13AFB">
        <w:rPr>
          <w:rFonts w:cs="Times New Roman"/>
          <w:szCs w:val="20"/>
        </w:rPr>
        <w:t xml:space="preserve"> equipment (open cab) wear cotton overalls buttoned to the neck and wrist (or equivalent clothing)</w:t>
      </w:r>
      <w:r>
        <w:rPr>
          <w:rFonts w:cs="Times New Roman"/>
          <w:szCs w:val="20"/>
        </w:rPr>
        <w:t xml:space="preserve">. </w:t>
      </w:r>
      <w:r w:rsidRPr="00C13AFB">
        <w:rPr>
          <w:rFonts w:cs="Times New Roman"/>
          <w:szCs w:val="20"/>
        </w:rPr>
        <w:t>Wash hands after use. After each day use, wash gloves, face shield or goggles and contaminated clothing.</w:t>
      </w:r>
    </w:p>
    <w:p w14:paraId="26479CD6" w14:textId="49BABC5F" w:rsidR="00F27E0D" w:rsidRDefault="005B223E" w:rsidP="00B94649">
      <w:pPr>
        <w:pStyle w:val="Heading3"/>
      </w:pPr>
      <w:r>
        <w:t xml:space="preserve">Precautionary </w:t>
      </w:r>
      <w:r w:rsidR="0090196F">
        <w:t xml:space="preserve">(warning) </w:t>
      </w:r>
      <w:r>
        <w:t>statements</w:t>
      </w:r>
    </w:p>
    <w:p w14:paraId="7B02B339" w14:textId="77777777" w:rsidR="00D87AB1" w:rsidRDefault="00D87AB1" w:rsidP="00D87AB1">
      <w:pPr>
        <w:pStyle w:val="APVMAText"/>
        <w:sectPr w:rsidR="00D87AB1">
          <w:headerReference w:type="default" r:id="rId43"/>
          <w:pgSz w:w="11906" w:h="16838" w:code="9"/>
          <w:pgMar w:top="2835" w:right="1134" w:bottom="1134" w:left="1134" w:header="1701" w:footer="680" w:gutter="0"/>
          <w:cols w:space="708"/>
          <w:docGrid w:linePitch="360"/>
        </w:sectPr>
      </w:pPr>
      <w:r>
        <w:t>Do not allow ent</w:t>
      </w:r>
      <w:r w:rsidRPr="00C13AFB">
        <w:t>r</w:t>
      </w:r>
      <w:r>
        <w:t>y</w:t>
      </w:r>
      <w:r w:rsidRPr="00C13AFB">
        <w:t xml:space="preserve"> into treated areas until spray has dried. If prior entry is necessary wear cotton overalls buttoned to the neck and wrist (or equivalent clothing) and chemical resistant gloves. Clothing must be laundered after each day's use.</w:t>
      </w:r>
    </w:p>
    <w:p w14:paraId="2D79C1A6" w14:textId="77777777" w:rsidR="00F27E0D" w:rsidRDefault="00F27E0D">
      <w:pPr>
        <w:pStyle w:val="Heading1"/>
      </w:pPr>
      <w:bookmarkStart w:id="53" w:name="_Toc6472847"/>
      <w:r>
        <w:lastRenderedPageBreak/>
        <w:t>Environmental assessment</w:t>
      </w:r>
      <w:bookmarkEnd w:id="53"/>
    </w:p>
    <w:p w14:paraId="545DE42E" w14:textId="649E7019" w:rsidR="00D87AB1" w:rsidRPr="005A7B49" w:rsidRDefault="00D87AB1" w:rsidP="00D87AB1">
      <w:pPr>
        <w:pStyle w:val="InstructionalText"/>
        <w:rPr>
          <w:rFonts w:cs="Arial"/>
          <w:color w:val="auto"/>
          <w:sz w:val="20"/>
          <w:szCs w:val="20"/>
          <w:lang w:val="en-GB"/>
        </w:rPr>
      </w:pPr>
      <w:r w:rsidRPr="001856EC">
        <w:rPr>
          <w:rFonts w:cs="Arial"/>
          <w:color w:val="auto"/>
          <w:sz w:val="20"/>
          <w:szCs w:val="20"/>
        </w:rPr>
        <w:t>In considering the environmental safety of the proposed use of</w:t>
      </w:r>
      <w:r>
        <w:rPr>
          <w:rFonts w:cs="Arial"/>
          <w:color w:val="auto"/>
          <w:sz w:val="20"/>
          <w:szCs w:val="20"/>
        </w:rPr>
        <w:t xml:space="preserve"> Frequency Herbicide</w:t>
      </w:r>
      <w:r w:rsidRPr="001856EC">
        <w:rPr>
          <w:rFonts w:cs="Arial"/>
          <w:color w:val="auto"/>
          <w:sz w:val="20"/>
          <w:szCs w:val="20"/>
        </w:rPr>
        <w:t xml:space="preserve">, the APVMA had regard to the toxicity of the active constituent and its residues, including metabolites and degradation products, in relation to relevant organisms and ecosystems. A comprehensive environmental data package has been submitted for </w:t>
      </w:r>
      <w:proofErr w:type="spellStart"/>
      <w:r w:rsidRPr="001856EC">
        <w:rPr>
          <w:rFonts w:cs="Arial"/>
          <w:color w:val="auto"/>
          <w:sz w:val="20"/>
          <w:szCs w:val="20"/>
        </w:rPr>
        <w:t>topramezone</w:t>
      </w:r>
      <w:proofErr w:type="spellEnd"/>
      <w:r w:rsidRPr="001856EC">
        <w:rPr>
          <w:rFonts w:cs="Arial"/>
          <w:color w:val="auto"/>
          <w:sz w:val="20"/>
          <w:szCs w:val="20"/>
        </w:rPr>
        <w:t xml:space="preserve"> and a full risk c</w:t>
      </w:r>
      <w:r w:rsidR="00276C28">
        <w:rPr>
          <w:rFonts w:cs="Arial"/>
          <w:color w:val="auto"/>
          <w:sz w:val="20"/>
          <w:szCs w:val="20"/>
        </w:rPr>
        <w:t xml:space="preserve">haracterisation was conducted. </w:t>
      </w:r>
      <w:r w:rsidRPr="001856EC">
        <w:rPr>
          <w:rFonts w:cs="Arial"/>
          <w:color w:val="auto"/>
          <w:sz w:val="20"/>
          <w:szCs w:val="20"/>
        </w:rPr>
        <w:t>The reported endpoints for the proposed formulation include the contribut</w:t>
      </w:r>
      <w:r w:rsidR="000E3142">
        <w:rPr>
          <w:rFonts w:cs="Arial"/>
          <w:color w:val="auto"/>
          <w:sz w:val="20"/>
          <w:szCs w:val="20"/>
        </w:rPr>
        <w:t xml:space="preserve">ion from </w:t>
      </w:r>
      <w:proofErr w:type="spellStart"/>
      <w:r w:rsidR="000E3142">
        <w:rPr>
          <w:rFonts w:cs="Arial"/>
          <w:color w:val="auto"/>
          <w:sz w:val="20"/>
          <w:szCs w:val="20"/>
        </w:rPr>
        <w:t>cloquintocet-mexyl</w:t>
      </w:r>
      <w:proofErr w:type="spellEnd"/>
      <w:r w:rsidR="000E3142">
        <w:rPr>
          <w:rFonts w:cs="Arial"/>
          <w:color w:val="auto"/>
          <w:sz w:val="20"/>
          <w:szCs w:val="20"/>
        </w:rPr>
        <w:t xml:space="preserve"> (</w:t>
      </w:r>
      <w:proofErr w:type="spellStart"/>
      <w:r w:rsidR="000E3142">
        <w:rPr>
          <w:rFonts w:cs="Arial"/>
          <w:color w:val="auto"/>
          <w:sz w:val="20"/>
          <w:szCs w:val="20"/>
        </w:rPr>
        <w:t>ie</w:t>
      </w:r>
      <w:proofErr w:type="spellEnd"/>
      <w:r w:rsidRPr="001856EC">
        <w:rPr>
          <w:rFonts w:cs="Arial"/>
          <w:color w:val="auto"/>
          <w:sz w:val="20"/>
          <w:szCs w:val="20"/>
        </w:rPr>
        <w:t xml:space="preserve"> formulation endpoints are reported in terms of total active constituents or ‘</w:t>
      </w:r>
      <w:proofErr w:type="spellStart"/>
      <w:proofErr w:type="gramStart"/>
      <w:r w:rsidRPr="001856EC">
        <w:rPr>
          <w:rFonts w:cs="Arial"/>
          <w:color w:val="auto"/>
          <w:sz w:val="20"/>
          <w:szCs w:val="20"/>
        </w:rPr>
        <w:t>acs</w:t>
      </w:r>
      <w:proofErr w:type="spellEnd"/>
      <w:r w:rsidRPr="001856EC">
        <w:rPr>
          <w:rFonts w:cs="Arial"/>
          <w:color w:val="auto"/>
          <w:sz w:val="20"/>
          <w:szCs w:val="20"/>
        </w:rPr>
        <w:t>’</w:t>
      </w:r>
      <w:proofErr w:type="gramEnd"/>
      <w:r w:rsidRPr="005A7B49">
        <w:rPr>
          <w:rFonts w:cs="Arial"/>
          <w:color w:val="auto"/>
          <w:sz w:val="20"/>
          <w:szCs w:val="20"/>
        </w:rPr>
        <w:t>).</w:t>
      </w:r>
    </w:p>
    <w:p w14:paraId="0B88F3DC" w14:textId="77777777" w:rsidR="00F27E0D" w:rsidRDefault="00277F23" w:rsidP="00277F23">
      <w:pPr>
        <w:pStyle w:val="Heading2"/>
        <w:rPr>
          <w:lang w:val="en-GB"/>
        </w:rPr>
      </w:pPr>
      <w:bookmarkStart w:id="54" w:name="_Toc6472848"/>
      <w:r>
        <w:rPr>
          <w:lang w:val="en-GB"/>
        </w:rPr>
        <w:t>Fate and behaviour in the environment</w:t>
      </w:r>
      <w:bookmarkEnd w:id="54"/>
    </w:p>
    <w:p w14:paraId="1FFFF612" w14:textId="77777777" w:rsidR="00277F23" w:rsidRDefault="00277F23" w:rsidP="00277F23">
      <w:pPr>
        <w:pStyle w:val="Heading3"/>
        <w:rPr>
          <w:lang w:val="en-GB"/>
        </w:rPr>
      </w:pPr>
      <w:r>
        <w:rPr>
          <w:lang w:val="en-GB"/>
        </w:rPr>
        <w:t>Soil</w:t>
      </w:r>
    </w:p>
    <w:p w14:paraId="227BBDF3" w14:textId="6511A65E" w:rsidR="00D87AB1" w:rsidRPr="001856EC" w:rsidRDefault="00D87AB1" w:rsidP="00D87AB1">
      <w:pPr>
        <w:spacing w:before="240" w:after="240" w:line="280" w:lineRule="exact"/>
        <w:rPr>
          <w:rFonts w:cs="Arial"/>
        </w:rPr>
      </w:pPr>
      <w:proofErr w:type="spellStart"/>
      <w:r w:rsidRPr="001856EC">
        <w:rPr>
          <w:rFonts w:cs="Arial"/>
        </w:rPr>
        <w:t>Topramezone</w:t>
      </w:r>
      <w:proofErr w:type="spellEnd"/>
      <w:r w:rsidRPr="001856EC">
        <w:rPr>
          <w:rFonts w:cs="Arial"/>
        </w:rPr>
        <w:t xml:space="preserve"> and its metabolite M670H05, 3-(4</w:t>
      </w:r>
      <w:proofErr w:type="gramStart"/>
      <w:r w:rsidRPr="001856EC">
        <w:rPr>
          <w:rFonts w:cs="Arial"/>
        </w:rPr>
        <w:t>,5</w:t>
      </w:r>
      <w:proofErr w:type="gramEnd"/>
      <w:r w:rsidRPr="001856EC">
        <w:rPr>
          <w:rFonts w:cs="Arial"/>
        </w:rPr>
        <w:t>-dihydro-isoxazol-3-yl)-4-methanesulfonyl-2-methyl-benzoic acid, were determined to be the relevant residues in soil. Metabolite M670H05 was formed in laboratory aerobic degradation studies up to 19</w:t>
      </w:r>
      <w:r w:rsidR="00EA2FEF">
        <w:rPr>
          <w:rFonts w:cs="Arial"/>
        </w:rPr>
        <w:t xml:space="preserve"> per cent</w:t>
      </w:r>
      <w:r w:rsidRPr="001856EC">
        <w:rPr>
          <w:rFonts w:cs="Arial"/>
        </w:rPr>
        <w:t>, and it was detected in all field soil</w:t>
      </w:r>
      <w:r w:rsidR="00EA2FEF">
        <w:rPr>
          <w:rFonts w:cs="Arial"/>
        </w:rPr>
        <w:t xml:space="preserve"> dissipation studies up to 38 per cent.</w:t>
      </w:r>
    </w:p>
    <w:p w14:paraId="0032C569" w14:textId="77777777" w:rsidR="00D87AB1" w:rsidRPr="001856EC" w:rsidRDefault="00D87AB1" w:rsidP="00D87AB1">
      <w:pPr>
        <w:spacing w:before="240" w:after="240" w:line="280" w:lineRule="exact"/>
        <w:rPr>
          <w:rFonts w:cs="Arial"/>
        </w:rPr>
      </w:pPr>
      <w:proofErr w:type="spellStart"/>
      <w:r w:rsidRPr="001856EC">
        <w:rPr>
          <w:rFonts w:cs="Arial"/>
        </w:rPr>
        <w:t>Photodegradation</w:t>
      </w:r>
      <w:proofErr w:type="spellEnd"/>
      <w:r w:rsidRPr="001856EC">
        <w:rPr>
          <w:rFonts w:cs="Arial"/>
        </w:rPr>
        <w:t xml:space="preserve"> is not expected to be an important process in the degradation of </w:t>
      </w:r>
      <w:proofErr w:type="spellStart"/>
      <w:r w:rsidRPr="001856EC">
        <w:rPr>
          <w:rFonts w:cs="Arial"/>
        </w:rPr>
        <w:t>topramezone</w:t>
      </w:r>
      <w:proofErr w:type="spellEnd"/>
      <w:r w:rsidRPr="001856EC">
        <w:rPr>
          <w:rFonts w:cs="Arial"/>
        </w:rPr>
        <w:t xml:space="preserve"> in soil. No significant differences were observed between the irradiated and the dark control samples in laboratory trials.</w:t>
      </w:r>
    </w:p>
    <w:p w14:paraId="63771285" w14:textId="5894D4BD" w:rsidR="00D87AB1" w:rsidRDefault="00D87AB1" w:rsidP="00D87AB1">
      <w:pPr>
        <w:spacing w:before="240" w:after="240" w:line="280" w:lineRule="exact"/>
        <w:rPr>
          <w:rFonts w:cs="Arial"/>
        </w:rPr>
      </w:pPr>
      <w:r w:rsidRPr="001856EC">
        <w:rPr>
          <w:rFonts w:cs="Arial"/>
        </w:rPr>
        <w:t xml:space="preserve">The degradation of </w:t>
      </w:r>
      <w:proofErr w:type="spellStart"/>
      <w:r w:rsidRPr="001856EC">
        <w:rPr>
          <w:rFonts w:cs="Arial"/>
        </w:rPr>
        <w:t>topramezone</w:t>
      </w:r>
      <w:proofErr w:type="spellEnd"/>
      <w:r w:rsidRPr="001856EC">
        <w:rPr>
          <w:rFonts w:cs="Arial"/>
        </w:rPr>
        <w:t xml:space="preserve"> in soil is mainly a biological process under aerobic conditions. The primary step is an oxidative attack of the carbonyl group, which results in the formation of the metabolite M670H05. The mineralization of </w:t>
      </w:r>
      <w:proofErr w:type="spellStart"/>
      <w:r w:rsidRPr="001856EC">
        <w:rPr>
          <w:rFonts w:cs="Arial"/>
        </w:rPr>
        <w:t>topramezone</w:t>
      </w:r>
      <w:proofErr w:type="spellEnd"/>
      <w:r w:rsidRPr="001856EC">
        <w:rPr>
          <w:rFonts w:cs="Arial"/>
        </w:rPr>
        <w:t xml:space="preserve"> is low to moderate (up to 11</w:t>
      </w:r>
      <w:r w:rsidR="00EA2FEF">
        <w:rPr>
          <w:rFonts w:cs="Arial"/>
        </w:rPr>
        <w:t xml:space="preserve"> per cent</w:t>
      </w:r>
      <w:r w:rsidRPr="001856EC">
        <w:rPr>
          <w:rFonts w:cs="Arial"/>
        </w:rPr>
        <w:t xml:space="preserve"> AR after 120 days), with bound residues formed in moderate amounts (up to 36</w:t>
      </w:r>
      <w:r w:rsidR="00EA2FEF">
        <w:rPr>
          <w:rFonts w:cs="Arial"/>
        </w:rPr>
        <w:t xml:space="preserve"> per cent</w:t>
      </w:r>
      <w:r w:rsidRPr="001856EC">
        <w:rPr>
          <w:rFonts w:cs="Arial"/>
        </w:rPr>
        <w:t xml:space="preserve"> AR after 120 days) which were mainly associated to the </w:t>
      </w:r>
      <w:proofErr w:type="spellStart"/>
      <w:r w:rsidRPr="001856EC">
        <w:rPr>
          <w:rFonts w:cs="Arial"/>
        </w:rPr>
        <w:t>fulvic</w:t>
      </w:r>
      <w:proofErr w:type="spellEnd"/>
      <w:r w:rsidRPr="001856EC">
        <w:rPr>
          <w:rFonts w:cs="Arial"/>
        </w:rPr>
        <w:t xml:space="preserve"> acid fraction. Degradation of </w:t>
      </w:r>
      <w:proofErr w:type="spellStart"/>
      <w:r w:rsidRPr="001856EC">
        <w:rPr>
          <w:rFonts w:cs="Arial"/>
        </w:rPr>
        <w:t>topramezone</w:t>
      </w:r>
      <w:proofErr w:type="spellEnd"/>
      <w:r w:rsidRPr="001856EC">
        <w:rPr>
          <w:rFonts w:cs="Arial"/>
        </w:rPr>
        <w:t xml:space="preserve"> is slow and usually follows bi-phasic kinetics with non-normalised DT</w:t>
      </w:r>
      <w:r w:rsidRPr="001856EC">
        <w:rPr>
          <w:rFonts w:cs="Arial"/>
          <w:vertAlign w:val="subscript"/>
        </w:rPr>
        <w:t>50</w:t>
      </w:r>
      <w:r w:rsidRPr="001856EC">
        <w:rPr>
          <w:rFonts w:cs="Arial"/>
        </w:rPr>
        <w:t xml:space="preserve"> values ranging 85</w:t>
      </w:r>
      <w:r w:rsidR="002B04B9">
        <w:rPr>
          <w:rFonts w:cs="Arial"/>
        </w:rPr>
        <w:t>–</w:t>
      </w:r>
      <w:r w:rsidRPr="001856EC">
        <w:rPr>
          <w:rFonts w:cs="Arial"/>
        </w:rPr>
        <w:t>357 days (six laboratory soils) and 11</w:t>
      </w:r>
      <w:r w:rsidR="002B04B9">
        <w:rPr>
          <w:rFonts w:cs="Arial"/>
        </w:rPr>
        <w:t>–</w:t>
      </w:r>
      <w:r w:rsidRPr="001856EC">
        <w:rPr>
          <w:rFonts w:cs="Arial"/>
        </w:rPr>
        <w:t>69 days (seven European field sites). A soil DT</w:t>
      </w:r>
      <w:r w:rsidRPr="001856EC">
        <w:rPr>
          <w:rFonts w:cs="Arial"/>
          <w:vertAlign w:val="subscript"/>
        </w:rPr>
        <w:t>50</w:t>
      </w:r>
      <w:r w:rsidRPr="001856EC">
        <w:rPr>
          <w:rFonts w:cs="Arial"/>
        </w:rPr>
        <w:t xml:space="preserve"> of 77 days for </w:t>
      </w:r>
      <w:proofErr w:type="spellStart"/>
      <w:r w:rsidRPr="001856EC">
        <w:rPr>
          <w:rFonts w:cs="Arial"/>
        </w:rPr>
        <w:t>topramezone</w:t>
      </w:r>
      <w:proofErr w:type="spellEnd"/>
      <w:r w:rsidRPr="001856EC">
        <w:rPr>
          <w:rFonts w:cs="Arial"/>
        </w:rPr>
        <w:t xml:space="preserve"> was determined to be the key regulatory endpoint for risk assessment, which was based on the geometric mean of five field values (slow phase of DFOP kinetics) normalised to standard conditions (20°C, pF2).</w:t>
      </w:r>
    </w:p>
    <w:p w14:paraId="74EBC326" w14:textId="49B7306F" w:rsidR="00D87AB1" w:rsidRDefault="00D87AB1" w:rsidP="00D87AB1">
      <w:pPr>
        <w:spacing w:before="240" w:after="240" w:line="280" w:lineRule="exact"/>
        <w:rPr>
          <w:rFonts w:cs="Arial"/>
        </w:rPr>
      </w:pPr>
      <w:r w:rsidRPr="001856EC">
        <w:rPr>
          <w:rFonts w:cs="Arial"/>
        </w:rPr>
        <w:t xml:space="preserve">Under anaerobic conditions, the mineralisation of </w:t>
      </w:r>
      <w:proofErr w:type="spellStart"/>
      <w:r w:rsidRPr="001856EC">
        <w:rPr>
          <w:rFonts w:cs="Arial"/>
        </w:rPr>
        <w:t>topramezone</w:t>
      </w:r>
      <w:proofErr w:type="spellEnd"/>
      <w:r w:rsidRPr="001856EC">
        <w:rPr>
          <w:rFonts w:cs="Arial"/>
        </w:rPr>
        <w:t xml:space="preserve"> is negligible and large amounts of bound residues are formed (up to 72</w:t>
      </w:r>
      <w:r w:rsidR="00EA2FEF">
        <w:rPr>
          <w:rFonts w:cs="Arial"/>
        </w:rPr>
        <w:t xml:space="preserve"> per cent</w:t>
      </w:r>
      <w:r w:rsidRPr="001856EC">
        <w:rPr>
          <w:rFonts w:cs="Arial"/>
        </w:rPr>
        <w:t xml:space="preserve"> AR) which are mainly associated to </w:t>
      </w:r>
      <w:proofErr w:type="spellStart"/>
      <w:r w:rsidRPr="001856EC">
        <w:rPr>
          <w:rFonts w:cs="Arial"/>
        </w:rPr>
        <w:t>humin</w:t>
      </w:r>
      <w:proofErr w:type="spellEnd"/>
      <w:r w:rsidRPr="001856EC">
        <w:rPr>
          <w:rFonts w:cs="Arial"/>
        </w:rPr>
        <w:t xml:space="preserve">. The dissipation of </w:t>
      </w:r>
      <w:proofErr w:type="spellStart"/>
      <w:r w:rsidRPr="001856EC">
        <w:rPr>
          <w:rFonts w:cs="Arial"/>
        </w:rPr>
        <w:t>topramezone</w:t>
      </w:r>
      <w:proofErr w:type="spellEnd"/>
      <w:r w:rsidRPr="001856EC">
        <w:rPr>
          <w:rFonts w:cs="Arial"/>
        </w:rPr>
        <w:t xml:space="preserve"> followed first order kinetics under anaerobic conditions with DT</w:t>
      </w:r>
      <w:r w:rsidRPr="001856EC">
        <w:rPr>
          <w:rFonts w:cs="Arial"/>
          <w:vertAlign w:val="subscript"/>
        </w:rPr>
        <w:t>50</w:t>
      </w:r>
      <w:r w:rsidRPr="001856EC">
        <w:rPr>
          <w:rFonts w:cs="Arial"/>
        </w:rPr>
        <w:t xml:space="preserve"> values ranging 22</w:t>
      </w:r>
      <w:r w:rsidR="00A459D7">
        <w:rPr>
          <w:rFonts w:cs="Arial"/>
        </w:rPr>
        <w:t>–</w:t>
      </w:r>
      <w:r w:rsidRPr="001856EC">
        <w:rPr>
          <w:rFonts w:cs="Arial"/>
        </w:rPr>
        <w:t>28 days (two laboratory soils) which is mainly due to formation of bound residues rather than biodegradation.</w:t>
      </w:r>
    </w:p>
    <w:p w14:paraId="32EEDF27" w14:textId="66D90D23" w:rsidR="00D87AB1" w:rsidRPr="001856EC" w:rsidRDefault="00D87AB1" w:rsidP="00D87AB1">
      <w:pPr>
        <w:spacing w:before="240" w:after="240" w:line="280" w:lineRule="exact"/>
        <w:rPr>
          <w:rFonts w:cs="Arial"/>
        </w:rPr>
      </w:pPr>
      <w:r w:rsidRPr="001856EC">
        <w:rPr>
          <w:rFonts w:cs="Arial"/>
        </w:rPr>
        <w:t xml:space="preserve">Adsorption of </w:t>
      </w:r>
      <w:proofErr w:type="spellStart"/>
      <w:r w:rsidRPr="001856EC">
        <w:rPr>
          <w:rFonts w:cs="Arial"/>
        </w:rPr>
        <w:t>topramezone</w:t>
      </w:r>
      <w:proofErr w:type="spellEnd"/>
      <w:r w:rsidRPr="001856EC">
        <w:rPr>
          <w:rFonts w:cs="Arial"/>
        </w:rPr>
        <w:t xml:space="preserve"> to soil is moderate with </w:t>
      </w:r>
      <w:proofErr w:type="spellStart"/>
      <w:r w:rsidRPr="001856EC">
        <w:rPr>
          <w:rFonts w:cs="Arial"/>
        </w:rPr>
        <w:t>K</w:t>
      </w:r>
      <w:r w:rsidRPr="001856EC">
        <w:rPr>
          <w:rFonts w:cs="Arial"/>
          <w:vertAlign w:val="subscript"/>
        </w:rPr>
        <w:t>f</w:t>
      </w:r>
      <w:proofErr w:type="gramStart"/>
      <w:r w:rsidRPr="001856EC">
        <w:rPr>
          <w:rFonts w:cs="Arial"/>
          <w:vertAlign w:val="subscript"/>
        </w:rPr>
        <w:t>,oc</w:t>
      </w:r>
      <w:proofErr w:type="spellEnd"/>
      <w:proofErr w:type="gramEnd"/>
      <w:r w:rsidRPr="001856EC">
        <w:rPr>
          <w:rFonts w:cs="Arial"/>
        </w:rPr>
        <w:t xml:space="preserve"> values ranging 15</w:t>
      </w:r>
      <w:r w:rsidR="002B04B9">
        <w:rPr>
          <w:rFonts w:cs="Arial"/>
        </w:rPr>
        <w:t>–</w:t>
      </w:r>
      <w:r w:rsidRPr="001856EC">
        <w:rPr>
          <w:rFonts w:cs="Arial"/>
        </w:rPr>
        <w:t xml:space="preserve">297 L/kg (14 soils). Supplementary measurements at only one concentration on six other soil samples, gave </w:t>
      </w:r>
      <w:proofErr w:type="spellStart"/>
      <w:proofErr w:type="gramStart"/>
      <w:r w:rsidRPr="001856EC">
        <w:rPr>
          <w:rFonts w:cs="Arial"/>
        </w:rPr>
        <w:t>K</w:t>
      </w:r>
      <w:r w:rsidRPr="001856EC">
        <w:rPr>
          <w:rFonts w:cs="Arial"/>
          <w:vertAlign w:val="subscript"/>
        </w:rPr>
        <w:t>d</w:t>
      </w:r>
      <w:proofErr w:type="spellEnd"/>
      <w:proofErr w:type="gramEnd"/>
      <w:r w:rsidRPr="001856EC">
        <w:rPr>
          <w:rFonts w:cs="Arial"/>
        </w:rPr>
        <w:t xml:space="preserve"> values which are in line with these </w:t>
      </w:r>
      <w:proofErr w:type="spellStart"/>
      <w:r w:rsidRPr="001856EC">
        <w:rPr>
          <w:rFonts w:cs="Arial"/>
        </w:rPr>
        <w:t>K</w:t>
      </w:r>
      <w:r w:rsidRPr="001856EC">
        <w:rPr>
          <w:rFonts w:cs="Arial"/>
          <w:vertAlign w:val="subscript"/>
        </w:rPr>
        <w:t>f</w:t>
      </w:r>
      <w:proofErr w:type="spellEnd"/>
      <w:r w:rsidRPr="001856EC">
        <w:rPr>
          <w:rFonts w:cs="Arial"/>
        </w:rPr>
        <w:t xml:space="preserve"> values. A pH dependence was observed in a sigmoidal function with adsorption increasing when pH decreases. A </w:t>
      </w:r>
      <w:proofErr w:type="spellStart"/>
      <w:r w:rsidRPr="001856EC">
        <w:rPr>
          <w:rFonts w:cs="Arial"/>
        </w:rPr>
        <w:t>K</w:t>
      </w:r>
      <w:r w:rsidRPr="001856EC">
        <w:rPr>
          <w:rFonts w:cs="Arial"/>
          <w:vertAlign w:val="subscript"/>
        </w:rPr>
        <w:t>d</w:t>
      </w:r>
      <w:proofErr w:type="spellEnd"/>
      <w:r w:rsidRPr="001856EC">
        <w:rPr>
          <w:rFonts w:cs="Arial"/>
        </w:rPr>
        <w:t xml:space="preserve"> of 0.33 L/kg for </w:t>
      </w:r>
      <w:proofErr w:type="spellStart"/>
      <w:r w:rsidRPr="001856EC">
        <w:rPr>
          <w:rFonts w:cs="Arial"/>
        </w:rPr>
        <w:t>topramezone</w:t>
      </w:r>
      <w:proofErr w:type="spellEnd"/>
      <w:r w:rsidRPr="001856EC">
        <w:rPr>
          <w:rFonts w:cs="Arial"/>
        </w:rPr>
        <w:t xml:space="preserve"> was determined to be the key regulatory endpoint for risk assessment, whi</w:t>
      </w:r>
      <w:r w:rsidR="00A459D7">
        <w:rPr>
          <w:rFonts w:cs="Arial"/>
        </w:rPr>
        <w:t>ch was the predicted value for one</w:t>
      </w:r>
      <w:r w:rsidR="00EA2FEF">
        <w:rPr>
          <w:rFonts w:cs="Arial"/>
        </w:rPr>
        <w:t xml:space="preserve"> per cent</w:t>
      </w:r>
      <w:r w:rsidRPr="001856EC">
        <w:rPr>
          <w:rFonts w:cs="Arial"/>
        </w:rPr>
        <w:t xml:space="preserve"> OC based on regression of </w:t>
      </w:r>
      <w:proofErr w:type="spellStart"/>
      <w:r w:rsidRPr="001856EC">
        <w:rPr>
          <w:rFonts w:cs="Arial"/>
        </w:rPr>
        <w:t>K</w:t>
      </w:r>
      <w:r w:rsidRPr="001856EC">
        <w:rPr>
          <w:rFonts w:cs="Arial"/>
          <w:vertAlign w:val="subscript"/>
        </w:rPr>
        <w:t>f</w:t>
      </w:r>
      <w:proofErr w:type="spellEnd"/>
      <w:r w:rsidRPr="001856EC">
        <w:rPr>
          <w:rFonts w:cs="Arial"/>
        </w:rPr>
        <w:t xml:space="preserve"> and </w:t>
      </w:r>
      <w:proofErr w:type="spellStart"/>
      <w:r w:rsidRPr="001856EC">
        <w:rPr>
          <w:rFonts w:cs="Arial"/>
        </w:rPr>
        <w:t>K</w:t>
      </w:r>
      <w:r w:rsidRPr="001856EC">
        <w:rPr>
          <w:rFonts w:cs="Arial"/>
          <w:vertAlign w:val="subscript"/>
        </w:rPr>
        <w:t>d</w:t>
      </w:r>
      <w:proofErr w:type="spellEnd"/>
      <w:r w:rsidRPr="001856EC">
        <w:rPr>
          <w:rFonts w:cs="Arial"/>
        </w:rPr>
        <w:t xml:space="preserve"> values of 12 soils with pH &gt;6.7.</w:t>
      </w:r>
    </w:p>
    <w:p w14:paraId="6A6E6319" w14:textId="77777777" w:rsidR="00D87AB1" w:rsidRPr="001856EC" w:rsidRDefault="00D87AB1" w:rsidP="00D87AB1">
      <w:pPr>
        <w:spacing w:before="240" w:after="240" w:line="280" w:lineRule="exact"/>
        <w:rPr>
          <w:rFonts w:cs="Arial"/>
        </w:rPr>
      </w:pPr>
      <w:r w:rsidRPr="001856EC">
        <w:rPr>
          <w:rFonts w:cs="Arial"/>
        </w:rPr>
        <w:lastRenderedPageBreak/>
        <w:t xml:space="preserve">The leaching behaviour of </w:t>
      </w:r>
      <w:proofErr w:type="spellStart"/>
      <w:r w:rsidRPr="001856EC">
        <w:rPr>
          <w:rFonts w:cs="Arial"/>
        </w:rPr>
        <w:t>topramezone</w:t>
      </w:r>
      <w:proofErr w:type="spellEnd"/>
      <w:r w:rsidRPr="001856EC">
        <w:rPr>
          <w:rFonts w:cs="Arial"/>
        </w:rPr>
        <w:t xml:space="preserve"> was studied at two field sites in Germany, from May 2000 to May 2005. Following applications of 75 g ac/ha or 2× 50 g ac/ha (one year apart), </w:t>
      </w:r>
      <w:proofErr w:type="spellStart"/>
      <w:r w:rsidRPr="001856EC">
        <w:rPr>
          <w:rFonts w:cs="Arial"/>
        </w:rPr>
        <w:t>topramezone</w:t>
      </w:r>
      <w:proofErr w:type="spellEnd"/>
      <w:r w:rsidRPr="001856EC">
        <w:rPr>
          <w:rFonts w:cs="Arial"/>
        </w:rPr>
        <w:t xml:space="preserve"> was detected in the groundwater at only few sampling dates, with measured mean concentrations over the entire field never exceeding 0.061 µg ac/L; but some concentrations higher than 0.10 µg ac/L were occasionally measured in individual wells. Considering the low application rate of </w:t>
      </w:r>
      <w:proofErr w:type="spellStart"/>
      <w:r w:rsidRPr="001856EC">
        <w:rPr>
          <w:rFonts w:cs="Arial"/>
        </w:rPr>
        <w:t>topramezone</w:t>
      </w:r>
      <w:proofErr w:type="spellEnd"/>
      <w:r w:rsidRPr="001856EC">
        <w:rPr>
          <w:rFonts w:cs="Arial"/>
        </w:rPr>
        <w:t xml:space="preserve"> in Australia (12 g ac/ha) and low occurrence of detections in groundwater in the field leaching trials, the risk of contaminating groundwater is considered to be low.</w:t>
      </w:r>
    </w:p>
    <w:p w14:paraId="5E977C82" w14:textId="64B0E995" w:rsidR="00D87AB1" w:rsidRDefault="00D87AB1" w:rsidP="00D87AB1">
      <w:pPr>
        <w:pStyle w:val="APVMAText"/>
        <w:rPr>
          <w:lang w:val="en-GB"/>
        </w:rPr>
      </w:pPr>
      <w:r w:rsidRPr="001856EC">
        <w:t>The dissipation of the metabolite M670H05 in soil followed first-order kinetics with DT</w:t>
      </w:r>
      <w:r w:rsidRPr="001856EC">
        <w:rPr>
          <w:vertAlign w:val="subscript"/>
        </w:rPr>
        <w:t>50</w:t>
      </w:r>
      <w:r w:rsidRPr="001856EC">
        <w:t xml:space="preserve"> values of 54 days (one aerobic laboratory soil) and 25</w:t>
      </w:r>
      <w:r w:rsidR="002B04B9">
        <w:t>–</w:t>
      </w:r>
      <w:r w:rsidRPr="001856EC">
        <w:t>75 days (seven European field sites). When normalised to standard conditions (20°C, pF2), the geometric mean of five field DT</w:t>
      </w:r>
      <w:r w:rsidRPr="001856EC">
        <w:rPr>
          <w:vertAlign w:val="subscript"/>
        </w:rPr>
        <w:t>50</w:t>
      </w:r>
      <w:r w:rsidRPr="001856EC">
        <w:t xml:space="preserve"> values was 29 days. The adsorption of metabolite M670H05 to soil is extremely low, nearly 0 in some soils. In the field leaching studies, it was detected more frequently in the groundwater than </w:t>
      </w:r>
      <w:proofErr w:type="spellStart"/>
      <w:r w:rsidRPr="001856EC">
        <w:t>topramezone</w:t>
      </w:r>
      <w:proofErr w:type="spellEnd"/>
      <w:r w:rsidRPr="001856EC">
        <w:t xml:space="preserve">; the mean concentrations were mostly lower than 0.10 µg/L but some individual samples measured up to 0.43 µg/L. Considering the low application rate of </w:t>
      </w:r>
      <w:proofErr w:type="spellStart"/>
      <w:r w:rsidRPr="001856EC">
        <w:t>topramezone</w:t>
      </w:r>
      <w:proofErr w:type="spellEnd"/>
      <w:r w:rsidRPr="001856EC">
        <w:t xml:space="preserve"> in Australia (12 g ac/ha) relative to the rates tested in the field leaching studies, the risk of metabolite M670H05 contaminating is considered to be low.</w:t>
      </w:r>
    </w:p>
    <w:p w14:paraId="5F53719A" w14:textId="77777777" w:rsidR="00277F23" w:rsidRDefault="00277F23" w:rsidP="00277F23">
      <w:pPr>
        <w:pStyle w:val="Heading3"/>
        <w:rPr>
          <w:lang w:val="en-GB"/>
        </w:rPr>
      </w:pPr>
      <w:r>
        <w:rPr>
          <w:lang w:val="en-GB"/>
        </w:rPr>
        <w:t>Water</w:t>
      </w:r>
    </w:p>
    <w:p w14:paraId="238A6250" w14:textId="59E84F61" w:rsidR="00D87AB1" w:rsidRPr="001856EC" w:rsidRDefault="00D87AB1" w:rsidP="00D87AB1">
      <w:pPr>
        <w:spacing w:before="240" w:after="240" w:line="280" w:lineRule="exact"/>
        <w:rPr>
          <w:rFonts w:cs="Arial"/>
        </w:rPr>
      </w:pPr>
      <w:proofErr w:type="spellStart"/>
      <w:r w:rsidRPr="001856EC">
        <w:rPr>
          <w:rFonts w:cs="Arial"/>
        </w:rPr>
        <w:t>Topramezone</w:t>
      </w:r>
      <w:proofErr w:type="spellEnd"/>
      <w:r w:rsidRPr="001856EC">
        <w:rPr>
          <w:rFonts w:cs="Arial"/>
        </w:rPr>
        <w:t xml:space="preserve"> and its metabolites M670H05 and M670H01, [3-cyano-4-methanesulfonyl-2-methylphenyl]-(5-hydroxy-1-methyl-1H-pyrazol-4-yl)-methanone, were determined to be the relevant residues in aquatic systems. Metabolite M670H05 and M670H01 could be formed in significant amounts in water, depending on the conditions. M670H05 formed up to 51</w:t>
      </w:r>
      <w:r w:rsidR="00EA2FEF">
        <w:rPr>
          <w:rFonts w:cs="Arial"/>
        </w:rPr>
        <w:t xml:space="preserve"> per cent</w:t>
      </w:r>
      <w:r w:rsidRPr="001856EC">
        <w:rPr>
          <w:rFonts w:cs="Arial"/>
        </w:rPr>
        <w:t xml:space="preserve"> in water under outdoor conditions, and M670H01 for</w:t>
      </w:r>
      <w:r w:rsidR="00EA2FEF">
        <w:rPr>
          <w:rFonts w:cs="Arial"/>
        </w:rPr>
        <w:t>med up to 10 per cent</w:t>
      </w:r>
      <w:r w:rsidRPr="001856EC">
        <w:rPr>
          <w:rFonts w:cs="Arial"/>
        </w:rPr>
        <w:t xml:space="preserve"> in sediment under dark conditions.</w:t>
      </w:r>
    </w:p>
    <w:p w14:paraId="37949653" w14:textId="7930D2E1" w:rsidR="00D87AB1" w:rsidRPr="001856EC" w:rsidRDefault="00D87AB1" w:rsidP="00D87AB1">
      <w:proofErr w:type="spellStart"/>
      <w:r w:rsidRPr="001856EC">
        <w:t>Topramezone</w:t>
      </w:r>
      <w:proofErr w:type="spellEnd"/>
      <w:r w:rsidRPr="001856EC">
        <w:t xml:space="preserve"> is hydrolytically stable. When exposed to the light, </w:t>
      </w:r>
      <w:proofErr w:type="spellStart"/>
      <w:r w:rsidRPr="001856EC">
        <w:t>topramezone</w:t>
      </w:r>
      <w:proofErr w:type="spellEnd"/>
      <w:r w:rsidRPr="001856EC">
        <w:t xml:space="preserve"> was stable in sterile buffer solution but showed a s</w:t>
      </w:r>
      <w:r w:rsidR="00EA2FEF">
        <w:t>low degradation in a sample of ‘</w:t>
      </w:r>
      <w:r w:rsidRPr="001856EC">
        <w:t>natural water</w:t>
      </w:r>
      <w:r w:rsidR="00EA2FEF">
        <w:t>’</w:t>
      </w:r>
      <w:r w:rsidRPr="001856EC">
        <w:t xml:space="preserve">, which indicate that some dissolved </w:t>
      </w:r>
      <w:proofErr w:type="spellStart"/>
      <w:r w:rsidRPr="001856EC">
        <w:t>photosensitizers</w:t>
      </w:r>
      <w:proofErr w:type="spellEnd"/>
      <w:r w:rsidRPr="001856EC">
        <w:t xml:space="preserve"> might enhance the degradation in water.</w:t>
      </w:r>
    </w:p>
    <w:p w14:paraId="59D0EF19" w14:textId="71DA4581" w:rsidR="00D87AB1" w:rsidRDefault="00D87AB1" w:rsidP="00D87AB1">
      <w:pPr>
        <w:spacing w:before="240" w:after="240" w:line="280" w:lineRule="exact"/>
        <w:rPr>
          <w:rFonts w:cs="Arial"/>
        </w:rPr>
      </w:pPr>
      <w:r w:rsidRPr="001856EC">
        <w:rPr>
          <w:rFonts w:cs="Arial"/>
        </w:rPr>
        <w:t xml:space="preserve">In two water-sediment degradation systems under dark aerobic conditions, the dissipation of </w:t>
      </w:r>
      <w:proofErr w:type="spellStart"/>
      <w:r w:rsidRPr="001856EC">
        <w:rPr>
          <w:rFonts w:cs="Arial"/>
        </w:rPr>
        <w:t>topramezone</w:t>
      </w:r>
      <w:proofErr w:type="spellEnd"/>
      <w:r w:rsidRPr="001856EC">
        <w:rPr>
          <w:rFonts w:cs="Arial"/>
        </w:rPr>
        <w:t xml:space="preserve"> from water was mainly by transfer to the sediment and formation of bound residues. Up to </w:t>
      </w:r>
      <w:r w:rsidR="00EA2FEF">
        <w:rPr>
          <w:rFonts w:cs="Arial"/>
        </w:rPr>
        <w:t>39 per cent</w:t>
      </w:r>
      <w:r w:rsidRPr="001856EC">
        <w:rPr>
          <w:rFonts w:cs="Arial"/>
        </w:rPr>
        <w:t xml:space="preserve"> of applied </w:t>
      </w:r>
      <w:proofErr w:type="spellStart"/>
      <w:r w:rsidRPr="001856EC">
        <w:rPr>
          <w:rFonts w:cs="Arial"/>
        </w:rPr>
        <w:t>topramezone</w:t>
      </w:r>
      <w:proofErr w:type="spellEnd"/>
      <w:r w:rsidRPr="001856EC">
        <w:rPr>
          <w:rFonts w:cs="Arial"/>
        </w:rPr>
        <w:t xml:space="preserve"> partitioned to sediment, with the amount o</w:t>
      </w:r>
      <w:r w:rsidR="00EA2FEF">
        <w:rPr>
          <w:rFonts w:cs="Arial"/>
        </w:rPr>
        <w:t>f bound residues (ranging 10</w:t>
      </w:r>
      <w:r w:rsidR="002B04B9">
        <w:rPr>
          <w:rFonts w:cs="Arial"/>
        </w:rPr>
        <w:t>–</w:t>
      </w:r>
      <w:r w:rsidR="00EA2FEF">
        <w:rPr>
          <w:rFonts w:cs="Arial"/>
        </w:rPr>
        <w:t>79 per cent</w:t>
      </w:r>
      <w:r w:rsidRPr="001856EC">
        <w:rPr>
          <w:rFonts w:cs="Arial"/>
        </w:rPr>
        <w:t xml:space="preserve"> AR) being highly dependent on the clay and organic carbon conte</w:t>
      </w:r>
      <w:r w:rsidR="00EA2FEF">
        <w:rPr>
          <w:rFonts w:cs="Arial"/>
        </w:rPr>
        <w:t>nt. Mineralization is low (&lt;1.5 per cent</w:t>
      </w:r>
      <w:r w:rsidRPr="001856EC">
        <w:rPr>
          <w:rFonts w:cs="Arial"/>
        </w:rPr>
        <w:t xml:space="preserve"> AR) with M670H01 being the only major metabolite up to 10</w:t>
      </w:r>
      <w:r w:rsidR="00EA2FEF">
        <w:rPr>
          <w:rFonts w:cs="Arial"/>
        </w:rPr>
        <w:t xml:space="preserve"> per cent</w:t>
      </w:r>
      <w:r w:rsidRPr="001856EC">
        <w:rPr>
          <w:rFonts w:cs="Arial"/>
        </w:rPr>
        <w:t xml:space="preserve"> in the sediment of high clay and organic carbon content. The geometric mean DT</w:t>
      </w:r>
      <w:r w:rsidRPr="001856EC">
        <w:rPr>
          <w:rFonts w:cs="Arial"/>
          <w:vertAlign w:val="subscript"/>
        </w:rPr>
        <w:t>50</w:t>
      </w:r>
      <w:r w:rsidRPr="001856EC">
        <w:rPr>
          <w:rFonts w:cs="Arial"/>
        </w:rPr>
        <w:t xml:space="preserve"> values for </w:t>
      </w:r>
      <w:proofErr w:type="spellStart"/>
      <w:r w:rsidRPr="001856EC">
        <w:rPr>
          <w:rFonts w:cs="Arial"/>
        </w:rPr>
        <w:t>topramezone</w:t>
      </w:r>
      <w:proofErr w:type="spellEnd"/>
      <w:r w:rsidRPr="001856EC">
        <w:rPr>
          <w:rFonts w:cs="Arial"/>
        </w:rPr>
        <w:t xml:space="preserve"> under dark laboratory conditions were 9.5 days in the water phase (first-order kinetics), 52 days in the sediment (first-order kinetics), and 78 days in the whole system (slow phase of bi-phasic kinetic model). The whole system DT</w:t>
      </w:r>
      <w:r w:rsidRPr="001856EC">
        <w:rPr>
          <w:rFonts w:cs="Arial"/>
          <w:vertAlign w:val="subscript"/>
        </w:rPr>
        <w:t>50</w:t>
      </w:r>
      <w:r w:rsidRPr="001856EC">
        <w:rPr>
          <w:rFonts w:cs="Arial"/>
        </w:rPr>
        <w:t xml:space="preserve"> of 78 days for </w:t>
      </w:r>
      <w:proofErr w:type="spellStart"/>
      <w:r w:rsidRPr="001856EC">
        <w:rPr>
          <w:rFonts w:cs="Arial"/>
        </w:rPr>
        <w:t>topramezone</w:t>
      </w:r>
      <w:proofErr w:type="spellEnd"/>
      <w:r w:rsidRPr="001856EC">
        <w:rPr>
          <w:rFonts w:cs="Arial"/>
        </w:rPr>
        <w:t xml:space="preserve"> was determined to be the key regulatory endpoint for risk assessment. A DT</w:t>
      </w:r>
      <w:r w:rsidRPr="001856EC">
        <w:rPr>
          <w:rFonts w:cs="Arial"/>
          <w:vertAlign w:val="subscript"/>
        </w:rPr>
        <w:t>50</w:t>
      </w:r>
      <w:r w:rsidRPr="001856EC">
        <w:rPr>
          <w:rFonts w:cs="Arial"/>
        </w:rPr>
        <w:t xml:space="preserve"> of 180 days was determined for metabolite M670H01 in the water phase.</w:t>
      </w:r>
    </w:p>
    <w:p w14:paraId="3B592DCB" w14:textId="5E2B0B78" w:rsidR="00D87AB1" w:rsidRPr="001856EC" w:rsidRDefault="00D87AB1" w:rsidP="00D87AB1">
      <w:pPr>
        <w:spacing w:before="240" w:after="240" w:line="280" w:lineRule="exact"/>
        <w:rPr>
          <w:rFonts w:cs="Arial"/>
        </w:rPr>
      </w:pPr>
      <w:r w:rsidRPr="001856EC">
        <w:rPr>
          <w:rFonts w:cs="Arial"/>
        </w:rPr>
        <w:t>A complementary water-sediment study was performed under outdoor conditions, with the natural variations of light and temperature from August to November in Germany. The metabolite M670H01 was formed in minor amounts, but high amounts of M670H05 were formed up to 51</w:t>
      </w:r>
      <w:r w:rsidR="00EA2FEF">
        <w:rPr>
          <w:rFonts w:cs="Arial"/>
        </w:rPr>
        <w:t xml:space="preserve"> per cent</w:t>
      </w:r>
      <w:r w:rsidRPr="001856EC">
        <w:rPr>
          <w:rFonts w:cs="Arial"/>
        </w:rPr>
        <w:t xml:space="preserve">. The results clearly indicate that the </w:t>
      </w:r>
      <w:proofErr w:type="spellStart"/>
      <w:r w:rsidRPr="001856EC">
        <w:rPr>
          <w:rFonts w:cs="Arial"/>
        </w:rPr>
        <w:t>photodegradation</w:t>
      </w:r>
      <w:proofErr w:type="spellEnd"/>
      <w:r w:rsidRPr="001856EC">
        <w:rPr>
          <w:rFonts w:cs="Arial"/>
        </w:rPr>
        <w:t xml:space="preserve"> of the active substance in water is likely, resulting in significant amounts of acid metabolite. The DT</w:t>
      </w:r>
      <w:r w:rsidRPr="001856EC">
        <w:rPr>
          <w:rFonts w:cs="Arial"/>
          <w:vertAlign w:val="subscript"/>
        </w:rPr>
        <w:t>50</w:t>
      </w:r>
      <w:r w:rsidRPr="001856EC">
        <w:rPr>
          <w:rFonts w:cs="Arial"/>
        </w:rPr>
        <w:t xml:space="preserve"> values of </w:t>
      </w:r>
      <w:proofErr w:type="spellStart"/>
      <w:r w:rsidRPr="001856EC">
        <w:rPr>
          <w:rFonts w:cs="Arial"/>
        </w:rPr>
        <w:t>topramezone</w:t>
      </w:r>
      <w:proofErr w:type="spellEnd"/>
      <w:r w:rsidRPr="001856EC">
        <w:rPr>
          <w:rFonts w:cs="Arial"/>
        </w:rPr>
        <w:t xml:space="preserve"> under outdoor conditions were 62 days in the water phase (</w:t>
      </w:r>
      <w:proofErr w:type="spellStart"/>
      <w:r w:rsidRPr="001856EC">
        <w:rPr>
          <w:rFonts w:cs="Arial"/>
        </w:rPr>
        <w:t>geomean</w:t>
      </w:r>
      <w:proofErr w:type="spellEnd"/>
      <w:r w:rsidRPr="001856EC">
        <w:rPr>
          <w:rFonts w:cs="Arial"/>
        </w:rPr>
        <w:t xml:space="preserve"> of two radiolabels based on slow phase), 179 days in the sediment (phenyl radiolabel, first-order), </w:t>
      </w:r>
      <w:r w:rsidRPr="001856EC">
        <w:rPr>
          <w:rFonts w:cs="Arial"/>
        </w:rPr>
        <w:lastRenderedPageBreak/>
        <w:t>and 79 days in the whole system (</w:t>
      </w:r>
      <w:proofErr w:type="spellStart"/>
      <w:r w:rsidRPr="001856EC">
        <w:rPr>
          <w:rFonts w:cs="Arial"/>
        </w:rPr>
        <w:t>geomean</w:t>
      </w:r>
      <w:proofErr w:type="spellEnd"/>
      <w:r w:rsidRPr="001856EC">
        <w:rPr>
          <w:rFonts w:cs="Arial"/>
        </w:rPr>
        <w:t xml:space="preserve"> of two radiolabels, first-order). The DT</w:t>
      </w:r>
      <w:r w:rsidRPr="001856EC">
        <w:rPr>
          <w:rFonts w:cs="Arial"/>
          <w:vertAlign w:val="subscript"/>
        </w:rPr>
        <w:t>50</w:t>
      </w:r>
      <w:r w:rsidRPr="001856EC">
        <w:rPr>
          <w:rFonts w:cs="Arial"/>
        </w:rPr>
        <w:t xml:space="preserve"> value for metabolite M670H05 was 180 days in the water phase (first-order kinetics).</w:t>
      </w:r>
    </w:p>
    <w:p w14:paraId="0F59770E" w14:textId="77777777" w:rsidR="008F730B" w:rsidRDefault="008F730B" w:rsidP="008F730B">
      <w:pPr>
        <w:pStyle w:val="Heading3"/>
        <w:rPr>
          <w:lang w:val="en-GB"/>
        </w:rPr>
      </w:pPr>
      <w:r>
        <w:rPr>
          <w:lang w:val="en-GB"/>
        </w:rPr>
        <w:t>Air</w:t>
      </w:r>
    </w:p>
    <w:p w14:paraId="0A6C2DEE" w14:textId="2AE7D3A8" w:rsidR="00D87AB1" w:rsidRPr="00CA5511" w:rsidRDefault="00A459D7" w:rsidP="00D87AB1">
      <w:pPr>
        <w:spacing w:before="240" w:after="240" w:line="280" w:lineRule="exact"/>
        <w:rPr>
          <w:rFonts w:cs="Arial"/>
        </w:rPr>
      </w:pPr>
      <w:r>
        <w:rPr>
          <w:rFonts w:cs="Arial"/>
        </w:rPr>
        <w:t>After 24 hours, less than two</w:t>
      </w:r>
      <w:r w:rsidR="00EA2FEF">
        <w:rPr>
          <w:rFonts w:cs="Arial"/>
        </w:rPr>
        <w:t xml:space="preserve"> per cent</w:t>
      </w:r>
      <w:r w:rsidR="00D87AB1" w:rsidRPr="00CA5511">
        <w:rPr>
          <w:rFonts w:cs="Arial"/>
        </w:rPr>
        <w:t xml:space="preserve"> of </w:t>
      </w:r>
      <w:proofErr w:type="spellStart"/>
      <w:r w:rsidR="00D87AB1" w:rsidRPr="00CA5511">
        <w:rPr>
          <w:rFonts w:cs="Arial"/>
        </w:rPr>
        <w:t>topramezone</w:t>
      </w:r>
      <w:proofErr w:type="spellEnd"/>
      <w:r w:rsidR="00D87AB1" w:rsidRPr="00CA5511">
        <w:rPr>
          <w:rFonts w:cs="Arial"/>
        </w:rPr>
        <w:t xml:space="preserve"> volatilised from treated soil or plant surfaces. Considering these experimental results, its low vapour pressure (1×10</w:t>
      </w:r>
      <w:r w:rsidR="00D87AB1" w:rsidRPr="00CA5511">
        <w:rPr>
          <w:rFonts w:cs="Arial"/>
          <w:vertAlign w:val="superscript"/>
        </w:rPr>
        <w:t>-10</w:t>
      </w:r>
      <w:r w:rsidR="00D87AB1" w:rsidRPr="00CA5511">
        <w:rPr>
          <w:rFonts w:cs="Arial"/>
        </w:rPr>
        <w:t xml:space="preserve"> Pa at 20°C), and rapid predicted rate of photochemical oxidative degradation (DT</w:t>
      </w:r>
      <w:r w:rsidR="00D87AB1" w:rsidRPr="00CA5511">
        <w:rPr>
          <w:rFonts w:cs="Arial"/>
          <w:vertAlign w:val="subscript"/>
        </w:rPr>
        <w:t>50</w:t>
      </w:r>
      <w:r w:rsidR="00D87AB1" w:rsidRPr="00CA5511">
        <w:rPr>
          <w:rFonts w:cs="Arial"/>
        </w:rPr>
        <w:t xml:space="preserve"> &lt; 1.1 days), it was concluded that the risk of </w:t>
      </w:r>
      <w:proofErr w:type="spellStart"/>
      <w:r w:rsidR="00D87AB1" w:rsidRPr="00CA5511">
        <w:rPr>
          <w:rFonts w:cs="Arial"/>
        </w:rPr>
        <w:t>topramezone</w:t>
      </w:r>
      <w:proofErr w:type="spellEnd"/>
      <w:r w:rsidR="00D87AB1" w:rsidRPr="00CA5511">
        <w:rPr>
          <w:rFonts w:cs="Arial"/>
        </w:rPr>
        <w:t xml:space="preserve"> entering or being transported in the air is very low.</w:t>
      </w:r>
    </w:p>
    <w:p w14:paraId="06BB5BC7" w14:textId="77777777" w:rsidR="008F730B" w:rsidRDefault="008F730B" w:rsidP="008F730B">
      <w:pPr>
        <w:pStyle w:val="Heading2"/>
        <w:rPr>
          <w:lang w:val="en-GB"/>
        </w:rPr>
      </w:pPr>
      <w:bookmarkStart w:id="55" w:name="_Toc6472849"/>
      <w:r>
        <w:rPr>
          <w:lang w:val="en-GB"/>
        </w:rPr>
        <w:t xml:space="preserve">Effects and associated risks to non-target </w:t>
      </w:r>
      <w:r w:rsidR="009A5578">
        <w:rPr>
          <w:lang w:val="en-GB"/>
        </w:rPr>
        <w:t>species</w:t>
      </w:r>
      <w:bookmarkEnd w:id="55"/>
    </w:p>
    <w:p w14:paraId="5CBCA327" w14:textId="77777777" w:rsidR="008F730B" w:rsidRDefault="008F730B" w:rsidP="008F730B">
      <w:pPr>
        <w:pStyle w:val="Heading3"/>
        <w:rPr>
          <w:lang w:val="en-GB"/>
        </w:rPr>
      </w:pPr>
      <w:r>
        <w:rPr>
          <w:lang w:val="en-GB"/>
        </w:rPr>
        <w:t>Terrestrial vertebrates</w:t>
      </w:r>
    </w:p>
    <w:p w14:paraId="477D88BF" w14:textId="37342418" w:rsidR="00D87AB1" w:rsidRPr="001856EC" w:rsidRDefault="00D87AB1" w:rsidP="00D87AB1">
      <w:pPr>
        <w:spacing w:before="240" w:after="240" w:line="280" w:lineRule="exact"/>
        <w:rPr>
          <w:rFonts w:cs="Arial"/>
        </w:rPr>
      </w:pPr>
      <w:proofErr w:type="spellStart"/>
      <w:r w:rsidRPr="001856EC">
        <w:rPr>
          <w:rFonts w:cs="Arial"/>
        </w:rPr>
        <w:t>Topramezone</w:t>
      </w:r>
      <w:proofErr w:type="spellEnd"/>
      <w:r w:rsidRPr="001856EC">
        <w:rPr>
          <w:rFonts w:cs="Arial"/>
        </w:rPr>
        <w:t xml:space="preserve"> is of low toxicity to birds (LD</w:t>
      </w:r>
      <w:r w:rsidRPr="001856EC">
        <w:rPr>
          <w:rFonts w:cs="Arial"/>
          <w:vertAlign w:val="subscript"/>
        </w:rPr>
        <w:t>50</w:t>
      </w:r>
      <w:r w:rsidRPr="001856EC">
        <w:rPr>
          <w:rFonts w:cs="Arial"/>
        </w:rPr>
        <w:t xml:space="preserve"> &gt;2000 mg ac/kg </w:t>
      </w:r>
      <w:proofErr w:type="spellStart"/>
      <w:proofErr w:type="gramStart"/>
      <w:r w:rsidRPr="001856EC">
        <w:rPr>
          <w:rFonts w:cs="Arial"/>
        </w:rPr>
        <w:t>bw</w:t>
      </w:r>
      <w:proofErr w:type="spellEnd"/>
      <w:proofErr w:type="gramEnd"/>
      <w:r w:rsidRPr="001856EC">
        <w:rPr>
          <w:rFonts w:cs="Arial"/>
        </w:rPr>
        <w:t>) and mammals (LD</w:t>
      </w:r>
      <w:r w:rsidRPr="001856EC">
        <w:rPr>
          <w:rFonts w:cs="Arial"/>
          <w:vertAlign w:val="subscript"/>
        </w:rPr>
        <w:t>50</w:t>
      </w:r>
      <w:r w:rsidRPr="001856EC">
        <w:rPr>
          <w:rFonts w:cs="Arial"/>
        </w:rPr>
        <w:t xml:space="preserve"> &gt;2000 mg ac/kg </w:t>
      </w:r>
      <w:proofErr w:type="spellStart"/>
      <w:r w:rsidRPr="001856EC">
        <w:rPr>
          <w:rFonts w:cs="Arial"/>
        </w:rPr>
        <w:t>bw</w:t>
      </w:r>
      <w:proofErr w:type="spellEnd"/>
      <w:r w:rsidRPr="001856EC">
        <w:rPr>
          <w:rFonts w:cs="Arial"/>
        </w:rPr>
        <w:t xml:space="preserve">). Following long-term exposure in birds, reduced ‘hatched chicks of fertile eggs’ and increased ‘dead-in-shell fertile eggs’ at 70 mg ac/kg </w:t>
      </w:r>
      <w:proofErr w:type="spellStart"/>
      <w:r w:rsidRPr="001856EC">
        <w:rPr>
          <w:rFonts w:cs="Arial"/>
        </w:rPr>
        <w:t>bw</w:t>
      </w:r>
      <w:proofErr w:type="spellEnd"/>
      <w:r w:rsidRPr="001856EC">
        <w:rPr>
          <w:rFonts w:cs="Arial"/>
        </w:rPr>
        <w:t xml:space="preserve">/d was observed at 70 mg ac/kg </w:t>
      </w:r>
      <w:proofErr w:type="spellStart"/>
      <w:r w:rsidRPr="001856EC">
        <w:rPr>
          <w:rFonts w:cs="Arial"/>
        </w:rPr>
        <w:t>bw</w:t>
      </w:r>
      <w:proofErr w:type="spellEnd"/>
      <w:r w:rsidRPr="001856EC">
        <w:rPr>
          <w:rFonts w:cs="Arial"/>
        </w:rPr>
        <w:t xml:space="preserve">/d (NOEL 19 mg ac/kg </w:t>
      </w:r>
      <w:proofErr w:type="spellStart"/>
      <w:r w:rsidRPr="001856EC">
        <w:rPr>
          <w:rFonts w:cs="Arial"/>
        </w:rPr>
        <w:t>bw</w:t>
      </w:r>
      <w:proofErr w:type="spellEnd"/>
      <w:r w:rsidRPr="001856EC">
        <w:rPr>
          <w:rFonts w:cs="Arial"/>
        </w:rPr>
        <w:t xml:space="preserve">/d). Following long-term exposure in mammals, increased eye and kidney lesions was observed at 4.0 mg ac/kg </w:t>
      </w:r>
      <w:proofErr w:type="spellStart"/>
      <w:r w:rsidRPr="001856EC">
        <w:rPr>
          <w:rFonts w:cs="Arial"/>
        </w:rPr>
        <w:t>bw</w:t>
      </w:r>
      <w:proofErr w:type="spellEnd"/>
      <w:r w:rsidRPr="001856EC">
        <w:rPr>
          <w:rFonts w:cs="Arial"/>
        </w:rPr>
        <w:t xml:space="preserve">/d in parents in the rat reproduction study (NOAEL 0.40 mg ac/kg </w:t>
      </w:r>
      <w:proofErr w:type="spellStart"/>
      <w:r w:rsidRPr="001856EC">
        <w:rPr>
          <w:rFonts w:cs="Arial"/>
        </w:rPr>
        <w:t>bw</w:t>
      </w:r>
      <w:proofErr w:type="spellEnd"/>
      <w:r w:rsidRPr="001856EC">
        <w:rPr>
          <w:rFonts w:cs="Arial"/>
        </w:rPr>
        <w:t xml:space="preserve">/d) and on relevant substance related effects at 3.9 mg ac/kg </w:t>
      </w:r>
      <w:proofErr w:type="spellStart"/>
      <w:r w:rsidRPr="001856EC">
        <w:rPr>
          <w:rFonts w:cs="Arial"/>
        </w:rPr>
        <w:t>bw</w:t>
      </w:r>
      <w:proofErr w:type="spellEnd"/>
      <w:r w:rsidRPr="001856EC">
        <w:rPr>
          <w:rFonts w:cs="Arial"/>
        </w:rPr>
        <w:t>/d in the 12</w:t>
      </w:r>
      <w:r w:rsidR="002B04B9">
        <w:rPr>
          <w:rFonts w:cs="Arial"/>
        </w:rPr>
        <w:t>–</w:t>
      </w:r>
      <w:r w:rsidRPr="001856EC">
        <w:rPr>
          <w:rFonts w:cs="Arial"/>
        </w:rPr>
        <w:t xml:space="preserve">month feeding study in rat, and 3.6 mg ac/kg </w:t>
      </w:r>
      <w:proofErr w:type="spellStart"/>
      <w:r w:rsidRPr="001856EC">
        <w:rPr>
          <w:rFonts w:cs="Arial"/>
        </w:rPr>
        <w:t>bw</w:t>
      </w:r>
      <w:proofErr w:type="spellEnd"/>
      <w:r w:rsidRPr="001856EC">
        <w:rPr>
          <w:rFonts w:cs="Arial"/>
        </w:rPr>
        <w:t>/d in the 24</w:t>
      </w:r>
      <w:r w:rsidR="002B04B9">
        <w:rPr>
          <w:rFonts w:cs="Arial"/>
        </w:rPr>
        <w:t>–</w:t>
      </w:r>
      <w:r w:rsidRPr="001856EC">
        <w:rPr>
          <w:rFonts w:cs="Arial"/>
        </w:rPr>
        <w:t xml:space="preserve">month feeding study in the rat. The NOAEL of 0.40 mg ac/kg </w:t>
      </w:r>
      <w:proofErr w:type="spellStart"/>
      <w:r w:rsidRPr="001856EC">
        <w:rPr>
          <w:rFonts w:cs="Arial"/>
        </w:rPr>
        <w:t>bw</w:t>
      </w:r>
      <w:proofErr w:type="spellEnd"/>
      <w:r w:rsidRPr="001856EC">
        <w:rPr>
          <w:rFonts w:cs="Arial"/>
        </w:rPr>
        <w:t xml:space="preserve">/day is not specific to rat and would cover the NOAEL/LOAEL determined to be 0.5/1.5 mg ac/kg </w:t>
      </w:r>
      <w:proofErr w:type="spellStart"/>
      <w:r w:rsidRPr="001856EC">
        <w:rPr>
          <w:rFonts w:cs="Arial"/>
        </w:rPr>
        <w:t>bw</w:t>
      </w:r>
      <w:proofErr w:type="spellEnd"/>
      <w:r w:rsidRPr="001856EC">
        <w:rPr>
          <w:rFonts w:cs="Arial"/>
        </w:rPr>
        <w:t xml:space="preserve">/d in the rabbit based on effects in nine developmental toxicity studies. Overall, the NOAEL of 0.40 mg ac/kg </w:t>
      </w:r>
      <w:proofErr w:type="spellStart"/>
      <w:r w:rsidRPr="001856EC">
        <w:rPr>
          <w:rFonts w:cs="Arial"/>
        </w:rPr>
        <w:t>bw</w:t>
      </w:r>
      <w:proofErr w:type="spellEnd"/>
      <w:r w:rsidRPr="001856EC">
        <w:rPr>
          <w:rFonts w:cs="Arial"/>
        </w:rPr>
        <w:t>/d is considered relevant for ecotoxicology and is used in the mammalian risk assessment.</w:t>
      </w:r>
    </w:p>
    <w:p w14:paraId="54517923" w14:textId="427BD255" w:rsidR="00D87AB1" w:rsidRPr="001856EC" w:rsidRDefault="00D87AB1" w:rsidP="00D87AB1">
      <w:pPr>
        <w:pStyle w:val="APVMAText"/>
        <w:rPr>
          <w:lang w:val="en-GB"/>
        </w:rPr>
      </w:pPr>
      <w:r w:rsidRPr="001856EC">
        <w:t xml:space="preserve">The major potential routes of exposure of terrestrial vertebrates to </w:t>
      </w:r>
      <w:proofErr w:type="spellStart"/>
      <w:r w:rsidRPr="001856EC">
        <w:t>topramezone</w:t>
      </w:r>
      <w:proofErr w:type="spellEnd"/>
      <w:r w:rsidRPr="001856EC">
        <w:t xml:space="preserve"> are considered</w:t>
      </w:r>
      <w:r w:rsidR="0017725B">
        <w:t xml:space="preserve"> to be feeding on food items (</w:t>
      </w:r>
      <w:proofErr w:type="spellStart"/>
      <w:r w:rsidR="0017725B">
        <w:t>e</w:t>
      </w:r>
      <w:r w:rsidRPr="001856EC">
        <w:t>g</w:t>
      </w:r>
      <w:proofErr w:type="spellEnd"/>
      <w:r w:rsidRPr="001856EC">
        <w:t xml:space="preserve"> vegetation and invertebrates) directly contaminated from spray application of the product. Maximum predicted dietary dosages of </w:t>
      </w:r>
      <w:proofErr w:type="spellStart"/>
      <w:r w:rsidRPr="001856EC">
        <w:t>topramezone</w:t>
      </w:r>
      <w:proofErr w:type="spellEnd"/>
      <w:r w:rsidRPr="001856EC">
        <w:t xml:space="preserve"> did not exceed regulatory acceptable doses assuming t</w:t>
      </w:r>
      <w:r w:rsidR="00EA2FEF">
        <w:t>reated vegetation comprised 100 per cent</w:t>
      </w:r>
      <w:r w:rsidRPr="001856EC">
        <w:t xml:space="preserve"> of their diets. Therefore, risks of </w:t>
      </w:r>
      <w:proofErr w:type="spellStart"/>
      <w:r w:rsidRPr="001856EC">
        <w:t>topramezone</w:t>
      </w:r>
      <w:proofErr w:type="spellEnd"/>
      <w:r w:rsidRPr="001856EC">
        <w:t xml:space="preserve"> to terrestrial vertebrates were considered to be acceptable under the proposed conditions of use.</w:t>
      </w:r>
    </w:p>
    <w:p w14:paraId="6C85378E" w14:textId="77777777" w:rsidR="008F730B" w:rsidRDefault="008F730B" w:rsidP="008F730B">
      <w:pPr>
        <w:pStyle w:val="Heading3"/>
        <w:rPr>
          <w:lang w:val="en-GB"/>
        </w:rPr>
      </w:pPr>
      <w:r>
        <w:rPr>
          <w:lang w:val="en-GB"/>
        </w:rPr>
        <w:t xml:space="preserve">Aquatic </w:t>
      </w:r>
      <w:r w:rsidR="009A5578">
        <w:rPr>
          <w:lang w:val="en-GB"/>
        </w:rPr>
        <w:t>species</w:t>
      </w:r>
    </w:p>
    <w:p w14:paraId="423DDEAB" w14:textId="7F8568EE" w:rsidR="00D87AB1" w:rsidRPr="001856EC" w:rsidRDefault="00D87AB1" w:rsidP="00D87AB1">
      <w:pPr>
        <w:spacing w:before="240" w:after="240" w:line="280" w:lineRule="exact"/>
        <w:rPr>
          <w:rFonts w:cs="Arial"/>
          <w:szCs w:val="20"/>
        </w:rPr>
      </w:pPr>
      <w:proofErr w:type="spellStart"/>
      <w:r w:rsidRPr="001856EC">
        <w:rPr>
          <w:rFonts w:cs="Arial"/>
          <w:szCs w:val="20"/>
        </w:rPr>
        <w:t>Topramezone</w:t>
      </w:r>
      <w:proofErr w:type="spellEnd"/>
      <w:r w:rsidRPr="001856EC">
        <w:rPr>
          <w:rFonts w:cs="Arial"/>
          <w:szCs w:val="20"/>
        </w:rPr>
        <w:t xml:space="preserve"> is of low toxicity to fish (LC</w:t>
      </w:r>
      <w:r w:rsidRPr="001856EC">
        <w:rPr>
          <w:rFonts w:cs="Arial"/>
          <w:szCs w:val="20"/>
          <w:vertAlign w:val="subscript"/>
        </w:rPr>
        <w:t>50</w:t>
      </w:r>
      <w:r w:rsidRPr="001856EC">
        <w:rPr>
          <w:rFonts w:cs="Arial"/>
          <w:szCs w:val="20"/>
        </w:rPr>
        <w:t xml:space="preserve"> &gt;100 mg ac/L) and aquatic invertebrates (EC</w:t>
      </w:r>
      <w:r w:rsidRPr="001856EC">
        <w:rPr>
          <w:rFonts w:cs="Arial"/>
          <w:szCs w:val="20"/>
          <w:vertAlign w:val="subscript"/>
        </w:rPr>
        <w:t>50</w:t>
      </w:r>
      <w:r w:rsidRPr="001856EC">
        <w:rPr>
          <w:rFonts w:cs="Arial"/>
          <w:szCs w:val="20"/>
        </w:rPr>
        <w:t xml:space="preserve"> &gt;100 mg ac/L). The formulated SE product containing </w:t>
      </w:r>
      <w:proofErr w:type="spellStart"/>
      <w:r w:rsidRPr="001856EC">
        <w:rPr>
          <w:rFonts w:cs="Arial"/>
          <w:szCs w:val="20"/>
        </w:rPr>
        <w:t>cloquintocet-mexyl</w:t>
      </w:r>
      <w:proofErr w:type="spellEnd"/>
      <w:r w:rsidRPr="001856EC">
        <w:rPr>
          <w:rFonts w:cs="Arial"/>
          <w:szCs w:val="20"/>
        </w:rPr>
        <w:t xml:space="preserve"> was more toxic to aquatic invertebrates with an EC</w:t>
      </w:r>
      <w:r w:rsidRPr="001856EC">
        <w:rPr>
          <w:rFonts w:cs="Arial"/>
          <w:szCs w:val="20"/>
          <w:vertAlign w:val="subscript"/>
        </w:rPr>
        <w:t>50</w:t>
      </w:r>
      <w:r w:rsidRPr="001856EC">
        <w:rPr>
          <w:rFonts w:cs="Arial"/>
          <w:szCs w:val="20"/>
        </w:rPr>
        <w:t xml:space="preserve"> 0.36 mg </w:t>
      </w:r>
      <w:proofErr w:type="spellStart"/>
      <w:r w:rsidRPr="001856EC">
        <w:rPr>
          <w:rFonts w:cs="Arial"/>
          <w:szCs w:val="20"/>
        </w:rPr>
        <w:t>acs</w:t>
      </w:r>
      <w:proofErr w:type="spellEnd"/>
      <w:r w:rsidRPr="001856EC">
        <w:rPr>
          <w:rFonts w:cs="Arial"/>
          <w:szCs w:val="20"/>
        </w:rPr>
        <w:t xml:space="preserve">/L. Algae were similarly more sensitive to the formulated SE product containing </w:t>
      </w:r>
      <w:proofErr w:type="spellStart"/>
      <w:r w:rsidRPr="001856EC">
        <w:rPr>
          <w:rFonts w:cs="Arial"/>
          <w:szCs w:val="20"/>
        </w:rPr>
        <w:t>cloquintocet-mexyl</w:t>
      </w:r>
      <w:proofErr w:type="spellEnd"/>
      <w:r w:rsidRPr="001856EC">
        <w:rPr>
          <w:rFonts w:cs="Arial"/>
          <w:szCs w:val="20"/>
        </w:rPr>
        <w:t xml:space="preserve"> (E</w:t>
      </w:r>
      <w:r w:rsidRPr="001856EC">
        <w:rPr>
          <w:rFonts w:cs="Arial"/>
          <w:szCs w:val="20"/>
          <w:vertAlign w:val="subscript"/>
        </w:rPr>
        <w:t>r</w:t>
      </w:r>
      <w:r w:rsidRPr="001856EC">
        <w:rPr>
          <w:rFonts w:cs="Arial"/>
          <w:szCs w:val="20"/>
        </w:rPr>
        <w:t>C</w:t>
      </w:r>
      <w:r w:rsidRPr="001856EC">
        <w:rPr>
          <w:rFonts w:cs="Arial"/>
          <w:szCs w:val="20"/>
          <w:vertAlign w:val="subscript"/>
        </w:rPr>
        <w:t>50</w:t>
      </w:r>
      <w:r w:rsidRPr="001856EC">
        <w:rPr>
          <w:rFonts w:cs="Arial"/>
          <w:szCs w:val="20"/>
        </w:rPr>
        <w:t xml:space="preserve"> 0.65 mg </w:t>
      </w:r>
      <w:proofErr w:type="spellStart"/>
      <w:r w:rsidRPr="001856EC">
        <w:rPr>
          <w:rFonts w:cs="Arial"/>
          <w:szCs w:val="20"/>
        </w:rPr>
        <w:t>acs</w:t>
      </w:r>
      <w:proofErr w:type="spellEnd"/>
      <w:r w:rsidRPr="001856EC">
        <w:rPr>
          <w:rFonts w:cs="Arial"/>
          <w:szCs w:val="20"/>
        </w:rPr>
        <w:t xml:space="preserve">/L) than to technical </w:t>
      </w:r>
      <w:proofErr w:type="spellStart"/>
      <w:r w:rsidRPr="001856EC">
        <w:rPr>
          <w:rFonts w:cs="Arial"/>
          <w:szCs w:val="20"/>
        </w:rPr>
        <w:t>topramezone</w:t>
      </w:r>
      <w:proofErr w:type="spellEnd"/>
      <w:r w:rsidRPr="001856EC">
        <w:rPr>
          <w:rFonts w:cs="Arial"/>
          <w:szCs w:val="20"/>
        </w:rPr>
        <w:t xml:space="preserve"> (E</w:t>
      </w:r>
      <w:r w:rsidRPr="001856EC">
        <w:rPr>
          <w:rFonts w:cs="Arial"/>
          <w:szCs w:val="20"/>
          <w:vertAlign w:val="subscript"/>
        </w:rPr>
        <w:t>r</w:t>
      </w:r>
      <w:r w:rsidRPr="001856EC">
        <w:rPr>
          <w:rFonts w:cs="Arial"/>
          <w:szCs w:val="20"/>
        </w:rPr>
        <w:t>C</w:t>
      </w:r>
      <w:r w:rsidRPr="001856EC">
        <w:rPr>
          <w:rFonts w:cs="Arial"/>
          <w:szCs w:val="20"/>
          <w:vertAlign w:val="subscript"/>
        </w:rPr>
        <w:t>50</w:t>
      </w:r>
      <w:r w:rsidRPr="001856EC">
        <w:rPr>
          <w:rFonts w:cs="Arial"/>
          <w:szCs w:val="20"/>
        </w:rPr>
        <w:t xml:space="preserve"> 68 mg </w:t>
      </w:r>
      <w:proofErr w:type="spellStart"/>
      <w:r w:rsidRPr="001856EC">
        <w:rPr>
          <w:rFonts w:cs="Arial"/>
          <w:szCs w:val="20"/>
        </w:rPr>
        <w:t>acs</w:t>
      </w:r>
      <w:proofErr w:type="spellEnd"/>
      <w:r w:rsidRPr="001856EC">
        <w:rPr>
          <w:rFonts w:cs="Arial"/>
          <w:szCs w:val="20"/>
        </w:rPr>
        <w:t xml:space="preserve">/L). Following long-term exposure to </w:t>
      </w:r>
      <w:proofErr w:type="spellStart"/>
      <w:r w:rsidRPr="001856EC">
        <w:rPr>
          <w:rFonts w:cs="Arial"/>
          <w:szCs w:val="20"/>
        </w:rPr>
        <w:t>topramezone</w:t>
      </w:r>
      <w:proofErr w:type="spellEnd"/>
      <w:r w:rsidRPr="001856EC">
        <w:rPr>
          <w:rFonts w:cs="Arial"/>
          <w:szCs w:val="20"/>
        </w:rPr>
        <w:t>, reduced body weight and length was observed in fish at 10 mg ac/L (NOEC 3.2 mg ac/L) and a reduction in number of offspring was observed in aquatic invertebrates at 100 mg ac/L(NOEC 50 mg ac/L). Aquatic plants were clearly the most sensitive aquatic organisms with E</w:t>
      </w:r>
      <w:r w:rsidRPr="001856EC">
        <w:rPr>
          <w:rFonts w:cs="Arial"/>
          <w:szCs w:val="20"/>
          <w:vertAlign w:val="subscript"/>
        </w:rPr>
        <w:t>r</w:t>
      </w:r>
      <w:r w:rsidRPr="001856EC">
        <w:rPr>
          <w:rFonts w:cs="Arial"/>
          <w:szCs w:val="20"/>
        </w:rPr>
        <w:t>C</w:t>
      </w:r>
      <w:r w:rsidRPr="001856EC">
        <w:rPr>
          <w:rFonts w:cs="Arial"/>
          <w:szCs w:val="20"/>
          <w:vertAlign w:val="subscript"/>
        </w:rPr>
        <w:t>50</w:t>
      </w:r>
      <w:r w:rsidRPr="001856EC">
        <w:rPr>
          <w:rFonts w:cs="Arial"/>
          <w:szCs w:val="20"/>
        </w:rPr>
        <w:t xml:space="preserve"> values of 0.063 mg ac/L for </w:t>
      </w:r>
      <w:proofErr w:type="spellStart"/>
      <w:r w:rsidRPr="001856EC">
        <w:rPr>
          <w:rFonts w:cs="Arial"/>
          <w:szCs w:val="20"/>
        </w:rPr>
        <w:t>topramezone</w:t>
      </w:r>
      <w:proofErr w:type="spellEnd"/>
      <w:r w:rsidRPr="001856EC">
        <w:rPr>
          <w:rFonts w:cs="Arial"/>
          <w:szCs w:val="20"/>
        </w:rPr>
        <w:t xml:space="preserve"> and 0.093 mg </w:t>
      </w:r>
      <w:proofErr w:type="spellStart"/>
      <w:r w:rsidRPr="001856EC">
        <w:rPr>
          <w:rFonts w:cs="Arial"/>
          <w:szCs w:val="20"/>
        </w:rPr>
        <w:t>acs</w:t>
      </w:r>
      <w:proofErr w:type="spellEnd"/>
      <w:r w:rsidRPr="001856EC">
        <w:rPr>
          <w:rFonts w:cs="Arial"/>
          <w:szCs w:val="20"/>
        </w:rPr>
        <w:t>/L for the formulated SE product</w:t>
      </w:r>
      <w:r w:rsidR="00276C28">
        <w:rPr>
          <w:rFonts w:cs="Arial"/>
          <w:szCs w:val="20"/>
        </w:rPr>
        <w:t xml:space="preserve"> containing </w:t>
      </w:r>
      <w:proofErr w:type="spellStart"/>
      <w:r w:rsidR="00276C28">
        <w:rPr>
          <w:rFonts w:cs="Arial"/>
          <w:szCs w:val="20"/>
        </w:rPr>
        <w:t>cloquintocet-mexyl</w:t>
      </w:r>
      <w:proofErr w:type="spellEnd"/>
      <w:r w:rsidR="00276C28">
        <w:rPr>
          <w:rFonts w:cs="Arial"/>
          <w:szCs w:val="20"/>
        </w:rPr>
        <w:t>.</w:t>
      </w:r>
    </w:p>
    <w:p w14:paraId="5A942F8B" w14:textId="71ED34F8" w:rsidR="00D87AB1" w:rsidRPr="001856EC" w:rsidRDefault="00D87AB1" w:rsidP="00D87AB1">
      <w:pPr>
        <w:pStyle w:val="BodyText0"/>
        <w:spacing w:before="240" w:after="240" w:line="280" w:lineRule="exact"/>
        <w:rPr>
          <w:rFonts w:ascii="Arial" w:hAnsi="Arial" w:cs="Arial"/>
          <w:sz w:val="20"/>
          <w:szCs w:val="20"/>
        </w:rPr>
      </w:pPr>
      <w:r w:rsidRPr="001856EC">
        <w:rPr>
          <w:rFonts w:ascii="Arial" w:hAnsi="Arial" w:cs="Arial"/>
          <w:sz w:val="20"/>
          <w:szCs w:val="20"/>
        </w:rPr>
        <w:t xml:space="preserve">Aquatic toxicity data on the metabolites M670H01 and M67H05 for a number of species demonstrate that the metabolites are less toxic than the parent substance </w:t>
      </w:r>
      <w:proofErr w:type="spellStart"/>
      <w:r w:rsidRPr="001856EC">
        <w:rPr>
          <w:rFonts w:ascii="Arial" w:hAnsi="Arial" w:cs="Arial"/>
          <w:sz w:val="20"/>
          <w:szCs w:val="20"/>
        </w:rPr>
        <w:t>topramezone</w:t>
      </w:r>
      <w:proofErr w:type="spellEnd"/>
      <w:r w:rsidRPr="001856EC">
        <w:rPr>
          <w:rFonts w:ascii="Arial" w:hAnsi="Arial" w:cs="Arial"/>
          <w:sz w:val="20"/>
          <w:szCs w:val="20"/>
        </w:rPr>
        <w:t xml:space="preserve">. Notably for the sensitive aquatic plant, </w:t>
      </w:r>
      <w:r w:rsidRPr="001856EC">
        <w:rPr>
          <w:rFonts w:ascii="Arial" w:hAnsi="Arial" w:cs="Arial"/>
          <w:sz w:val="20"/>
          <w:szCs w:val="20"/>
        </w:rPr>
        <w:lastRenderedPageBreak/>
        <w:t xml:space="preserve">M670H01 is </w:t>
      </w:r>
      <w:r w:rsidR="002B04B9">
        <w:rPr>
          <w:rFonts w:ascii="Arial" w:hAnsi="Arial" w:cs="Arial"/>
          <w:sz w:val="20"/>
          <w:szCs w:val="20"/>
        </w:rPr>
        <w:t>four</w:t>
      </w:r>
      <w:r w:rsidRPr="001856EC">
        <w:rPr>
          <w:rFonts w:ascii="Arial" w:hAnsi="Arial" w:cs="Arial"/>
          <w:sz w:val="20"/>
          <w:szCs w:val="20"/>
        </w:rPr>
        <w:t>-fold less toxic and M670H05 is 40-fold less toxic. Considering maximum formation fractions (10</w:t>
      </w:r>
      <w:r w:rsidR="00EA2FEF">
        <w:rPr>
          <w:rFonts w:ascii="Arial" w:hAnsi="Arial" w:cs="Arial"/>
          <w:sz w:val="20"/>
          <w:szCs w:val="20"/>
        </w:rPr>
        <w:t xml:space="preserve"> per cent and 51 per cent</w:t>
      </w:r>
      <w:r w:rsidRPr="001856EC">
        <w:rPr>
          <w:rFonts w:ascii="Arial" w:hAnsi="Arial" w:cs="Arial"/>
          <w:sz w:val="20"/>
          <w:szCs w:val="20"/>
        </w:rPr>
        <w:t>, respectively) and low relative toxicity, the metabolites are not of ecological concern in aquatic systems.</w:t>
      </w:r>
    </w:p>
    <w:p w14:paraId="3C43DB59" w14:textId="77777777" w:rsidR="00D87AB1" w:rsidRPr="001856EC" w:rsidRDefault="00D87AB1" w:rsidP="00D87AB1">
      <w:pPr>
        <w:pStyle w:val="APVMAText"/>
        <w:rPr>
          <w:szCs w:val="20"/>
          <w:lang w:val="en-GB"/>
        </w:rPr>
      </w:pPr>
      <w:r w:rsidRPr="001856EC">
        <w:rPr>
          <w:szCs w:val="20"/>
        </w:rPr>
        <w:t xml:space="preserve">The major potential routes of exposure of aquatic species to </w:t>
      </w:r>
      <w:proofErr w:type="spellStart"/>
      <w:r w:rsidRPr="001856EC">
        <w:rPr>
          <w:szCs w:val="20"/>
        </w:rPr>
        <w:t>topramezone</w:t>
      </w:r>
      <w:proofErr w:type="spellEnd"/>
      <w:r w:rsidRPr="001856EC">
        <w:rPr>
          <w:szCs w:val="20"/>
        </w:rPr>
        <w:t xml:space="preserve"> are considered to be spray drift or runoff from the treatment area. Inhibition of growth of aquatic plants was determined to be the effect of greatest concern in aquatic systems. Runoff risks of </w:t>
      </w:r>
      <w:proofErr w:type="spellStart"/>
      <w:r w:rsidRPr="001856EC">
        <w:rPr>
          <w:szCs w:val="20"/>
        </w:rPr>
        <w:t>topramezone</w:t>
      </w:r>
      <w:proofErr w:type="spellEnd"/>
      <w:r w:rsidRPr="001856EC">
        <w:rPr>
          <w:szCs w:val="20"/>
        </w:rPr>
        <w:t xml:space="preserve"> were determined to be acceptable when considering dilution in the catchment, and standard precautionary measured are required to minimise risks of runoff. A mandatory no-spray zone is not required to address spray drift risks </w:t>
      </w:r>
      <w:r>
        <w:rPr>
          <w:szCs w:val="20"/>
        </w:rPr>
        <w:t>to aquatic species</w:t>
      </w:r>
      <w:r w:rsidRPr="001856EC">
        <w:rPr>
          <w:szCs w:val="20"/>
        </w:rPr>
        <w:t xml:space="preserve"> when using ground application equipment.</w:t>
      </w:r>
    </w:p>
    <w:p w14:paraId="21E68D61" w14:textId="77777777" w:rsidR="008F730B" w:rsidRDefault="008F730B" w:rsidP="008F730B">
      <w:pPr>
        <w:pStyle w:val="Heading3"/>
        <w:rPr>
          <w:lang w:val="en-GB"/>
        </w:rPr>
      </w:pPr>
      <w:r>
        <w:rPr>
          <w:lang w:val="en-GB"/>
        </w:rPr>
        <w:t>Bees and other non-target arthropods</w:t>
      </w:r>
    </w:p>
    <w:p w14:paraId="58881733" w14:textId="77777777" w:rsidR="00D87AB1" w:rsidRPr="001856EC" w:rsidRDefault="00D87AB1" w:rsidP="00D87AB1">
      <w:pPr>
        <w:spacing w:before="240" w:after="240" w:line="280" w:lineRule="exact"/>
        <w:rPr>
          <w:rFonts w:cs="Arial"/>
        </w:rPr>
      </w:pPr>
      <w:proofErr w:type="spellStart"/>
      <w:r w:rsidRPr="001856EC">
        <w:rPr>
          <w:rFonts w:cs="Arial"/>
        </w:rPr>
        <w:t>Topramezone</w:t>
      </w:r>
      <w:proofErr w:type="spellEnd"/>
      <w:r w:rsidRPr="001856EC">
        <w:rPr>
          <w:rFonts w:cs="Arial"/>
        </w:rPr>
        <w:t xml:space="preserve"> is considered to be non-toxic to bees (oral LD</w:t>
      </w:r>
      <w:r w:rsidRPr="001856EC">
        <w:rPr>
          <w:rFonts w:cs="Arial"/>
          <w:vertAlign w:val="subscript"/>
        </w:rPr>
        <w:t>50</w:t>
      </w:r>
      <w:r w:rsidRPr="001856EC">
        <w:rPr>
          <w:rFonts w:cs="Arial"/>
        </w:rPr>
        <w:t xml:space="preserve"> &gt;72 µg ac/bee; contact LD</w:t>
      </w:r>
      <w:r w:rsidRPr="001856EC">
        <w:rPr>
          <w:rFonts w:cs="Arial"/>
          <w:vertAlign w:val="subscript"/>
        </w:rPr>
        <w:t>50</w:t>
      </w:r>
      <w:r w:rsidRPr="001856EC">
        <w:rPr>
          <w:rFonts w:cs="Arial"/>
        </w:rPr>
        <w:t xml:space="preserve"> &gt;100 µg ac/bee). No mortality was observed in any of the tested concentrations. Exposure of bee larvae is expected to be negligible because </w:t>
      </w:r>
      <w:proofErr w:type="spellStart"/>
      <w:r w:rsidRPr="001856EC">
        <w:rPr>
          <w:rFonts w:cs="Arial"/>
        </w:rPr>
        <w:t>topramezone</w:t>
      </w:r>
      <w:proofErr w:type="spellEnd"/>
      <w:r w:rsidRPr="001856EC">
        <w:rPr>
          <w:rFonts w:cs="Arial"/>
        </w:rPr>
        <w:t xml:space="preserve"> is </w:t>
      </w:r>
      <w:proofErr w:type="gramStart"/>
      <w:r w:rsidRPr="001856EC">
        <w:rPr>
          <w:rFonts w:cs="Arial"/>
        </w:rPr>
        <w:t>a</w:t>
      </w:r>
      <w:proofErr w:type="gramEnd"/>
      <w:r w:rsidRPr="001856EC">
        <w:rPr>
          <w:rFonts w:cs="Arial"/>
        </w:rPr>
        <w:t xml:space="preserve"> herbicide and cereal crops are not attractive to bees (wind-pollinated). Therefore, risks of </w:t>
      </w:r>
      <w:proofErr w:type="spellStart"/>
      <w:r w:rsidRPr="001856EC">
        <w:rPr>
          <w:rFonts w:cs="Arial"/>
        </w:rPr>
        <w:t>topramezone</w:t>
      </w:r>
      <w:proofErr w:type="spellEnd"/>
      <w:r w:rsidRPr="001856EC">
        <w:rPr>
          <w:rFonts w:cs="Arial"/>
        </w:rPr>
        <w:t xml:space="preserve"> to bees are considered to be acceptable under the proposed conditions of use.</w:t>
      </w:r>
    </w:p>
    <w:p w14:paraId="383799EA" w14:textId="4A1A8D46" w:rsidR="00D87AB1" w:rsidRPr="001856EC" w:rsidRDefault="00D87AB1" w:rsidP="00D87AB1">
      <w:pPr>
        <w:pStyle w:val="APVMAText"/>
        <w:rPr>
          <w:lang w:val="en-GB"/>
        </w:rPr>
      </w:pPr>
      <w:r w:rsidRPr="001856EC">
        <w:t xml:space="preserve">Other beneficial (predatory and parasitic) arthropods could be directly exposed to </w:t>
      </w:r>
      <w:proofErr w:type="spellStart"/>
      <w:r w:rsidRPr="001856EC">
        <w:t>topramezone</w:t>
      </w:r>
      <w:proofErr w:type="spellEnd"/>
      <w:r w:rsidRPr="001856EC">
        <w:t xml:space="preserve"> within the crop during treatment or as a result of spray drift. In </w:t>
      </w:r>
      <w:r w:rsidR="00A459D7">
        <w:t>t</w:t>
      </w:r>
      <w:r w:rsidRPr="001856EC">
        <w:t xml:space="preserve">ier </w:t>
      </w:r>
      <w:r w:rsidR="00A459D7">
        <w:t>one</w:t>
      </w:r>
      <w:r w:rsidRPr="001856EC">
        <w:t xml:space="preserve"> (glass plate) laboratory tests, an SC formulation (+ adjuvant) </w:t>
      </w:r>
      <w:r>
        <w:t xml:space="preserve">without a </w:t>
      </w:r>
      <w:proofErr w:type="spellStart"/>
      <w:r>
        <w:t>safener</w:t>
      </w:r>
      <w:proofErr w:type="spellEnd"/>
      <w:r>
        <w:t xml:space="preserve"> </w:t>
      </w:r>
      <w:r w:rsidRPr="001856EC">
        <w:t>was not toxic to parasitic arthropods (LR</w:t>
      </w:r>
      <w:r w:rsidRPr="001856EC">
        <w:rPr>
          <w:vertAlign w:val="subscript"/>
        </w:rPr>
        <w:t>50</w:t>
      </w:r>
      <w:r w:rsidRPr="001856EC">
        <w:t xml:space="preserve"> &gt;100 g ac/ha), while an LR</w:t>
      </w:r>
      <w:r w:rsidRPr="001856EC">
        <w:rPr>
          <w:vertAlign w:val="subscript"/>
        </w:rPr>
        <w:t>50</w:t>
      </w:r>
      <w:r w:rsidRPr="001856EC">
        <w:t xml:space="preserve"> 105 g ac/ha was established for predatory arthropods. Assuming non-target arthropods are exposed to fresh-dried residues within the treatment area immediately after application, risks of </w:t>
      </w:r>
      <w:proofErr w:type="spellStart"/>
      <w:r w:rsidRPr="001856EC">
        <w:t>topramezone</w:t>
      </w:r>
      <w:proofErr w:type="spellEnd"/>
      <w:r w:rsidRPr="001856EC">
        <w:t xml:space="preserve"> to beneficial arthropods were determined to be acceptable.</w:t>
      </w:r>
    </w:p>
    <w:p w14:paraId="0906BD25" w14:textId="77777777" w:rsidR="008F730B" w:rsidRDefault="008F730B" w:rsidP="008F730B">
      <w:pPr>
        <w:pStyle w:val="Heading3"/>
        <w:rPr>
          <w:lang w:val="en-GB"/>
        </w:rPr>
      </w:pPr>
      <w:r>
        <w:rPr>
          <w:lang w:val="en-GB"/>
        </w:rPr>
        <w:t>Soil organisms</w:t>
      </w:r>
    </w:p>
    <w:p w14:paraId="49836BF7" w14:textId="6B0E0D0D" w:rsidR="00D87AB1" w:rsidRPr="00CA5511" w:rsidRDefault="00D87AB1" w:rsidP="00D87AB1">
      <w:pPr>
        <w:pStyle w:val="APVMAText"/>
        <w:rPr>
          <w:lang w:val="en-GB"/>
        </w:rPr>
      </w:pPr>
      <w:proofErr w:type="spellStart"/>
      <w:r w:rsidRPr="00CA5511">
        <w:t>Topramezone</w:t>
      </w:r>
      <w:proofErr w:type="spellEnd"/>
      <w:r w:rsidRPr="00CA5511">
        <w:t xml:space="preserve"> did not exhibit intrinsic acute toxicity to soil macro-organisms such as earthworms (LC</w:t>
      </w:r>
      <w:r w:rsidRPr="00CA5511">
        <w:rPr>
          <w:vertAlign w:val="subscript"/>
        </w:rPr>
        <w:t>50</w:t>
      </w:r>
      <w:r w:rsidRPr="00CA5511">
        <w:t xml:space="preserve"> &gt;1000 mg ac/kg dry soil). Following long-term exposure, reduced adult survival and reproduction was observed in other soil macro-organisms, such as collembolans, at concentrations as low as 74 mg ac/kg dry soil (NOEC 37 mg ac/kg </w:t>
      </w:r>
      <w:proofErr w:type="spellStart"/>
      <w:r w:rsidRPr="00CA5511">
        <w:t>bw</w:t>
      </w:r>
      <w:proofErr w:type="spellEnd"/>
      <w:r w:rsidRPr="00CA5511">
        <w:t xml:space="preserve">). No adverse effects were observed on soil respiration or nitrification processes up to 0.67 mg ac/kg </w:t>
      </w:r>
      <w:proofErr w:type="spellStart"/>
      <w:r w:rsidRPr="00CA5511">
        <w:t>bw</w:t>
      </w:r>
      <w:proofErr w:type="spellEnd"/>
      <w:r w:rsidRPr="00CA5511">
        <w:t>/d, the highest concentration tested. Assuming no interception and incorporat</w:t>
      </w:r>
      <w:r w:rsidR="002B04B9">
        <w:t xml:space="preserve">ion into the top five </w:t>
      </w:r>
      <w:r w:rsidRPr="00CA5511">
        <w:t xml:space="preserve">cm, maximum predicted soil concentrations of </w:t>
      </w:r>
      <w:proofErr w:type="spellStart"/>
      <w:r w:rsidRPr="00CA5511">
        <w:t>topramezone</w:t>
      </w:r>
      <w:proofErr w:type="spellEnd"/>
      <w:r w:rsidRPr="00CA5511">
        <w:t xml:space="preserve"> did not exceed regulatory acceptable concentrations. Therefore, risks of </w:t>
      </w:r>
      <w:proofErr w:type="spellStart"/>
      <w:r w:rsidRPr="00CA5511">
        <w:t>topramezone</w:t>
      </w:r>
      <w:proofErr w:type="spellEnd"/>
      <w:r w:rsidRPr="00CA5511">
        <w:t xml:space="preserve"> to soil organisms were considered to be acceptable under the proposed conditions of use.</w:t>
      </w:r>
    </w:p>
    <w:p w14:paraId="3753E581" w14:textId="77777777" w:rsidR="008F730B" w:rsidRDefault="009A5578" w:rsidP="008F730B">
      <w:pPr>
        <w:pStyle w:val="Heading3"/>
        <w:rPr>
          <w:lang w:val="en-GB"/>
        </w:rPr>
      </w:pPr>
      <w:r>
        <w:rPr>
          <w:lang w:val="en-GB"/>
        </w:rPr>
        <w:t>Non-target t</w:t>
      </w:r>
      <w:r w:rsidR="008F730B">
        <w:rPr>
          <w:lang w:val="en-GB"/>
        </w:rPr>
        <w:t>errestrial plants</w:t>
      </w:r>
    </w:p>
    <w:p w14:paraId="4F7DC088" w14:textId="1F8B12F4" w:rsidR="00D87AB1" w:rsidRPr="00CA5511" w:rsidRDefault="00D87AB1" w:rsidP="00D87AB1">
      <w:pPr>
        <w:spacing w:before="240" w:after="240" w:line="280" w:lineRule="exact"/>
        <w:rPr>
          <w:rFonts w:cs="Arial"/>
        </w:rPr>
      </w:pPr>
      <w:r w:rsidRPr="00CA5511">
        <w:rPr>
          <w:rFonts w:cs="Arial"/>
        </w:rPr>
        <w:t xml:space="preserve">Non-target terrestrial plants adjacent to the treatment area could be directly exposed to spray drift during treatment. Following post-emergent exposure in vegetative vigour tests, non-target terrestrial plants were not sensitive to the proposed SE formulation containing </w:t>
      </w:r>
      <w:proofErr w:type="spellStart"/>
      <w:r w:rsidRPr="00CA5511">
        <w:rPr>
          <w:rFonts w:cs="Arial"/>
        </w:rPr>
        <w:t>cloquintocet-mexyl</w:t>
      </w:r>
      <w:proofErr w:type="spellEnd"/>
      <w:r w:rsidRPr="00CA5511">
        <w:rPr>
          <w:rFonts w:cs="Arial"/>
        </w:rPr>
        <w:t xml:space="preserve"> with ER</w:t>
      </w:r>
      <w:r w:rsidRPr="00CA5511">
        <w:rPr>
          <w:rFonts w:cs="Arial"/>
          <w:vertAlign w:val="subscript"/>
        </w:rPr>
        <w:t>25</w:t>
      </w:r>
      <w:r w:rsidRPr="00CA5511">
        <w:rPr>
          <w:rFonts w:cs="Arial"/>
        </w:rPr>
        <w:t xml:space="preserve"> and ER</w:t>
      </w:r>
      <w:r w:rsidRPr="00CA5511">
        <w:rPr>
          <w:rFonts w:cs="Arial"/>
          <w:vertAlign w:val="subscript"/>
        </w:rPr>
        <w:t>50</w:t>
      </w:r>
      <w:r w:rsidRPr="00CA5511">
        <w:rPr>
          <w:rFonts w:cs="Arial"/>
        </w:rPr>
        <w:t xml:space="preserve"> values &gt;12 g </w:t>
      </w:r>
      <w:proofErr w:type="spellStart"/>
      <w:proofErr w:type="gramStart"/>
      <w:r w:rsidRPr="00CA5511">
        <w:rPr>
          <w:rFonts w:cs="Arial"/>
        </w:rPr>
        <w:t>acs</w:t>
      </w:r>
      <w:proofErr w:type="spellEnd"/>
      <w:r w:rsidRPr="00CA5511">
        <w:rPr>
          <w:rFonts w:cs="Arial"/>
        </w:rPr>
        <w:t>/</w:t>
      </w:r>
      <w:proofErr w:type="gramEnd"/>
      <w:r w:rsidRPr="00CA5511">
        <w:rPr>
          <w:rFonts w:cs="Arial"/>
        </w:rPr>
        <w:t xml:space="preserve">ha. Based on the available information, it appears the presence of the </w:t>
      </w:r>
      <w:proofErr w:type="spellStart"/>
      <w:r w:rsidRPr="00CA5511">
        <w:rPr>
          <w:rFonts w:cs="Arial"/>
        </w:rPr>
        <w:t>safener</w:t>
      </w:r>
      <w:proofErr w:type="spellEnd"/>
      <w:r w:rsidRPr="00CA5511">
        <w:rPr>
          <w:rFonts w:cs="Arial"/>
        </w:rPr>
        <w:t xml:space="preserve"> </w:t>
      </w:r>
      <w:proofErr w:type="spellStart"/>
      <w:r w:rsidRPr="00CA5511">
        <w:rPr>
          <w:rFonts w:cs="Arial"/>
        </w:rPr>
        <w:t>cloquintocet-mexyl</w:t>
      </w:r>
      <w:proofErr w:type="spellEnd"/>
      <w:r w:rsidRPr="00CA5511">
        <w:rPr>
          <w:rFonts w:cs="Arial"/>
        </w:rPr>
        <w:t xml:space="preserve"> also reduces the toxicity of </w:t>
      </w:r>
      <w:proofErr w:type="spellStart"/>
      <w:r w:rsidRPr="00CA5511">
        <w:rPr>
          <w:rFonts w:cs="Arial"/>
        </w:rPr>
        <w:t>topramezone</w:t>
      </w:r>
      <w:proofErr w:type="spellEnd"/>
      <w:r w:rsidRPr="00CA5511">
        <w:rPr>
          <w:rFonts w:cs="Arial"/>
        </w:rPr>
        <w:t xml:space="preserve"> to non-target plant species. The post-emergent toxicity </w:t>
      </w:r>
      <w:r w:rsidR="001A6B74">
        <w:rPr>
          <w:rFonts w:cs="Arial"/>
        </w:rPr>
        <w:t>of an SC formulation (+ adjuvant</w:t>
      </w:r>
      <w:r w:rsidRPr="00CA5511">
        <w:rPr>
          <w:rFonts w:cs="Arial"/>
        </w:rPr>
        <w:t xml:space="preserve">) without a </w:t>
      </w:r>
      <w:proofErr w:type="spellStart"/>
      <w:r w:rsidRPr="00CA5511">
        <w:rPr>
          <w:rFonts w:cs="Arial"/>
        </w:rPr>
        <w:t>safener</w:t>
      </w:r>
      <w:proofErr w:type="spellEnd"/>
      <w:r w:rsidRPr="00CA5511">
        <w:rPr>
          <w:rFonts w:cs="Arial"/>
        </w:rPr>
        <w:t xml:space="preserve"> was further examined under field conditions for four sensitive non-target terrestrial plant species. Toxicity values derived from the field tests were higher than those derived in </w:t>
      </w:r>
      <w:r w:rsidRPr="00CA5511">
        <w:rPr>
          <w:rFonts w:cs="Arial"/>
        </w:rPr>
        <w:lastRenderedPageBreak/>
        <w:t>greenhouse trials by a factor of at least two, with pea being the most sensitive species tested (ER</w:t>
      </w:r>
      <w:r w:rsidRPr="00CA5511">
        <w:rPr>
          <w:rFonts w:cs="Arial"/>
          <w:vertAlign w:val="subscript"/>
        </w:rPr>
        <w:t>25</w:t>
      </w:r>
      <w:r w:rsidRPr="00CA5511">
        <w:rPr>
          <w:rFonts w:cs="Arial"/>
        </w:rPr>
        <w:t xml:space="preserve"> 19 g </w:t>
      </w:r>
      <w:proofErr w:type="spellStart"/>
      <w:r w:rsidRPr="00CA5511">
        <w:rPr>
          <w:rFonts w:cs="Arial"/>
        </w:rPr>
        <w:t>acs</w:t>
      </w:r>
      <w:proofErr w:type="spellEnd"/>
      <w:r w:rsidRPr="00CA5511">
        <w:rPr>
          <w:rFonts w:cs="Arial"/>
        </w:rPr>
        <w:t>/ha, ER</w:t>
      </w:r>
      <w:r w:rsidRPr="00CA5511">
        <w:rPr>
          <w:rFonts w:cs="Arial"/>
          <w:vertAlign w:val="subscript"/>
        </w:rPr>
        <w:t>50</w:t>
      </w:r>
      <w:r w:rsidRPr="00CA5511">
        <w:rPr>
          <w:rFonts w:cs="Arial"/>
        </w:rPr>
        <w:t xml:space="preserve"> 26 g </w:t>
      </w:r>
      <w:proofErr w:type="spellStart"/>
      <w:r w:rsidRPr="00CA5511">
        <w:rPr>
          <w:rFonts w:cs="Arial"/>
        </w:rPr>
        <w:t>acs</w:t>
      </w:r>
      <w:proofErr w:type="spellEnd"/>
      <w:r w:rsidRPr="00CA5511">
        <w:rPr>
          <w:rFonts w:cs="Arial"/>
        </w:rPr>
        <w:t xml:space="preserve">/ha). The pea endpoints from the field trials were considered to be appropriate regulatory endpoints considering the maximum rates tested in the greenhouse tests with SE product containing </w:t>
      </w:r>
      <w:proofErr w:type="spellStart"/>
      <w:r w:rsidRPr="00CA5511">
        <w:rPr>
          <w:rFonts w:cs="Arial"/>
        </w:rPr>
        <w:t>cloquintocet-mexyl</w:t>
      </w:r>
      <w:proofErr w:type="spellEnd"/>
      <w:r w:rsidRPr="00CA5511">
        <w:rPr>
          <w:rFonts w:cs="Arial"/>
        </w:rPr>
        <w:t xml:space="preserve"> did not exceed 12 g </w:t>
      </w:r>
      <w:proofErr w:type="spellStart"/>
      <w:r w:rsidRPr="00CA5511">
        <w:rPr>
          <w:rFonts w:cs="Arial"/>
        </w:rPr>
        <w:t>acs</w:t>
      </w:r>
      <w:proofErr w:type="spellEnd"/>
      <w:r w:rsidRPr="00CA5511">
        <w:rPr>
          <w:rFonts w:cs="Arial"/>
        </w:rPr>
        <w:t>/ha for the most sensitive species.</w:t>
      </w:r>
    </w:p>
    <w:p w14:paraId="5C8477D4" w14:textId="77777777" w:rsidR="00D87AB1" w:rsidRPr="00CA5511" w:rsidRDefault="00D87AB1" w:rsidP="00D87AB1">
      <w:pPr>
        <w:spacing w:before="240" w:after="240" w:line="280" w:lineRule="exact"/>
        <w:rPr>
          <w:rFonts w:cs="Arial"/>
        </w:rPr>
      </w:pPr>
      <w:r w:rsidRPr="00CA5511">
        <w:rPr>
          <w:rFonts w:cs="Arial"/>
        </w:rPr>
        <w:t xml:space="preserve">The metabolite M670H05 is likely to be present in the soil under field conditions; however, it is not of concern since it is less toxic than </w:t>
      </w:r>
      <w:proofErr w:type="spellStart"/>
      <w:r w:rsidRPr="00CA5511">
        <w:rPr>
          <w:rFonts w:cs="Arial"/>
        </w:rPr>
        <w:t>topramezone</w:t>
      </w:r>
      <w:proofErr w:type="spellEnd"/>
      <w:r w:rsidRPr="00CA5511">
        <w:rPr>
          <w:rFonts w:cs="Arial"/>
        </w:rPr>
        <w:t xml:space="preserve"> on a sensitive species by at least one order of magnitude (aquatic plants). The metabolite M670H01 is toxic to aquatic plant</w:t>
      </w:r>
      <w:r>
        <w:rPr>
          <w:rFonts w:cs="Arial"/>
        </w:rPr>
        <w:t>s</w:t>
      </w:r>
      <w:r w:rsidRPr="00CA5511">
        <w:rPr>
          <w:rFonts w:cs="Arial"/>
        </w:rPr>
        <w:t xml:space="preserve"> by less than one order of magnitude compared to </w:t>
      </w:r>
      <w:proofErr w:type="spellStart"/>
      <w:r w:rsidRPr="00CA5511">
        <w:rPr>
          <w:rFonts w:cs="Arial"/>
        </w:rPr>
        <w:t>topramezone</w:t>
      </w:r>
      <w:proofErr w:type="spellEnd"/>
      <w:r w:rsidRPr="00CA5511">
        <w:rPr>
          <w:rFonts w:cs="Arial"/>
        </w:rPr>
        <w:t xml:space="preserve">; however, is only detected in prolonged anaerobic conditions which are unlikely to occur for the intended use of </w:t>
      </w:r>
      <w:proofErr w:type="spellStart"/>
      <w:r w:rsidRPr="00CA5511">
        <w:rPr>
          <w:rFonts w:cs="Arial"/>
        </w:rPr>
        <w:t>topramezone</w:t>
      </w:r>
      <w:proofErr w:type="spellEnd"/>
      <w:r w:rsidRPr="00CA5511">
        <w:rPr>
          <w:rFonts w:cs="Arial"/>
        </w:rPr>
        <w:t>.</w:t>
      </w:r>
    </w:p>
    <w:p w14:paraId="0B61820A" w14:textId="2BA5A287" w:rsidR="00D87AB1" w:rsidRPr="00CA5511" w:rsidRDefault="00D87AB1" w:rsidP="00D87AB1">
      <w:pPr>
        <w:pStyle w:val="APVMAText"/>
        <w:rPr>
          <w:lang w:val="en-GB"/>
        </w:rPr>
      </w:pPr>
      <w:r w:rsidRPr="00CA5511">
        <w:t xml:space="preserve">Pre-emergent (seedling emergence) toxicity data indicated that some species are sensitive to soil residues from the proposed SE formulation with </w:t>
      </w:r>
      <w:proofErr w:type="spellStart"/>
      <w:r w:rsidRPr="00CA5511">
        <w:t>cloquintocet-mexyl</w:t>
      </w:r>
      <w:proofErr w:type="spellEnd"/>
      <w:r w:rsidRPr="00CA5511">
        <w:t xml:space="preserve">. </w:t>
      </w:r>
      <w:proofErr w:type="spellStart"/>
      <w:r w:rsidRPr="00CA5511">
        <w:t>Sugarbeet</w:t>
      </w:r>
      <w:proofErr w:type="spellEnd"/>
      <w:r w:rsidRPr="00CA5511">
        <w:t xml:space="preserve"> was the most sensitive species tested with an ER</w:t>
      </w:r>
      <w:r w:rsidRPr="00CA5511">
        <w:rPr>
          <w:vertAlign w:val="subscript"/>
        </w:rPr>
        <w:t>25</w:t>
      </w:r>
      <w:r w:rsidRPr="00CA5511">
        <w:t xml:space="preserve"> value of 2.1 g </w:t>
      </w:r>
      <w:proofErr w:type="spellStart"/>
      <w:proofErr w:type="gramStart"/>
      <w:r w:rsidRPr="00CA5511">
        <w:t>acs</w:t>
      </w:r>
      <w:proofErr w:type="spellEnd"/>
      <w:r w:rsidRPr="00CA5511">
        <w:t>/</w:t>
      </w:r>
      <w:proofErr w:type="gramEnd"/>
      <w:r w:rsidRPr="00CA5511">
        <w:t>ha and an ER</w:t>
      </w:r>
      <w:r w:rsidRPr="00CA5511">
        <w:rPr>
          <w:vertAlign w:val="subscript"/>
        </w:rPr>
        <w:t>50</w:t>
      </w:r>
      <w:r w:rsidRPr="00CA5511">
        <w:t xml:space="preserve"> value of 5.6 g </w:t>
      </w:r>
      <w:proofErr w:type="spellStart"/>
      <w:r w:rsidRPr="00CA5511">
        <w:t>acs</w:t>
      </w:r>
      <w:proofErr w:type="spellEnd"/>
      <w:r w:rsidRPr="00CA5511">
        <w:t xml:space="preserve">/ha. Pre-emergent exposure to combined residues of </w:t>
      </w:r>
      <w:proofErr w:type="spellStart"/>
      <w:r w:rsidRPr="00CA5511">
        <w:t>cloquintocet-mexyl</w:t>
      </w:r>
      <w:proofErr w:type="spellEnd"/>
      <w:r w:rsidRPr="00CA5511">
        <w:t xml:space="preserve"> and </w:t>
      </w:r>
      <w:proofErr w:type="spellStart"/>
      <w:r w:rsidRPr="00CA5511">
        <w:t>topramezone</w:t>
      </w:r>
      <w:proofErr w:type="spellEnd"/>
      <w:r w:rsidRPr="00CA5511">
        <w:t xml:space="preserve"> was determined to be of greatest concern for non-target terrestrial plants. When applied in combination with </w:t>
      </w:r>
      <w:proofErr w:type="spellStart"/>
      <w:r w:rsidRPr="00CA5511">
        <w:t>bromoxynil</w:t>
      </w:r>
      <w:proofErr w:type="spellEnd"/>
      <w:r w:rsidRPr="00CA5511">
        <w:t xml:space="preserve">, mandatory no-spray zones of 10 metres </w:t>
      </w:r>
      <w:r>
        <w:t>was</w:t>
      </w:r>
      <w:r w:rsidRPr="00CA5511">
        <w:t xml:space="preserve"> determined to be appropriate</w:t>
      </w:r>
      <w:r>
        <w:t>.</w:t>
      </w:r>
      <w:r w:rsidRPr="00CA5511">
        <w:t xml:space="preserve"> When applied in combination with MCPA, mandatory no-spray zones of 20 metres </w:t>
      </w:r>
      <w:r>
        <w:t>was</w:t>
      </w:r>
      <w:r w:rsidRPr="00CA5511">
        <w:t xml:space="preserve"> determined to be appropriate.</w:t>
      </w:r>
    </w:p>
    <w:p w14:paraId="75AE0FD0" w14:textId="09D88C81" w:rsidR="008F730B" w:rsidRDefault="004E0CEA" w:rsidP="008F730B">
      <w:pPr>
        <w:pStyle w:val="Heading2"/>
        <w:rPr>
          <w:lang w:val="en-GB"/>
        </w:rPr>
      </w:pPr>
      <w:bookmarkStart w:id="56" w:name="_Toc6472850"/>
      <w:r>
        <w:rPr>
          <w:lang w:val="en-GB"/>
        </w:rPr>
        <w:t>Recommendations</w:t>
      </w:r>
      <w:bookmarkEnd w:id="56"/>
    </w:p>
    <w:p w14:paraId="494C680C" w14:textId="240A83BF" w:rsidR="00D87AB1" w:rsidRPr="00CA5511" w:rsidRDefault="00D87AB1" w:rsidP="00D87AB1">
      <w:pPr>
        <w:pStyle w:val="APVMAText"/>
        <w:rPr>
          <w:lang w:val="en-GB"/>
        </w:rPr>
      </w:pPr>
      <w:r w:rsidRPr="00CA5511">
        <w:t xml:space="preserve">Based on the outcome of the risk assessment, the APVMA </w:t>
      </w:r>
      <w:r>
        <w:t>is</w:t>
      </w:r>
      <w:r w:rsidRPr="00CA5511">
        <w:t xml:space="preserve"> satisfied that the use of the product meets the safety criteria with respect to environmental considerations.</w:t>
      </w:r>
      <w:r>
        <w:t xml:space="preserve"> </w:t>
      </w:r>
      <w:r>
        <w:rPr>
          <w:szCs w:val="20"/>
        </w:rPr>
        <w:t>S</w:t>
      </w:r>
      <w:r w:rsidRPr="001856EC">
        <w:rPr>
          <w:szCs w:val="20"/>
        </w:rPr>
        <w:t>tandard precautionary measure</w:t>
      </w:r>
      <w:r>
        <w:rPr>
          <w:szCs w:val="20"/>
        </w:rPr>
        <w:t>s</w:t>
      </w:r>
      <w:r w:rsidRPr="001856EC">
        <w:rPr>
          <w:szCs w:val="20"/>
        </w:rPr>
        <w:t xml:space="preserve"> are required to minimise risks of runoff</w:t>
      </w:r>
      <w:r>
        <w:rPr>
          <w:szCs w:val="20"/>
        </w:rPr>
        <w:t>, and mandatory no-spray zones are required for the protection of aquatic and terrestrial environments</w:t>
      </w:r>
      <w:r w:rsidRPr="001856EC">
        <w:rPr>
          <w:szCs w:val="20"/>
        </w:rPr>
        <w:t>.</w:t>
      </w:r>
    </w:p>
    <w:p w14:paraId="47D5BCB1" w14:textId="77777777" w:rsidR="00D87AB1" w:rsidRDefault="00D87AB1" w:rsidP="00277F23">
      <w:pPr>
        <w:pStyle w:val="APVMAText"/>
        <w:rPr>
          <w:lang w:val="en-GB"/>
        </w:rPr>
        <w:sectPr w:rsidR="00D87AB1">
          <w:headerReference w:type="default" r:id="rId44"/>
          <w:pgSz w:w="11906" w:h="16838" w:code="9"/>
          <w:pgMar w:top="2835" w:right="1134" w:bottom="1134" w:left="1134" w:header="1701" w:footer="680" w:gutter="0"/>
          <w:cols w:space="708"/>
          <w:docGrid w:linePitch="360"/>
        </w:sectPr>
      </w:pPr>
    </w:p>
    <w:p w14:paraId="3B7C745B" w14:textId="77777777" w:rsidR="00F27E0D" w:rsidRDefault="00F27E0D">
      <w:pPr>
        <w:pStyle w:val="Heading1"/>
      </w:pPr>
      <w:bookmarkStart w:id="57" w:name="_Toc6472851"/>
      <w:r>
        <w:lastRenderedPageBreak/>
        <w:t>Efficacy and safety assessment</w:t>
      </w:r>
      <w:bookmarkEnd w:id="57"/>
    </w:p>
    <w:p w14:paraId="5F5278C2" w14:textId="77777777" w:rsidR="00F27E0D" w:rsidRDefault="008F730B" w:rsidP="008F730B">
      <w:pPr>
        <w:pStyle w:val="Heading2"/>
      </w:pPr>
      <w:bookmarkStart w:id="58" w:name="_Toc6472852"/>
      <w:r>
        <w:t xml:space="preserve">Proposed </w:t>
      </w:r>
      <w:r w:rsidR="008221D8">
        <w:t xml:space="preserve">product </w:t>
      </w:r>
      <w:r>
        <w:t>use pattern</w:t>
      </w:r>
      <w:bookmarkEnd w:id="58"/>
    </w:p>
    <w:p w14:paraId="130C729A" w14:textId="77777777" w:rsidR="00D87AB1" w:rsidRDefault="00D87AB1" w:rsidP="00D87AB1">
      <w:pPr>
        <w:pStyle w:val="APVMAText"/>
      </w:pPr>
      <w:r w:rsidRPr="005378F4">
        <w:t xml:space="preserve">The </w:t>
      </w:r>
      <w:r>
        <w:t>proposed product</w:t>
      </w:r>
      <w:r w:rsidRPr="005378F4">
        <w:t xml:space="preserve"> Frequency Herbicide containing 60 g/L </w:t>
      </w:r>
      <w:proofErr w:type="spellStart"/>
      <w:r w:rsidRPr="005378F4">
        <w:t>topramezone</w:t>
      </w:r>
      <w:proofErr w:type="spellEnd"/>
      <w:r w:rsidRPr="005378F4">
        <w:t xml:space="preserve"> and 60 g/L </w:t>
      </w:r>
      <w:proofErr w:type="spellStart"/>
      <w:r w:rsidRPr="005378F4">
        <w:t>cloquintocet-mexyl</w:t>
      </w:r>
      <w:proofErr w:type="spellEnd"/>
      <w:r w:rsidRPr="005378F4">
        <w:t xml:space="preserve"> (crop </w:t>
      </w:r>
      <w:proofErr w:type="spellStart"/>
      <w:r w:rsidRPr="005378F4">
        <w:t>safener</w:t>
      </w:r>
      <w:proofErr w:type="spellEnd"/>
      <w:r w:rsidRPr="005378F4">
        <w:t xml:space="preserve">), </w:t>
      </w:r>
      <w:r>
        <w:t xml:space="preserve">is intended </w:t>
      </w:r>
      <w:r w:rsidRPr="005378F4">
        <w:t xml:space="preserve">for post-emergence weed control in winter </w:t>
      </w:r>
      <w:r>
        <w:t>wheat, barley and durum.</w:t>
      </w:r>
    </w:p>
    <w:p w14:paraId="5F953C95" w14:textId="77777777" w:rsidR="00D87AB1" w:rsidRDefault="00D87AB1" w:rsidP="00D87AB1">
      <w:pPr>
        <w:pStyle w:val="APVMAText"/>
      </w:pPr>
      <w:r w:rsidRPr="005378F4">
        <w:t xml:space="preserve">Trial data </w:t>
      </w:r>
      <w:r>
        <w:t>were assessed</w:t>
      </w:r>
      <w:r w:rsidRPr="005378F4">
        <w:t xml:space="preserve"> for a range of common weed species, crop safety for wheat, barley and durum, crop </w:t>
      </w:r>
      <w:proofErr w:type="spellStart"/>
      <w:r w:rsidRPr="005378F4">
        <w:t>plantback</w:t>
      </w:r>
      <w:proofErr w:type="spellEnd"/>
      <w:r w:rsidRPr="005378F4">
        <w:t xml:space="preserve"> safety and </w:t>
      </w:r>
      <w:proofErr w:type="spellStart"/>
      <w:r w:rsidRPr="005378F4">
        <w:t>plantback</w:t>
      </w:r>
      <w:proofErr w:type="spellEnd"/>
      <w:r w:rsidRPr="005378F4">
        <w:t xml:space="preserve"> </w:t>
      </w:r>
      <w:r>
        <w:t>periods</w:t>
      </w:r>
      <w:r w:rsidRPr="005378F4">
        <w:t xml:space="preserve"> on wheat, barley and durum and a range of other crops.</w:t>
      </w:r>
    </w:p>
    <w:p w14:paraId="75606156" w14:textId="446918D0" w:rsidR="008F730B" w:rsidRDefault="008F730B" w:rsidP="008F730B">
      <w:pPr>
        <w:pStyle w:val="Heading2"/>
      </w:pPr>
      <w:bookmarkStart w:id="59" w:name="_Toc6472853"/>
      <w:r>
        <w:t xml:space="preserve">Efficacy and </w:t>
      </w:r>
      <w:r w:rsidR="00F844B9">
        <w:t xml:space="preserve">target </w:t>
      </w:r>
      <w:r>
        <w:t>crop</w:t>
      </w:r>
      <w:r w:rsidR="0017725B">
        <w:t>/</w:t>
      </w:r>
      <w:r w:rsidR="008221D8">
        <w:t>animal</w:t>
      </w:r>
      <w:r>
        <w:t xml:space="preserve"> safety</w:t>
      </w:r>
      <w:bookmarkEnd w:id="59"/>
    </w:p>
    <w:p w14:paraId="77E5A529" w14:textId="77777777" w:rsidR="008F730B" w:rsidRDefault="008221D8" w:rsidP="008F730B">
      <w:pPr>
        <w:pStyle w:val="Heading3"/>
      </w:pPr>
      <w:r>
        <w:t>Efficacy</w:t>
      </w:r>
    </w:p>
    <w:p w14:paraId="7C65D61B" w14:textId="36373B63" w:rsidR="00D87AB1" w:rsidRDefault="00D87AB1" w:rsidP="00D87AB1">
      <w:pPr>
        <w:pStyle w:val="APVMAText"/>
        <w:rPr>
          <w:iCs/>
        </w:rPr>
      </w:pPr>
      <w:r w:rsidRPr="00E91B9A">
        <w:t>Efficacy was assessed on wild radish</w:t>
      </w:r>
      <w:r w:rsidRPr="0036411A">
        <w:rPr>
          <w:i/>
        </w:rPr>
        <w:t xml:space="preserve">, </w:t>
      </w:r>
      <w:proofErr w:type="spellStart"/>
      <w:r w:rsidRPr="0036411A">
        <w:rPr>
          <w:i/>
        </w:rPr>
        <w:t>Raphanus</w:t>
      </w:r>
      <w:proofErr w:type="spellEnd"/>
      <w:r w:rsidRPr="0036411A">
        <w:rPr>
          <w:i/>
        </w:rPr>
        <w:t xml:space="preserve"> </w:t>
      </w:r>
      <w:proofErr w:type="spellStart"/>
      <w:r w:rsidRPr="0036411A">
        <w:rPr>
          <w:i/>
        </w:rPr>
        <w:t>raphanistrum</w:t>
      </w:r>
      <w:proofErr w:type="spellEnd"/>
      <w:r w:rsidRPr="0036411A">
        <w:t xml:space="preserve">, bindweed, </w:t>
      </w:r>
      <w:proofErr w:type="spellStart"/>
      <w:r w:rsidRPr="0036411A">
        <w:rPr>
          <w:bCs/>
          <w:i/>
        </w:rPr>
        <w:t>Polygonum</w:t>
      </w:r>
      <w:proofErr w:type="spellEnd"/>
      <w:r w:rsidRPr="0036411A">
        <w:rPr>
          <w:bCs/>
          <w:i/>
        </w:rPr>
        <w:t xml:space="preserve"> convolvulus, w</w:t>
      </w:r>
      <w:r w:rsidRPr="0036411A">
        <w:t xml:space="preserve">ireweed, </w:t>
      </w:r>
      <w:r>
        <w:rPr>
          <w:i/>
        </w:rPr>
        <w:t>(</w:t>
      </w:r>
      <w:proofErr w:type="spellStart"/>
      <w:r w:rsidRPr="0036411A">
        <w:rPr>
          <w:bCs/>
          <w:i/>
        </w:rPr>
        <w:t>Polygonum</w:t>
      </w:r>
      <w:proofErr w:type="spellEnd"/>
      <w:r w:rsidRPr="0036411A">
        <w:rPr>
          <w:bCs/>
          <w:i/>
        </w:rPr>
        <w:t xml:space="preserve"> </w:t>
      </w:r>
      <w:proofErr w:type="spellStart"/>
      <w:r w:rsidRPr="0036411A">
        <w:rPr>
          <w:bCs/>
          <w:i/>
        </w:rPr>
        <w:t>aviculare</w:t>
      </w:r>
      <w:proofErr w:type="spellEnd"/>
      <w:r>
        <w:rPr>
          <w:bCs/>
          <w:i/>
        </w:rPr>
        <w:t>)</w:t>
      </w:r>
      <w:r w:rsidRPr="0036411A">
        <w:rPr>
          <w:bCs/>
          <w:i/>
        </w:rPr>
        <w:t xml:space="preserve">, </w:t>
      </w:r>
      <w:r w:rsidRPr="0036411A">
        <w:t xml:space="preserve">Capeweed , </w:t>
      </w:r>
      <w:r>
        <w:rPr>
          <w:i/>
        </w:rPr>
        <w:t>(</w:t>
      </w:r>
      <w:proofErr w:type="spellStart"/>
      <w:r w:rsidRPr="0036411A">
        <w:rPr>
          <w:i/>
        </w:rPr>
        <w:t>Arctotheca</w:t>
      </w:r>
      <w:proofErr w:type="spellEnd"/>
      <w:r w:rsidRPr="0036411A">
        <w:rPr>
          <w:i/>
        </w:rPr>
        <w:t xml:space="preserve"> calendula</w:t>
      </w:r>
      <w:r>
        <w:rPr>
          <w:i/>
        </w:rPr>
        <w:t>)</w:t>
      </w:r>
      <w:r w:rsidRPr="0036411A">
        <w:rPr>
          <w:i/>
        </w:rPr>
        <w:t xml:space="preserve">, </w:t>
      </w:r>
      <w:r w:rsidR="00E84647" w:rsidRPr="00E84647">
        <w:t>t</w:t>
      </w:r>
      <w:r w:rsidRPr="0036411A">
        <w:t xml:space="preserve">urnip weed, </w:t>
      </w:r>
      <w:r>
        <w:rPr>
          <w:i/>
        </w:rPr>
        <w:t>(</w:t>
      </w:r>
      <w:proofErr w:type="spellStart"/>
      <w:r w:rsidRPr="0036411A">
        <w:rPr>
          <w:i/>
          <w:iCs/>
        </w:rPr>
        <w:t>Rapistrum</w:t>
      </w:r>
      <w:proofErr w:type="spellEnd"/>
      <w:r w:rsidRPr="0036411A">
        <w:rPr>
          <w:i/>
          <w:iCs/>
        </w:rPr>
        <w:t xml:space="preserve"> </w:t>
      </w:r>
      <w:proofErr w:type="spellStart"/>
      <w:r w:rsidRPr="0036411A">
        <w:rPr>
          <w:i/>
          <w:iCs/>
        </w:rPr>
        <w:t>rugosum</w:t>
      </w:r>
      <w:proofErr w:type="spellEnd"/>
      <w:r>
        <w:rPr>
          <w:i/>
          <w:iCs/>
        </w:rPr>
        <w:t>)</w:t>
      </w:r>
      <w:r w:rsidRPr="0036411A">
        <w:rPr>
          <w:i/>
          <w:iCs/>
        </w:rPr>
        <w:t xml:space="preserve">, </w:t>
      </w:r>
      <w:proofErr w:type="spellStart"/>
      <w:r w:rsidRPr="00E84647">
        <w:rPr>
          <w:iCs/>
        </w:rPr>
        <w:t>s</w:t>
      </w:r>
      <w:r w:rsidR="00276C28">
        <w:t>owthistle</w:t>
      </w:r>
      <w:proofErr w:type="spellEnd"/>
      <w:r w:rsidR="00276C28">
        <w:t xml:space="preserve">, </w:t>
      </w:r>
      <w:r>
        <w:t>(</w:t>
      </w:r>
      <w:proofErr w:type="spellStart"/>
      <w:r w:rsidRPr="0036411A">
        <w:rPr>
          <w:i/>
          <w:iCs/>
        </w:rPr>
        <w:t>Sonchus</w:t>
      </w:r>
      <w:proofErr w:type="spellEnd"/>
      <w:r w:rsidRPr="0036411A">
        <w:rPr>
          <w:i/>
          <w:iCs/>
        </w:rPr>
        <w:t xml:space="preserve"> </w:t>
      </w:r>
      <w:proofErr w:type="spellStart"/>
      <w:r w:rsidRPr="0036411A">
        <w:rPr>
          <w:i/>
          <w:iCs/>
        </w:rPr>
        <w:t>oleraceus</w:t>
      </w:r>
      <w:proofErr w:type="spellEnd"/>
      <w:r>
        <w:rPr>
          <w:i/>
          <w:iCs/>
        </w:rPr>
        <w:t>)</w:t>
      </w:r>
      <w:r w:rsidRPr="0036411A">
        <w:rPr>
          <w:i/>
          <w:iCs/>
        </w:rPr>
        <w:t xml:space="preserve">, </w:t>
      </w:r>
      <w:r w:rsidRPr="00E84647">
        <w:rPr>
          <w:iCs/>
        </w:rPr>
        <w:t>d</w:t>
      </w:r>
      <w:r w:rsidRPr="0036411A">
        <w:t xml:space="preserve">eadnettle, </w:t>
      </w:r>
      <w:r w:rsidRPr="00B93756">
        <w:rPr>
          <w:i/>
        </w:rPr>
        <w:t>(</w:t>
      </w:r>
      <w:proofErr w:type="spellStart"/>
      <w:r w:rsidRPr="00B93756">
        <w:rPr>
          <w:i/>
        </w:rPr>
        <w:t>Lamium</w:t>
      </w:r>
      <w:proofErr w:type="spellEnd"/>
      <w:r w:rsidRPr="00B93756">
        <w:rPr>
          <w:i/>
        </w:rPr>
        <w:t xml:space="preserve"> </w:t>
      </w:r>
      <w:proofErr w:type="spellStart"/>
      <w:r w:rsidRPr="00B93756">
        <w:rPr>
          <w:i/>
        </w:rPr>
        <w:t>amplexicaule</w:t>
      </w:r>
      <w:proofErr w:type="spellEnd"/>
      <w:r w:rsidRPr="00B93756">
        <w:rPr>
          <w:i/>
        </w:rPr>
        <w:t>),</w:t>
      </w:r>
      <w:r w:rsidRPr="0036411A">
        <w:t xml:space="preserve"> fleabane, </w:t>
      </w:r>
      <w:r>
        <w:rPr>
          <w:i/>
        </w:rPr>
        <w:t>(</w:t>
      </w:r>
      <w:proofErr w:type="spellStart"/>
      <w:r w:rsidRPr="0036411A">
        <w:rPr>
          <w:i/>
          <w:iCs/>
        </w:rPr>
        <w:t>Conyza</w:t>
      </w:r>
      <w:proofErr w:type="spellEnd"/>
      <w:r w:rsidRPr="0036411A">
        <w:rPr>
          <w:i/>
          <w:iCs/>
        </w:rPr>
        <w:t xml:space="preserve"> </w:t>
      </w:r>
      <w:proofErr w:type="spellStart"/>
      <w:r w:rsidRPr="0036411A">
        <w:rPr>
          <w:i/>
          <w:iCs/>
        </w:rPr>
        <w:t>bonariensis</w:t>
      </w:r>
      <w:proofErr w:type="spellEnd"/>
      <w:r>
        <w:rPr>
          <w:i/>
          <w:iCs/>
        </w:rPr>
        <w:t>)</w:t>
      </w:r>
      <w:r w:rsidRPr="0036411A">
        <w:rPr>
          <w:i/>
          <w:iCs/>
        </w:rPr>
        <w:t xml:space="preserve">, </w:t>
      </w:r>
      <w:r w:rsidRPr="00B93756">
        <w:rPr>
          <w:iCs/>
        </w:rPr>
        <w:t>f</w:t>
      </w:r>
      <w:r w:rsidRPr="0036411A">
        <w:t xml:space="preserve">umitory, </w:t>
      </w:r>
      <w:r>
        <w:rPr>
          <w:i/>
        </w:rPr>
        <w:t>(</w:t>
      </w:r>
      <w:r w:rsidRPr="0036411A">
        <w:rPr>
          <w:i/>
          <w:iCs/>
        </w:rPr>
        <w:t xml:space="preserve">Fumitory </w:t>
      </w:r>
      <w:proofErr w:type="spellStart"/>
      <w:r w:rsidRPr="0036411A">
        <w:rPr>
          <w:i/>
          <w:iCs/>
        </w:rPr>
        <w:t>spp</w:t>
      </w:r>
      <w:proofErr w:type="spellEnd"/>
      <w:r>
        <w:rPr>
          <w:i/>
          <w:iCs/>
        </w:rPr>
        <w:t>)</w:t>
      </w:r>
      <w:r w:rsidRPr="0036411A">
        <w:rPr>
          <w:i/>
          <w:iCs/>
        </w:rPr>
        <w:t>, s</w:t>
      </w:r>
      <w:r w:rsidRPr="0036411A">
        <w:t xml:space="preserve">carlet pimpernel, </w:t>
      </w:r>
      <w:r>
        <w:rPr>
          <w:i/>
        </w:rPr>
        <w:t>(</w:t>
      </w:r>
      <w:proofErr w:type="spellStart"/>
      <w:r w:rsidRPr="0036411A">
        <w:rPr>
          <w:i/>
          <w:iCs/>
        </w:rPr>
        <w:t>Anagallis</w:t>
      </w:r>
      <w:proofErr w:type="spellEnd"/>
      <w:r w:rsidRPr="0036411A">
        <w:rPr>
          <w:i/>
          <w:iCs/>
        </w:rPr>
        <w:t xml:space="preserve"> </w:t>
      </w:r>
      <w:proofErr w:type="spellStart"/>
      <w:r w:rsidRPr="0036411A">
        <w:rPr>
          <w:i/>
          <w:iCs/>
        </w:rPr>
        <w:t>coerulea</w:t>
      </w:r>
      <w:proofErr w:type="spellEnd"/>
      <w:r>
        <w:rPr>
          <w:i/>
          <w:iCs/>
        </w:rPr>
        <w:t>)</w:t>
      </w:r>
      <w:r w:rsidRPr="0036411A">
        <w:rPr>
          <w:i/>
          <w:iCs/>
        </w:rPr>
        <w:t>, s</w:t>
      </w:r>
      <w:r w:rsidRPr="0036411A">
        <w:t xml:space="preserve">hepherds purse, </w:t>
      </w:r>
      <w:r>
        <w:rPr>
          <w:i/>
        </w:rPr>
        <w:t>(</w:t>
      </w:r>
      <w:proofErr w:type="spellStart"/>
      <w:r w:rsidRPr="0036411A">
        <w:t>C</w:t>
      </w:r>
      <w:r w:rsidRPr="0036411A">
        <w:rPr>
          <w:i/>
          <w:iCs/>
        </w:rPr>
        <w:t>apsella</w:t>
      </w:r>
      <w:proofErr w:type="spellEnd"/>
      <w:r w:rsidRPr="0036411A">
        <w:rPr>
          <w:i/>
          <w:iCs/>
        </w:rPr>
        <w:t xml:space="preserve"> bursa-pastoris</w:t>
      </w:r>
      <w:r>
        <w:rPr>
          <w:i/>
          <w:iCs/>
        </w:rPr>
        <w:t>)</w:t>
      </w:r>
      <w:r w:rsidRPr="0036411A">
        <w:rPr>
          <w:i/>
          <w:iCs/>
        </w:rPr>
        <w:t xml:space="preserve">, </w:t>
      </w:r>
      <w:r w:rsidRPr="0036411A">
        <w:rPr>
          <w:iCs/>
        </w:rPr>
        <w:t>s</w:t>
      </w:r>
      <w:r w:rsidRPr="0036411A">
        <w:t xml:space="preserve">ubterranean clover, </w:t>
      </w:r>
      <w:r>
        <w:rPr>
          <w:i/>
        </w:rPr>
        <w:t>(</w:t>
      </w:r>
      <w:r w:rsidRPr="0036411A">
        <w:rPr>
          <w:i/>
          <w:iCs/>
        </w:rPr>
        <w:t xml:space="preserve">Trifolium </w:t>
      </w:r>
      <w:proofErr w:type="spellStart"/>
      <w:r w:rsidRPr="0036411A">
        <w:rPr>
          <w:i/>
          <w:iCs/>
        </w:rPr>
        <w:t>subterraneum</w:t>
      </w:r>
      <w:proofErr w:type="spellEnd"/>
      <w:r>
        <w:rPr>
          <w:i/>
          <w:iCs/>
        </w:rPr>
        <w:t>)</w:t>
      </w:r>
      <w:r w:rsidRPr="0036411A">
        <w:rPr>
          <w:i/>
          <w:iCs/>
        </w:rPr>
        <w:t>, c</w:t>
      </w:r>
      <w:r w:rsidRPr="0036411A">
        <w:t xml:space="preserve">ommon vetch, </w:t>
      </w:r>
      <w:r>
        <w:rPr>
          <w:i/>
        </w:rPr>
        <w:t>(</w:t>
      </w:r>
      <w:proofErr w:type="spellStart"/>
      <w:r w:rsidRPr="0036411A">
        <w:rPr>
          <w:i/>
          <w:iCs/>
        </w:rPr>
        <w:t>Vicia</w:t>
      </w:r>
      <w:proofErr w:type="spellEnd"/>
      <w:r w:rsidRPr="0036411A">
        <w:rPr>
          <w:i/>
          <w:iCs/>
        </w:rPr>
        <w:t xml:space="preserve"> </w:t>
      </w:r>
      <w:proofErr w:type="spellStart"/>
      <w:r w:rsidRPr="0036411A">
        <w:rPr>
          <w:i/>
          <w:iCs/>
        </w:rPr>
        <w:t>sativa</w:t>
      </w:r>
      <w:proofErr w:type="spellEnd"/>
      <w:r>
        <w:rPr>
          <w:i/>
          <w:iCs/>
        </w:rPr>
        <w:t>)</w:t>
      </w:r>
      <w:r w:rsidRPr="0036411A">
        <w:rPr>
          <w:iCs/>
        </w:rPr>
        <w:t xml:space="preserve">, </w:t>
      </w:r>
      <w:proofErr w:type="spellStart"/>
      <w:r w:rsidRPr="0036411A">
        <w:rPr>
          <w:iCs/>
        </w:rPr>
        <w:t>b</w:t>
      </w:r>
      <w:r w:rsidRPr="0036411A">
        <w:t>ifora</w:t>
      </w:r>
      <w:proofErr w:type="spellEnd"/>
      <w:r w:rsidRPr="0036411A">
        <w:t xml:space="preserve">, </w:t>
      </w:r>
      <w:r w:rsidRPr="00B93756">
        <w:rPr>
          <w:i/>
        </w:rPr>
        <w:t>(</w:t>
      </w:r>
      <w:proofErr w:type="spellStart"/>
      <w:r w:rsidRPr="00B93756">
        <w:rPr>
          <w:i/>
        </w:rPr>
        <w:t>Bifora</w:t>
      </w:r>
      <w:proofErr w:type="spellEnd"/>
      <w:r w:rsidRPr="00B93756">
        <w:rPr>
          <w:i/>
        </w:rPr>
        <w:t xml:space="preserve"> </w:t>
      </w:r>
      <w:proofErr w:type="spellStart"/>
      <w:r w:rsidRPr="00B93756">
        <w:rPr>
          <w:i/>
        </w:rPr>
        <w:t>testiculata</w:t>
      </w:r>
      <w:proofErr w:type="spellEnd"/>
      <w:r>
        <w:rPr>
          <w:i/>
        </w:rPr>
        <w:t>)</w:t>
      </w:r>
      <w:r w:rsidRPr="0036411A">
        <w:t xml:space="preserve">, stinging nettle, </w:t>
      </w:r>
      <w:r w:rsidRPr="00B93756">
        <w:rPr>
          <w:i/>
        </w:rPr>
        <w:t>(</w:t>
      </w:r>
      <w:proofErr w:type="spellStart"/>
      <w:r w:rsidRPr="0036411A">
        <w:rPr>
          <w:i/>
          <w:iCs/>
        </w:rPr>
        <w:t>Urtica</w:t>
      </w:r>
      <w:proofErr w:type="spellEnd"/>
      <w:r w:rsidRPr="0036411A">
        <w:rPr>
          <w:i/>
          <w:iCs/>
        </w:rPr>
        <w:t xml:space="preserve"> </w:t>
      </w:r>
      <w:proofErr w:type="spellStart"/>
      <w:r w:rsidRPr="0036411A">
        <w:rPr>
          <w:i/>
          <w:iCs/>
        </w:rPr>
        <w:t>urens</w:t>
      </w:r>
      <w:proofErr w:type="spellEnd"/>
      <w:r>
        <w:rPr>
          <w:i/>
          <w:iCs/>
        </w:rPr>
        <w:t xml:space="preserve">), </w:t>
      </w:r>
      <w:r w:rsidRPr="00697BA5">
        <w:rPr>
          <w:iCs/>
        </w:rPr>
        <w:t>wild oats</w:t>
      </w:r>
      <w:r w:rsidRPr="00407EF8">
        <w:rPr>
          <w:i/>
          <w:iCs/>
        </w:rPr>
        <w:t xml:space="preserve"> (</w:t>
      </w:r>
      <w:proofErr w:type="spellStart"/>
      <w:r w:rsidRPr="00407EF8">
        <w:rPr>
          <w:i/>
          <w:iCs/>
        </w:rPr>
        <w:t>Avena</w:t>
      </w:r>
      <w:proofErr w:type="spellEnd"/>
      <w:r w:rsidRPr="00407EF8">
        <w:rPr>
          <w:i/>
          <w:iCs/>
        </w:rPr>
        <w:t xml:space="preserve"> </w:t>
      </w:r>
      <w:proofErr w:type="spellStart"/>
      <w:r w:rsidRPr="00407EF8">
        <w:rPr>
          <w:i/>
          <w:iCs/>
        </w:rPr>
        <w:t>fatua</w:t>
      </w:r>
      <w:proofErr w:type="spellEnd"/>
      <w:r w:rsidRPr="00407EF8">
        <w:rPr>
          <w:i/>
          <w:iCs/>
        </w:rPr>
        <w:t xml:space="preserve"> and </w:t>
      </w:r>
      <w:proofErr w:type="spellStart"/>
      <w:r w:rsidRPr="00407EF8">
        <w:rPr>
          <w:i/>
          <w:iCs/>
        </w:rPr>
        <w:t>Avena</w:t>
      </w:r>
      <w:proofErr w:type="spellEnd"/>
      <w:r w:rsidRPr="00407EF8">
        <w:rPr>
          <w:i/>
          <w:iCs/>
        </w:rPr>
        <w:t xml:space="preserve"> </w:t>
      </w:r>
      <w:proofErr w:type="spellStart"/>
      <w:r w:rsidRPr="00407EF8">
        <w:rPr>
          <w:i/>
          <w:iCs/>
        </w:rPr>
        <w:t>sterilis</w:t>
      </w:r>
      <w:proofErr w:type="spellEnd"/>
      <w:r w:rsidRPr="00407EF8">
        <w:rPr>
          <w:i/>
          <w:iCs/>
        </w:rPr>
        <w:t>)</w:t>
      </w:r>
      <w:r w:rsidRPr="0036411A">
        <w:rPr>
          <w:i/>
          <w:iCs/>
        </w:rPr>
        <w:t xml:space="preserve"> </w:t>
      </w:r>
      <w:r w:rsidRPr="00E84647">
        <w:rPr>
          <w:iCs/>
        </w:rPr>
        <w:t>and</w:t>
      </w:r>
      <w:r w:rsidRPr="0036411A">
        <w:rPr>
          <w:i/>
          <w:iCs/>
        </w:rPr>
        <w:t xml:space="preserve"> </w:t>
      </w:r>
      <w:r w:rsidRPr="0036411A">
        <w:t xml:space="preserve">Charlock, </w:t>
      </w:r>
      <w:r w:rsidRPr="00B93756">
        <w:rPr>
          <w:i/>
        </w:rPr>
        <w:t>(</w:t>
      </w:r>
      <w:proofErr w:type="spellStart"/>
      <w:r w:rsidRPr="0036411A">
        <w:rPr>
          <w:i/>
          <w:iCs/>
        </w:rPr>
        <w:t>Sinapsis</w:t>
      </w:r>
      <w:proofErr w:type="spellEnd"/>
      <w:r w:rsidRPr="0036411A">
        <w:rPr>
          <w:i/>
          <w:iCs/>
        </w:rPr>
        <w:t xml:space="preserve"> </w:t>
      </w:r>
      <w:proofErr w:type="spellStart"/>
      <w:r w:rsidRPr="0036411A">
        <w:rPr>
          <w:i/>
          <w:iCs/>
        </w:rPr>
        <w:t>arvensis</w:t>
      </w:r>
      <w:proofErr w:type="spellEnd"/>
      <w:r>
        <w:rPr>
          <w:i/>
          <w:iCs/>
        </w:rPr>
        <w:t>)</w:t>
      </w:r>
      <w:r w:rsidRPr="0036411A">
        <w:rPr>
          <w:i/>
          <w:iCs/>
        </w:rPr>
        <w:t>.</w:t>
      </w:r>
    </w:p>
    <w:p w14:paraId="0489D1DA" w14:textId="1C9051C8" w:rsidR="00D87AB1" w:rsidRDefault="00D87AB1" w:rsidP="00D87AB1">
      <w:pPr>
        <w:pStyle w:val="APVMAText"/>
      </w:pPr>
      <w:r w:rsidRPr="005378F4">
        <w:t>Frequency Herbicide was applied at the label rate of 200 m</w:t>
      </w:r>
      <w:r>
        <w:t>L</w:t>
      </w:r>
      <w:r w:rsidRPr="005378F4">
        <w:t>/ha alone, and in combination wit</w:t>
      </w:r>
      <w:r>
        <w:t xml:space="preserve">h </w:t>
      </w:r>
      <w:proofErr w:type="spellStart"/>
      <w:r>
        <w:t>bromoxynil</w:t>
      </w:r>
      <w:proofErr w:type="spellEnd"/>
      <w:r>
        <w:t xml:space="preserve"> at 1050 and 1200 mL</w:t>
      </w:r>
      <w:r w:rsidRPr="005378F4">
        <w:t>/ha with adjuvant, to assess efficacy and crop safety o</w:t>
      </w:r>
      <w:r>
        <w:t>n wheat, barley and durum.</w:t>
      </w:r>
      <w:r w:rsidRPr="005378F4">
        <w:t xml:space="preserve"> Crop safety was also assessed at double label rates of 400 m</w:t>
      </w:r>
      <w:r>
        <w:t xml:space="preserve">L/ha plus </w:t>
      </w:r>
      <w:proofErr w:type="spellStart"/>
      <w:r>
        <w:t>bromoxynil</w:t>
      </w:r>
      <w:proofErr w:type="spellEnd"/>
      <w:r>
        <w:t xml:space="preserve"> at up to 2400 mL</w:t>
      </w:r>
      <w:r w:rsidRPr="005378F4">
        <w:t>/ha.</w:t>
      </w:r>
    </w:p>
    <w:p w14:paraId="36445CFB" w14:textId="77777777" w:rsidR="00D87AB1" w:rsidRDefault="00D87AB1" w:rsidP="00D87AB1">
      <w:pPr>
        <w:pStyle w:val="APVMAText"/>
        <w:rPr>
          <w:iCs/>
        </w:rPr>
      </w:pPr>
      <w:r w:rsidRPr="0032577C">
        <w:t xml:space="preserve">Efficacy was assessed by percentage control and crop safety by crop establishment, crop </w:t>
      </w:r>
      <w:proofErr w:type="spellStart"/>
      <w:r w:rsidRPr="0032577C">
        <w:t>phytotoxicity</w:t>
      </w:r>
      <w:proofErr w:type="spellEnd"/>
      <w:r w:rsidRPr="0032577C">
        <w:t>, crop biomass and crop yield.</w:t>
      </w:r>
      <w:r>
        <w:t xml:space="preserve"> </w:t>
      </w:r>
      <w:proofErr w:type="spellStart"/>
      <w:r w:rsidRPr="0036411A">
        <w:rPr>
          <w:iCs/>
        </w:rPr>
        <w:t>Plantback</w:t>
      </w:r>
      <w:proofErr w:type="spellEnd"/>
      <w:r w:rsidRPr="0036411A">
        <w:rPr>
          <w:iCs/>
        </w:rPr>
        <w:t xml:space="preserve"> safety and re-cropping times were also assessed on multiple cultivars of wheat, barley, canola, chickpea, field pea, lupin, lentil, cotton, maize, </w:t>
      </w:r>
      <w:proofErr w:type="spellStart"/>
      <w:r w:rsidRPr="0036411A">
        <w:rPr>
          <w:iCs/>
        </w:rPr>
        <w:t>mungbean</w:t>
      </w:r>
      <w:proofErr w:type="spellEnd"/>
      <w:r w:rsidRPr="0036411A">
        <w:rPr>
          <w:iCs/>
        </w:rPr>
        <w:t>, sorghum, sunflower and safflower.</w:t>
      </w:r>
      <w:r w:rsidRPr="0032577C">
        <w:t xml:space="preserve"> </w:t>
      </w:r>
      <w:proofErr w:type="spellStart"/>
      <w:r w:rsidRPr="0032577C">
        <w:rPr>
          <w:iCs/>
        </w:rPr>
        <w:t>Plantback</w:t>
      </w:r>
      <w:proofErr w:type="spellEnd"/>
      <w:r w:rsidRPr="0032577C">
        <w:rPr>
          <w:iCs/>
        </w:rPr>
        <w:t xml:space="preserve"> and suitable re-cropping intervals were assessed by crop establishment, crop </w:t>
      </w:r>
      <w:proofErr w:type="spellStart"/>
      <w:r w:rsidRPr="0032577C">
        <w:rPr>
          <w:iCs/>
        </w:rPr>
        <w:t>phytotoxicity</w:t>
      </w:r>
      <w:proofErr w:type="spellEnd"/>
      <w:r w:rsidRPr="0032577C">
        <w:rPr>
          <w:iCs/>
        </w:rPr>
        <w:t xml:space="preserve"> and crop biomass.</w:t>
      </w:r>
    </w:p>
    <w:p w14:paraId="7943866E" w14:textId="744A4F0C" w:rsidR="00D87AB1" w:rsidRDefault="00D87AB1" w:rsidP="00D87AB1">
      <w:pPr>
        <w:pStyle w:val="APVMAText"/>
      </w:pPr>
      <w:r>
        <w:t>Frequency Herbicide applied alone at the proposed label rate resulted in 75.2</w:t>
      </w:r>
      <w:r w:rsidR="00EB427D">
        <w:t xml:space="preserve"> per cent</w:t>
      </w:r>
      <w:r>
        <w:t xml:space="preserve"> control of wild radish at 36 to 58</w:t>
      </w:r>
      <w:r w:rsidR="00EB427D">
        <w:t xml:space="preserve"> days after treatment, and 94.6 per cent</w:t>
      </w:r>
      <w:r>
        <w:t xml:space="preserve"> control when applied at the label rate plus 1200 mL/ha </w:t>
      </w:r>
      <w:proofErr w:type="spellStart"/>
      <w:r>
        <w:t>bromoxynil</w:t>
      </w:r>
      <w:proofErr w:type="spellEnd"/>
      <w:r>
        <w:t>. Frequency Herbicide applied alone at the propos</w:t>
      </w:r>
      <w:r w:rsidR="00EB427D">
        <w:t>ed label rate, resulted in 92.0 per cent</w:t>
      </w:r>
      <w:r>
        <w:t xml:space="preserve"> control of </w:t>
      </w:r>
      <w:proofErr w:type="spellStart"/>
      <w:r>
        <w:t>sowthistle</w:t>
      </w:r>
      <w:proofErr w:type="spellEnd"/>
      <w:r>
        <w:t xml:space="preserve"> at 39 to 48 days after treatment, and 98.9</w:t>
      </w:r>
      <w:r w:rsidR="00EB427D">
        <w:t xml:space="preserve"> per cent</w:t>
      </w:r>
      <w:r>
        <w:t xml:space="preserve"> control when applied at the label r</w:t>
      </w:r>
      <w:r w:rsidR="00276C28">
        <w:t xml:space="preserve">ate plus 1200 mL/ha </w:t>
      </w:r>
      <w:proofErr w:type="spellStart"/>
      <w:r w:rsidR="00276C28">
        <w:t>bromoxynil</w:t>
      </w:r>
      <w:proofErr w:type="spellEnd"/>
      <w:r w:rsidR="00276C28">
        <w:t>.</w:t>
      </w:r>
    </w:p>
    <w:p w14:paraId="2E8922F9" w14:textId="3077DD09" w:rsidR="00D87AB1" w:rsidRDefault="00D87AB1" w:rsidP="00D87AB1">
      <w:pPr>
        <w:pStyle w:val="APVMAText"/>
      </w:pPr>
      <w:r>
        <w:t xml:space="preserve">In all efficacy trials, Frequency Herbicide, tank mixed with 1200 mL/ha </w:t>
      </w:r>
      <w:proofErr w:type="spellStart"/>
      <w:r>
        <w:t>bromoxynil</w:t>
      </w:r>
      <w:proofErr w:type="spellEnd"/>
      <w:r>
        <w:t>, provided commercial control (90 to 10</w:t>
      </w:r>
      <w:r w:rsidR="00EB427D">
        <w:t>0 per cent</w:t>
      </w:r>
      <w:r>
        <w:t xml:space="preserve">) of all weeds evaluated. </w:t>
      </w:r>
      <w:r w:rsidRPr="00407EF8">
        <w:t>Frequency Herbicide applied at the proposed label rate tank-mixed with 1200 m</w:t>
      </w:r>
      <w:r w:rsidR="00EB427D">
        <w:t xml:space="preserve">l/ha </w:t>
      </w:r>
      <w:proofErr w:type="spellStart"/>
      <w:r w:rsidR="00EB427D">
        <w:t>bromoxynil</w:t>
      </w:r>
      <w:proofErr w:type="spellEnd"/>
      <w:r w:rsidR="00EB427D">
        <w:t>, resulted in 55 per cent</w:t>
      </w:r>
      <w:r w:rsidRPr="00407EF8">
        <w:t xml:space="preserve"> </w:t>
      </w:r>
      <w:r>
        <w:t xml:space="preserve">control of wild oats </w:t>
      </w:r>
      <w:r w:rsidR="00005CE1">
        <w:t>at six</w:t>
      </w:r>
      <w:r w:rsidRPr="00407EF8">
        <w:t xml:space="preserve"> weeks after treatment and seed set was reduced by 60</w:t>
      </w:r>
      <w:r w:rsidR="00EB427D">
        <w:t xml:space="preserve"> per cent</w:t>
      </w:r>
      <w:r w:rsidRPr="00407EF8">
        <w:t xml:space="preserve"> compared to the untreated control.</w:t>
      </w:r>
    </w:p>
    <w:p w14:paraId="0F702AF6" w14:textId="4C4FEFDC" w:rsidR="00D87AB1" w:rsidRDefault="00D87AB1" w:rsidP="00D87AB1">
      <w:pPr>
        <w:pStyle w:val="APVMAText"/>
      </w:pPr>
      <w:r>
        <w:t xml:space="preserve">Assessment of </w:t>
      </w:r>
      <w:proofErr w:type="spellStart"/>
      <w:r>
        <w:t>phytotoxicity</w:t>
      </w:r>
      <w:proofErr w:type="spellEnd"/>
      <w:r>
        <w:t xml:space="preserve"> showed a mean percentage of 0.066</w:t>
      </w:r>
      <w:r w:rsidR="00EB427D">
        <w:t xml:space="preserve"> per cent</w:t>
      </w:r>
      <w:r>
        <w:t xml:space="preserve"> on wheat at about 40 days after treatment with Frequency Herbicide applied alone at the proposed label rate. When applied at double the</w:t>
      </w:r>
      <w:r w:rsidRPr="00D87AB1">
        <w:t xml:space="preserve"> </w:t>
      </w:r>
      <w:r>
        <w:t>label rate, the percentage was 0.58</w:t>
      </w:r>
      <w:r w:rsidR="00EB427D">
        <w:t xml:space="preserve"> per cent</w:t>
      </w:r>
      <w:r>
        <w:t>, and 0.38</w:t>
      </w:r>
      <w:r w:rsidR="00EB427D">
        <w:t xml:space="preserve"> per cent</w:t>
      </w:r>
      <w:r>
        <w:t xml:space="preserve"> when applied at the label rate plus the </w:t>
      </w:r>
      <w:r>
        <w:lastRenderedPageBreak/>
        <w:t xml:space="preserve">recommended rate of </w:t>
      </w:r>
      <w:proofErr w:type="spellStart"/>
      <w:r>
        <w:t>bromoxynil</w:t>
      </w:r>
      <w:proofErr w:type="spellEnd"/>
      <w:r>
        <w:t xml:space="preserve">. </w:t>
      </w:r>
      <w:proofErr w:type="spellStart"/>
      <w:r>
        <w:t>Phytotoxicity</w:t>
      </w:r>
      <w:proofErr w:type="spellEnd"/>
      <w:r>
        <w:t xml:space="preserve"> results on durum were similar to wheat. There was no significant </w:t>
      </w:r>
      <w:proofErr w:type="spellStart"/>
      <w:r>
        <w:t>phytotoxicity</w:t>
      </w:r>
      <w:proofErr w:type="spellEnd"/>
      <w:r>
        <w:t xml:space="preserve"> recorded on barley in multiple trials. In terms of biomass and yield, there was no significant reduction in wheat, barley or durum, when Frequency Herbicide was applied alone at label and double label rates, or tank mixed with </w:t>
      </w:r>
      <w:proofErr w:type="spellStart"/>
      <w:r>
        <w:t>bromoxynil</w:t>
      </w:r>
      <w:proofErr w:type="spellEnd"/>
      <w:r>
        <w:t xml:space="preserve"> at the recommended rate.</w:t>
      </w:r>
    </w:p>
    <w:p w14:paraId="5D2CE3DA" w14:textId="6DDACC85" w:rsidR="00D87AB1" w:rsidRDefault="00D87AB1" w:rsidP="00D87AB1">
      <w:pPr>
        <w:pStyle w:val="APVMAText"/>
      </w:pPr>
      <w:r w:rsidRPr="00A44221">
        <w:t xml:space="preserve">Re-cropping and </w:t>
      </w:r>
      <w:proofErr w:type="spellStart"/>
      <w:r w:rsidRPr="00A44221">
        <w:t>plantback</w:t>
      </w:r>
      <w:proofErr w:type="spellEnd"/>
      <w:r w:rsidRPr="00A44221">
        <w:t xml:space="preserve"> trials indicated that Frequency Herbicide was safe to a range of crops when the recommended label interval for </w:t>
      </w:r>
      <w:proofErr w:type="spellStart"/>
      <w:r w:rsidRPr="00A44221">
        <w:t>plantback</w:t>
      </w:r>
      <w:proofErr w:type="spellEnd"/>
      <w:r w:rsidRPr="00A44221">
        <w:t xml:space="preserve"> was followed.</w:t>
      </w:r>
      <w:r>
        <w:t xml:space="preserve"> </w:t>
      </w:r>
      <w:r w:rsidRPr="00A44221">
        <w:t xml:space="preserve">Trial data supported a </w:t>
      </w:r>
      <w:r w:rsidR="002B04B9">
        <w:t xml:space="preserve">six </w:t>
      </w:r>
      <w:r w:rsidRPr="00A44221">
        <w:t xml:space="preserve">week </w:t>
      </w:r>
      <w:proofErr w:type="spellStart"/>
      <w:r w:rsidRPr="00A44221">
        <w:t>plantback</w:t>
      </w:r>
      <w:proofErr w:type="spellEnd"/>
      <w:r w:rsidRPr="00A44221">
        <w:t xml:space="preserve"> inter</w:t>
      </w:r>
      <w:r>
        <w:t>val for wheat, barley and durum and</w:t>
      </w:r>
      <w:r w:rsidRPr="00A44221">
        <w:t xml:space="preserve"> a </w:t>
      </w:r>
      <w:r w:rsidR="002B04B9">
        <w:t xml:space="preserve">four </w:t>
      </w:r>
      <w:r w:rsidRPr="00A44221">
        <w:t xml:space="preserve">month </w:t>
      </w:r>
      <w:proofErr w:type="spellStart"/>
      <w:r w:rsidRPr="00A44221">
        <w:t>plantback</w:t>
      </w:r>
      <w:proofErr w:type="spellEnd"/>
      <w:r w:rsidRPr="00A44221">
        <w:t xml:space="preserve"> interval for crops other than wheat, barley and durum.</w:t>
      </w:r>
    </w:p>
    <w:p w14:paraId="4E26D406" w14:textId="66B6EC82" w:rsidR="008F730B" w:rsidRDefault="004E0CEA" w:rsidP="008F730B">
      <w:pPr>
        <w:pStyle w:val="Heading2"/>
      </w:pPr>
      <w:bookmarkStart w:id="60" w:name="_Toc6472854"/>
      <w:r>
        <w:t>Recommendations</w:t>
      </w:r>
      <w:bookmarkEnd w:id="60"/>
    </w:p>
    <w:p w14:paraId="2CB189CE" w14:textId="77777777" w:rsidR="004631F2" w:rsidRDefault="004631F2" w:rsidP="004631F2">
      <w:pPr>
        <w:pStyle w:val="APVMAText"/>
      </w:pPr>
      <w:r>
        <w:t>T</w:t>
      </w:r>
      <w:r w:rsidRPr="005449DA">
        <w:t xml:space="preserve">he APVMA is satisfied that data from trials supporting the efficacy </w:t>
      </w:r>
      <w:r>
        <w:t xml:space="preserve">and crop safety </w:t>
      </w:r>
      <w:r w:rsidRPr="005449DA">
        <w:t>of the product adequately demonstrate that if used according to the product label directions, the product is effective for its proposed uses</w:t>
      </w:r>
      <w:r>
        <w:t>, and safe to host crops</w:t>
      </w:r>
      <w:r w:rsidRPr="005449DA">
        <w:t>.</w:t>
      </w:r>
    </w:p>
    <w:p w14:paraId="34A40E7A" w14:textId="1BB43D7F" w:rsidR="00F27E0D" w:rsidRDefault="00F27E0D">
      <w:pPr>
        <w:pStyle w:val="APVMAText"/>
        <w:sectPr w:rsidR="00F27E0D">
          <w:headerReference w:type="default" r:id="rId45"/>
          <w:pgSz w:w="11906" w:h="16838" w:code="9"/>
          <w:pgMar w:top="2835" w:right="1134" w:bottom="1134" w:left="1134" w:header="1701" w:footer="680" w:gutter="0"/>
          <w:cols w:space="708"/>
          <w:docGrid w:linePitch="360"/>
        </w:sectPr>
      </w:pPr>
    </w:p>
    <w:p w14:paraId="530641AC" w14:textId="77777777" w:rsidR="004631F2" w:rsidRDefault="004631F2" w:rsidP="004631F2">
      <w:pPr>
        <w:pStyle w:val="Heading1"/>
      </w:pPr>
      <w:bookmarkStart w:id="61" w:name="_Toc6472855"/>
      <w:r>
        <w:lastRenderedPageBreak/>
        <w:t>Labelling requirements</w:t>
      </w:r>
      <w:bookmarkEnd w:id="61"/>
    </w:p>
    <w:p w14:paraId="1B8CCE23" w14:textId="77777777" w:rsidR="004631F2" w:rsidRDefault="004631F2" w:rsidP="004631F2">
      <w:pPr>
        <w:keepNext/>
        <w:spacing w:line="240" w:lineRule="atLeast"/>
        <w:ind w:right="-23"/>
        <w:jc w:val="center"/>
        <w:outlineLvl w:val="2"/>
        <w:rPr>
          <w:b/>
          <w:sz w:val="32"/>
          <w:szCs w:val="32"/>
        </w:rPr>
      </w:pPr>
    </w:p>
    <w:p w14:paraId="03CCC2BA" w14:textId="77777777" w:rsidR="004631F2" w:rsidRPr="00E161B2" w:rsidRDefault="004631F2" w:rsidP="004631F2">
      <w:pPr>
        <w:keepNext/>
        <w:spacing w:line="240" w:lineRule="atLeast"/>
        <w:ind w:right="-23"/>
        <w:jc w:val="center"/>
        <w:outlineLvl w:val="2"/>
        <w:rPr>
          <w:b/>
          <w:sz w:val="32"/>
          <w:szCs w:val="32"/>
        </w:rPr>
      </w:pPr>
      <w:r w:rsidRPr="00E161B2">
        <w:rPr>
          <w:b/>
          <w:sz w:val="32"/>
          <w:szCs w:val="32"/>
        </w:rPr>
        <w:t>CAUTION</w:t>
      </w:r>
    </w:p>
    <w:p w14:paraId="6156FAE9" w14:textId="77777777" w:rsidR="004631F2" w:rsidRPr="00E161B2" w:rsidRDefault="004631F2" w:rsidP="004631F2">
      <w:pPr>
        <w:keepNext/>
        <w:spacing w:line="240" w:lineRule="atLeast"/>
        <w:ind w:right="-23"/>
        <w:jc w:val="center"/>
        <w:outlineLvl w:val="2"/>
        <w:rPr>
          <w:bCs/>
          <w:sz w:val="24"/>
        </w:rPr>
      </w:pPr>
      <w:r w:rsidRPr="00E161B2">
        <w:rPr>
          <w:bCs/>
          <w:sz w:val="24"/>
        </w:rPr>
        <w:t>KEEP OUT OF REACH OF CHILDREN</w:t>
      </w:r>
    </w:p>
    <w:p w14:paraId="60E4B654" w14:textId="77777777" w:rsidR="004631F2" w:rsidRPr="00E161B2" w:rsidRDefault="004631F2" w:rsidP="004631F2">
      <w:pPr>
        <w:keepNext/>
        <w:spacing w:line="240" w:lineRule="atLeast"/>
        <w:ind w:right="-23"/>
        <w:jc w:val="center"/>
        <w:outlineLvl w:val="2"/>
        <w:rPr>
          <w:bCs/>
          <w:sz w:val="24"/>
        </w:rPr>
      </w:pPr>
      <w:r w:rsidRPr="00E161B2">
        <w:rPr>
          <w:bCs/>
          <w:sz w:val="24"/>
        </w:rPr>
        <w:t>READ SAFETY DIRECTIONS BEFORE OPENING OR USING</w:t>
      </w:r>
    </w:p>
    <w:p w14:paraId="41338DC1" w14:textId="77777777" w:rsidR="004631F2" w:rsidRPr="00E161B2" w:rsidRDefault="004631F2" w:rsidP="004631F2">
      <w:pPr>
        <w:tabs>
          <w:tab w:val="left" w:pos="720"/>
        </w:tabs>
        <w:spacing w:line="240" w:lineRule="exact"/>
        <w:ind w:right="-23"/>
        <w:jc w:val="both"/>
        <w:rPr>
          <w:rFonts w:ascii="OceanSansForAventis" w:hAnsi="OceanSansForAventis"/>
          <w:sz w:val="24"/>
          <w:highlight w:val="yellow"/>
        </w:rPr>
      </w:pPr>
    </w:p>
    <w:p w14:paraId="71D20BC3" w14:textId="77777777" w:rsidR="004631F2" w:rsidRPr="00E161B2" w:rsidRDefault="004631F2" w:rsidP="004631F2">
      <w:pPr>
        <w:tabs>
          <w:tab w:val="left" w:pos="720"/>
        </w:tabs>
        <w:spacing w:line="240" w:lineRule="exact"/>
        <w:ind w:right="-23"/>
        <w:jc w:val="both"/>
        <w:rPr>
          <w:rFonts w:ascii="OceanSansForAventis" w:hAnsi="OceanSansForAventis"/>
          <w:sz w:val="24"/>
          <w:highlight w:val="yellow"/>
        </w:rPr>
      </w:pPr>
    </w:p>
    <w:p w14:paraId="221A3233" w14:textId="77777777" w:rsidR="004631F2" w:rsidRPr="00E161B2" w:rsidRDefault="004631F2" w:rsidP="004631F2">
      <w:pPr>
        <w:tabs>
          <w:tab w:val="left" w:pos="720"/>
        </w:tabs>
        <w:spacing w:line="240" w:lineRule="exact"/>
        <w:ind w:right="-23"/>
        <w:jc w:val="both"/>
        <w:rPr>
          <w:rFonts w:ascii="OceanSansForAventis" w:hAnsi="OceanSansForAventis"/>
          <w:sz w:val="24"/>
          <w:highlight w:val="yellow"/>
        </w:rPr>
      </w:pPr>
    </w:p>
    <w:p w14:paraId="620499D4" w14:textId="77777777" w:rsidR="004631F2" w:rsidRPr="00E161B2" w:rsidRDefault="004631F2" w:rsidP="004631F2">
      <w:pPr>
        <w:tabs>
          <w:tab w:val="left" w:pos="720"/>
        </w:tabs>
        <w:spacing w:line="240" w:lineRule="exact"/>
        <w:ind w:right="-23"/>
        <w:jc w:val="both"/>
        <w:rPr>
          <w:rFonts w:ascii="OceanSansForAventis" w:hAnsi="OceanSansForAventis"/>
          <w:sz w:val="24"/>
          <w:highlight w:val="yellow"/>
        </w:rPr>
      </w:pPr>
    </w:p>
    <w:p w14:paraId="658E48E8" w14:textId="77777777" w:rsidR="004631F2" w:rsidRPr="00E161B2" w:rsidRDefault="004631F2" w:rsidP="004631F2">
      <w:pPr>
        <w:tabs>
          <w:tab w:val="left" w:pos="720"/>
        </w:tabs>
        <w:spacing w:line="240" w:lineRule="exact"/>
        <w:ind w:right="-23"/>
        <w:jc w:val="both"/>
        <w:rPr>
          <w:rFonts w:ascii="OceanSansForAventis" w:hAnsi="OceanSansForAventis"/>
          <w:sz w:val="24"/>
          <w:highlight w:val="yellow"/>
        </w:rPr>
      </w:pPr>
    </w:p>
    <w:p w14:paraId="1E8FE5E4" w14:textId="77777777" w:rsidR="004631F2" w:rsidRPr="00E161B2" w:rsidRDefault="004631F2" w:rsidP="004631F2">
      <w:pPr>
        <w:tabs>
          <w:tab w:val="left" w:pos="720"/>
        </w:tabs>
        <w:spacing w:line="240" w:lineRule="exact"/>
        <w:ind w:right="-23"/>
        <w:jc w:val="both"/>
        <w:rPr>
          <w:rFonts w:ascii="OceanSansForAventis" w:hAnsi="OceanSansForAventis"/>
          <w:sz w:val="24"/>
          <w:highlight w:val="yellow"/>
        </w:rPr>
      </w:pPr>
    </w:p>
    <w:p w14:paraId="11732E1A" w14:textId="77777777" w:rsidR="004631F2" w:rsidRPr="00E161B2" w:rsidRDefault="004631F2" w:rsidP="004631F2">
      <w:pPr>
        <w:tabs>
          <w:tab w:val="left" w:pos="720"/>
        </w:tabs>
        <w:ind w:right="-23"/>
        <w:jc w:val="center"/>
        <w:rPr>
          <w:b/>
          <w:bCs/>
          <w:sz w:val="48"/>
          <w:szCs w:val="48"/>
        </w:rPr>
      </w:pPr>
      <w:r w:rsidRPr="00E161B2">
        <w:rPr>
          <w:b/>
          <w:sz w:val="48"/>
          <w:szCs w:val="48"/>
        </w:rPr>
        <w:t>FREQUENCY</w:t>
      </w:r>
      <w:r w:rsidRPr="00E161B2">
        <w:rPr>
          <w:b/>
          <w:sz w:val="48"/>
          <w:szCs w:val="48"/>
          <w:vertAlign w:val="superscript"/>
        </w:rPr>
        <w:t>®</w:t>
      </w:r>
      <w:r w:rsidRPr="00E161B2">
        <w:rPr>
          <w:b/>
          <w:sz w:val="48"/>
          <w:szCs w:val="48"/>
        </w:rPr>
        <w:t xml:space="preserve"> HERBI</w:t>
      </w:r>
      <w:r w:rsidRPr="00E161B2">
        <w:rPr>
          <w:b/>
          <w:bCs/>
          <w:sz w:val="48"/>
          <w:szCs w:val="48"/>
        </w:rPr>
        <w:t>CIDE</w:t>
      </w:r>
    </w:p>
    <w:p w14:paraId="0ABC5FDC" w14:textId="77777777" w:rsidR="004631F2" w:rsidRPr="00E161B2" w:rsidRDefault="004631F2" w:rsidP="004631F2">
      <w:pPr>
        <w:ind w:right="-23"/>
        <w:jc w:val="both"/>
        <w:rPr>
          <w:rFonts w:ascii="Arial Narrow" w:hAnsi="Arial Narrow"/>
          <w:sz w:val="24"/>
          <w:highlight w:val="yellow"/>
        </w:rPr>
      </w:pPr>
    </w:p>
    <w:p w14:paraId="77B6282D" w14:textId="77777777" w:rsidR="004631F2" w:rsidRPr="00E161B2" w:rsidRDefault="004631F2" w:rsidP="004631F2">
      <w:pPr>
        <w:ind w:right="-23"/>
        <w:jc w:val="both"/>
        <w:rPr>
          <w:rFonts w:ascii="Arial Narrow" w:hAnsi="Arial Narrow"/>
          <w:sz w:val="24"/>
          <w:highlight w:val="yellow"/>
        </w:rPr>
      </w:pPr>
    </w:p>
    <w:p w14:paraId="22303B76" w14:textId="77777777" w:rsidR="004631F2" w:rsidRPr="00E161B2" w:rsidRDefault="004631F2" w:rsidP="004631F2">
      <w:pPr>
        <w:autoSpaceDE w:val="0"/>
        <w:autoSpaceDN w:val="0"/>
        <w:adjustRightInd w:val="0"/>
        <w:ind w:left="708" w:firstLine="708"/>
        <w:jc w:val="both"/>
        <w:rPr>
          <w:rFonts w:eastAsia="SimSun"/>
          <w:b/>
          <w:bCs/>
          <w:sz w:val="24"/>
          <w:szCs w:val="20"/>
        </w:rPr>
      </w:pPr>
      <w:r w:rsidRPr="00E161B2">
        <w:rPr>
          <w:b/>
          <w:bCs/>
          <w:sz w:val="24"/>
        </w:rPr>
        <w:t>ACTIVE CONSTITUENT:</w:t>
      </w:r>
      <w:r w:rsidRPr="00E161B2">
        <w:rPr>
          <w:b/>
          <w:bCs/>
          <w:sz w:val="24"/>
        </w:rPr>
        <w:tab/>
        <w:t>60</w:t>
      </w:r>
      <w:r w:rsidRPr="00E161B2">
        <w:rPr>
          <w:rFonts w:eastAsia="SimSun"/>
          <w:b/>
          <w:bCs/>
          <w:sz w:val="24"/>
          <w:szCs w:val="20"/>
        </w:rPr>
        <w:t xml:space="preserve"> g/L TOPRAMEZONE</w:t>
      </w:r>
    </w:p>
    <w:p w14:paraId="2F65F41C" w14:textId="77777777" w:rsidR="004631F2" w:rsidRPr="00E161B2" w:rsidRDefault="004631F2" w:rsidP="004631F2">
      <w:pPr>
        <w:autoSpaceDE w:val="0"/>
        <w:autoSpaceDN w:val="0"/>
        <w:adjustRightInd w:val="0"/>
        <w:ind w:left="3540" w:firstLine="708"/>
        <w:jc w:val="both"/>
        <w:rPr>
          <w:b/>
          <w:bCs/>
          <w:sz w:val="24"/>
        </w:rPr>
      </w:pPr>
      <w:r w:rsidRPr="00E161B2">
        <w:rPr>
          <w:b/>
          <w:bCs/>
          <w:sz w:val="24"/>
        </w:rPr>
        <w:t>60 g/L CLOQUINTOCET-MEXYL</w:t>
      </w:r>
    </w:p>
    <w:p w14:paraId="7552B2A1" w14:textId="77777777" w:rsidR="004631F2" w:rsidRPr="00E161B2" w:rsidRDefault="004631F2" w:rsidP="004631F2">
      <w:pPr>
        <w:ind w:left="1416" w:firstLine="708"/>
        <w:rPr>
          <w:rFonts w:cs="Arial"/>
          <w:b/>
          <w:snapToGrid w:val="0"/>
          <w:sz w:val="24"/>
          <w:szCs w:val="20"/>
        </w:rPr>
      </w:pPr>
      <w:r w:rsidRPr="00E161B2">
        <w:rPr>
          <w:rFonts w:cs="Arial"/>
          <w:b/>
          <w:snapToGrid w:val="0"/>
          <w:sz w:val="24"/>
          <w:szCs w:val="20"/>
        </w:rPr>
        <w:t xml:space="preserve">SOLVENT: </w:t>
      </w:r>
      <w:r w:rsidRPr="00E161B2">
        <w:rPr>
          <w:rFonts w:cs="Arial"/>
          <w:b/>
          <w:snapToGrid w:val="0"/>
          <w:sz w:val="24"/>
          <w:szCs w:val="20"/>
        </w:rPr>
        <w:tab/>
      </w:r>
      <w:r w:rsidRPr="00E161B2">
        <w:rPr>
          <w:rFonts w:cs="Arial"/>
          <w:b/>
          <w:snapToGrid w:val="0"/>
          <w:sz w:val="24"/>
          <w:szCs w:val="20"/>
        </w:rPr>
        <w:tab/>
        <w:t>320 g/L LIQUID HYDROCARBONS</w:t>
      </w:r>
    </w:p>
    <w:p w14:paraId="009BD03D" w14:textId="77777777" w:rsidR="004631F2" w:rsidRPr="00E161B2" w:rsidRDefault="004631F2" w:rsidP="004631F2">
      <w:pPr>
        <w:tabs>
          <w:tab w:val="left" w:pos="1985"/>
          <w:tab w:val="left" w:pos="4536"/>
        </w:tabs>
        <w:spacing w:line="240" w:lineRule="atLeast"/>
        <w:ind w:right="-23"/>
        <w:jc w:val="center"/>
        <w:rPr>
          <w:b/>
          <w:bCs/>
          <w:sz w:val="24"/>
        </w:rPr>
      </w:pPr>
    </w:p>
    <w:p w14:paraId="74907079" w14:textId="77777777" w:rsidR="004631F2" w:rsidRPr="00E161B2" w:rsidRDefault="004631F2" w:rsidP="004631F2">
      <w:pPr>
        <w:tabs>
          <w:tab w:val="left" w:pos="8280"/>
        </w:tabs>
        <w:jc w:val="center"/>
        <w:rPr>
          <w:sz w:val="24"/>
          <w:szCs w:val="20"/>
          <w:highlight w:val="yellow"/>
        </w:rPr>
      </w:pPr>
    </w:p>
    <w:tbl>
      <w:tblPr>
        <w:tblpPr w:leftFromText="180" w:rightFromText="180" w:vertAnchor="text" w:horzAnchor="margin" w:tblpXSpec="center" w:tblpY="140"/>
        <w:tblW w:w="0" w:type="auto"/>
        <w:tblBorders>
          <w:top w:val="single" w:sz="6" w:space="0" w:color="auto"/>
          <w:left w:val="single" w:sz="6" w:space="0" w:color="auto"/>
          <w:bottom w:val="single" w:sz="6" w:space="0" w:color="auto"/>
          <w:right w:val="single" w:sz="6" w:space="0" w:color="auto"/>
          <w:insideV w:val="single" w:sz="6" w:space="0" w:color="auto"/>
        </w:tblBorders>
        <w:tblCellMar>
          <w:left w:w="28" w:type="dxa"/>
          <w:right w:w="28" w:type="dxa"/>
        </w:tblCellMar>
        <w:tblLook w:val="0000" w:firstRow="0" w:lastRow="0" w:firstColumn="0" w:lastColumn="0" w:noHBand="0" w:noVBand="0"/>
      </w:tblPr>
      <w:tblGrid>
        <w:gridCol w:w="937"/>
        <w:gridCol w:w="345"/>
        <w:gridCol w:w="1146"/>
      </w:tblGrid>
      <w:tr w:rsidR="004631F2" w:rsidRPr="00E161B2" w14:paraId="564A787A" w14:textId="77777777" w:rsidTr="00F142B9">
        <w:tc>
          <w:tcPr>
            <w:tcW w:w="0" w:type="auto"/>
            <w:vAlign w:val="center"/>
          </w:tcPr>
          <w:p w14:paraId="6437DAA0" w14:textId="77777777" w:rsidR="004631F2" w:rsidRPr="00E161B2" w:rsidRDefault="004631F2" w:rsidP="00F142B9">
            <w:pPr>
              <w:ind w:right="-23"/>
              <w:jc w:val="both"/>
              <w:rPr>
                <w:rFonts w:ascii="Arial Narrow" w:hAnsi="Arial Narrow"/>
                <w:sz w:val="24"/>
                <w:lang w:val="pt-PT"/>
              </w:rPr>
            </w:pPr>
            <w:r w:rsidRPr="00E161B2">
              <w:rPr>
                <w:rFonts w:cs="Arial"/>
                <w:sz w:val="24"/>
                <w:lang w:val="pt-PT"/>
              </w:rPr>
              <w:t xml:space="preserve">GROUP  </w:t>
            </w:r>
          </w:p>
        </w:tc>
        <w:tc>
          <w:tcPr>
            <w:tcW w:w="0" w:type="auto"/>
            <w:tcBorders>
              <w:top w:val="single" w:sz="6" w:space="0" w:color="auto"/>
              <w:left w:val="single" w:sz="4" w:space="0" w:color="FFFFFF"/>
              <w:bottom w:val="single" w:sz="6" w:space="0" w:color="auto"/>
              <w:right w:val="nil"/>
            </w:tcBorders>
            <w:shd w:val="solid" w:color="auto" w:fill="auto"/>
            <w:vAlign w:val="center"/>
          </w:tcPr>
          <w:p w14:paraId="4DCB1D7E" w14:textId="77777777" w:rsidR="004631F2" w:rsidRPr="00E161B2" w:rsidRDefault="004631F2" w:rsidP="00F142B9">
            <w:pPr>
              <w:jc w:val="center"/>
              <w:rPr>
                <w:b/>
                <w:sz w:val="40"/>
                <w:szCs w:val="20"/>
              </w:rPr>
            </w:pPr>
            <w:r w:rsidRPr="00E161B2">
              <w:rPr>
                <w:b/>
                <w:sz w:val="40"/>
                <w:szCs w:val="20"/>
              </w:rPr>
              <w:t xml:space="preserve">H </w:t>
            </w:r>
          </w:p>
        </w:tc>
        <w:tc>
          <w:tcPr>
            <w:tcW w:w="0" w:type="auto"/>
            <w:vAlign w:val="center"/>
          </w:tcPr>
          <w:p w14:paraId="04373DCC" w14:textId="77777777" w:rsidR="004631F2" w:rsidRPr="00E161B2" w:rsidRDefault="004631F2" w:rsidP="00F142B9">
            <w:pPr>
              <w:jc w:val="both"/>
              <w:rPr>
                <w:szCs w:val="20"/>
              </w:rPr>
            </w:pPr>
            <w:r w:rsidRPr="00E161B2">
              <w:rPr>
                <w:szCs w:val="20"/>
                <w:lang w:val="pt-PT"/>
              </w:rPr>
              <w:t>HERBICIDE</w:t>
            </w:r>
          </w:p>
        </w:tc>
      </w:tr>
    </w:tbl>
    <w:p w14:paraId="01FCB119" w14:textId="77777777" w:rsidR="004631F2" w:rsidRPr="00E161B2" w:rsidRDefault="004631F2" w:rsidP="004631F2">
      <w:pPr>
        <w:tabs>
          <w:tab w:val="left" w:pos="8280"/>
        </w:tabs>
        <w:jc w:val="center"/>
        <w:rPr>
          <w:sz w:val="24"/>
          <w:szCs w:val="20"/>
          <w:highlight w:val="yellow"/>
        </w:rPr>
      </w:pPr>
    </w:p>
    <w:p w14:paraId="5622B837" w14:textId="77777777" w:rsidR="004631F2" w:rsidRPr="00E161B2" w:rsidRDefault="004631F2" w:rsidP="004631F2">
      <w:pPr>
        <w:ind w:right="-23"/>
        <w:jc w:val="both"/>
        <w:rPr>
          <w:rFonts w:ascii="Arial Narrow" w:hAnsi="Arial Narrow"/>
          <w:sz w:val="24"/>
          <w:highlight w:val="yellow"/>
          <w:lang w:val="pt-PT"/>
        </w:rPr>
      </w:pPr>
    </w:p>
    <w:p w14:paraId="0D01EF4D" w14:textId="77777777" w:rsidR="004631F2" w:rsidRPr="00E161B2" w:rsidRDefault="004631F2" w:rsidP="004631F2">
      <w:pPr>
        <w:ind w:right="-23"/>
        <w:jc w:val="both"/>
        <w:rPr>
          <w:rFonts w:ascii="Arial Narrow" w:hAnsi="Arial Narrow"/>
          <w:sz w:val="24"/>
          <w:highlight w:val="yellow"/>
          <w:lang w:val="pt-PT"/>
        </w:rPr>
      </w:pPr>
    </w:p>
    <w:p w14:paraId="1E4614DF" w14:textId="77777777" w:rsidR="004631F2" w:rsidRPr="00E161B2" w:rsidRDefault="004631F2" w:rsidP="004631F2">
      <w:pPr>
        <w:spacing w:line="240" w:lineRule="atLeast"/>
        <w:ind w:right="-23"/>
        <w:jc w:val="center"/>
        <w:rPr>
          <w:sz w:val="24"/>
          <w:highlight w:val="yellow"/>
        </w:rPr>
      </w:pPr>
    </w:p>
    <w:p w14:paraId="019B75D3" w14:textId="77777777" w:rsidR="004631F2" w:rsidRPr="00E161B2" w:rsidRDefault="004631F2" w:rsidP="004631F2">
      <w:pPr>
        <w:spacing w:line="240" w:lineRule="atLeast"/>
        <w:ind w:right="-23"/>
        <w:jc w:val="center"/>
        <w:rPr>
          <w:sz w:val="24"/>
          <w:highlight w:val="yellow"/>
          <w:lang w:val="pt-PT"/>
        </w:rPr>
      </w:pPr>
    </w:p>
    <w:p w14:paraId="4403C5B7" w14:textId="77777777" w:rsidR="004631F2" w:rsidRPr="00E161B2" w:rsidRDefault="004631F2" w:rsidP="004631F2">
      <w:pPr>
        <w:jc w:val="center"/>
        <w:rPr>
          <w:rFonts w:eastAsia="SimSun"/>
          <w:sz w:val="24"/>
          <w:highlight w:val="yellow"/>
        </w:rPr>
      </w:pPr>
      <w:r w:rsidRPr="00E161B2">
        <w:rPr>
          <w:rFonts w:eastAsia="SimSun"/>
          <w:sz w:val="24"/>
        </w:rPr>
        <w:t>For the control of certain broadleaved weeds including wild radish and suppression of wild oats in winter cereals as indicated in the Directions for Use table.</w:t>
      </w:r>
    </w:p>
    <w:p w14:paraId="5FC4E1CF" w14:textId="77777777" w:rsidR="004631F2" w:rsidRPr="00E161B2" w:rsidRDefault="004631F2" w:rsidP="004631F2">
      <w:pPr>
        <w:jc w:val="center"/>
        <w:rPr>
          <w:sz w:val="24"/>
          <w:highlight w:val="yellow"/>
        </w:rPr>
      </w:pPr>
    </w:p>
    <w:p w14:paraId="1F17AFD2" w14:textId="77777777" w:rsidR="004631F2" w:rsidRPr="00E161B2" w:rsidRDefault="004631F2" w:rsidP="004631F2">
      <w:pPr>
        <w:spacing w:line="240" w:lineRule="atLeast"/>
        <w:ind w:right="-23"/>
        <w:jc w:val="center"/>
        <w:rPr>
          <w:rFonts w:cs="Arial"/>
          <w:sz w:val="24"/>
        </w:rPr>
      </w:pPr>
      <w:r w:rsidRPr="00E161B2">
        <w:rPr>
          <w:rFonts w:cs="Arial"/>
          <w:bCs/>
          <w:sz w:val="24"/>
        </w:rPr>
        <w:t>IMPORTANT: READ THIS LEAFLET BEFORE USING THIS PRODUCT</w:t>
      </w:r>
    </w:p>
    <w:p w14:paraId="6AC0DB29" w14:textId="77777777" w:rsidR="004631F2" w:rsidRPr="00E161B2" w:rsidRDefault="004631F2" w:rsidP="004631F2">
      <w:pPr>
        <w:spacing w:line="240" w:lineRule="atLeast"/>
        <w:ind w:right="-23"/>
        <w:jc w:val="both"/>
        <w:rPr>
          <w:rFonts w:cs="Arial"/>
          <w:sz w:val="24"/>
        </w:rPr>
      </w:pPr>
    </w:p>
    <w:p w14:paraId="03A4A5DD" w14:textId="77777777" w:rsidR="004631F2" w:rsidRPr="00E161B2" w:rsidRDefault="004631F2" w:rsidP="004631F2">
      <w:pPr>
        <w:jc w:val="center"/>
        <w:rPr>
          <w:rFonts w:cs="Arial"/>
          <w:sz w:val="24"/>
        </w:rPr>
      </w:pPr>
    </w:p>
    <w:p w14:paraId="5E7BCD53" w14:textId="77777777" w:rsidR="004631F2" w:rsidRPr="00E161B2" w:rsidRDefault="004631F2" w:rsidP="004631F2">
      <w:pPr>
        <w:spacing w:line="240" w:lineRule="atLeast"/>
        <w:ind w:right="-23"/>
        <w:jc w:val="center"/>
        <w:rPr>
          <w:rFonts w:cs="Arial"/>
          <w:sz w:val="24"/>
        </w:rPr>
      </w:pPr>
      <w:r w:rsidRPr="00E161B2">
        <w:rPr>
          <w:rFonts w:cs="Arial"/>
          <w:sz w:val="24"/>
        </w:rPr>
        <w:t xml:space="preserve">CONTENTS: </w:t>
      </w:r>
      <w:bookmarkStart w:id="62" w:name="_Hlk529958999"/>
      <w:r w:rsidRPr="00E161B2">
        <w:rPr>
          <w:rFonts w:cs="Arial"/>
          <w:sz w:val="24"/>
        </w:rPr>
        <w:t>5L, 10L, 15L, 20L, 110L, 1000L</w:t>
      </w:r>
      <w:bookmarkEnd w:id="62"/>
    </w:p>
    <w:p w14:paraId="4E80D247" w14:textId="77777777" w:rsidR="004631F2" w:rsidRPr="00E161B2" w:rsidRDefault="004631F2" w:rsidP="004631F2">
      <w:pPr>
        <w:ind w:right="-23"/>
        <w:jc w:val="right"/>
        <w:rPr>
          <w:sz w:val="24"/>
        </w:rPr>
      </w:pPr>
    </w:p>
    <w:p w14:paraId="3F0FC190" w14:textId="77777777" w:rsidR="004631F2" w:rsidRPr="00E161B2" w:rsidRDefault="004631F2" w:rsidP="004631F2">
      <w:pPr>
        <w:tabs>
          <w:tab w:val="left" w:pos="696"/>
          <w:tab w:val="left" w:pos="1296"/>
          <w:tab w:val="left" w:pos="1896"/>
          <w:tab w:val="left" w:pos="2496"/>
          <w:tab w:val="left" w:pos="3096"/>
          <w:tab w:val="left" w:pos="3696"/>
          <w:tab w:val="left" w:pos="4296"/>
          <w:tab w:val="left" w:pos="4896"/>
          <w:tab w:val="left" w:pos="5496"/>
          <w:tab w:val="left" w:pos="6096"/>
          <w:tab w:val="left" w:pos="6696"/>
          <w:tab w:val="left" w:pos="7296"/>
          <w:tab w:val="left" w:pos="7896"/>
          <w:tab w:val="left" w:pos="8496"/>
        </w:tabs>
        <w:suppressAutoHyphens/>
        <w:ind w:right="-23"/>
        <w:jc w:val="center"/>
        <w:rPr>
          <w:sz w:val="24"/>
        </w:rPr>
      </w:pPr>
      <w:r w:rsidRPr="00E161B2">
        <w:rPr>
          <w:sz w:val="24"/>
        </w:rPr>
        <w:t>BASF Australia Ltd ABN 62 008 437 867</w:t>
      </w:r>
    </w:p>
    <w:p w14:paraId="5A818DFF" w14:textId="77777777" w:rsidR="004631F2" w:rsidRPr="00E161B2" w:rsidRDefault="004631F2" w:rsidP="004631F2">
      <w:pPr>
        <w:tabs>
          <w:tab w:val="left" w:pos="696"/>
          <w:tab w:val="left" w:pos="1296"/>
          <w:tab w:val="left" w:pos="1896"/>
          <w:tab w:val="left" w:pos="2496"/>
          <w:tab w:val="left" w:pos="3096"/>
          <w:tab w:val="left" w:pos="3696"/>
          <w:tab w:val="left" w:pos="4296"/>
          <w:tab w:val="left" w:pos="4896"/>
          <w:tab w:val="left" w:pos="5496"/>
          <w:tab w:val="left" w:pos="6096"/>
          <w:tab w:val="left" w:pos="6696"/>
          <w:tab w:val="left" w:pos="7296"/>
          <w:tab w:val="left" w:pos="7896"/>
          <w:tab w:val="left" w:pos="8496"/>
        </w:tabs>
        <w:suppressAutoHyphens/>
        <w:ind w:right="-23"/>
        <w:jc w:val="center"/>
        <w:rPr>
          <w:rFonts w:cs="Arial"/>
          <w:sz w:val="24"/>
        </w:rPr>
      </w:pPr>
      <w:r w:rsidRPr="00E161B2">
        <w:rPr>
          <w:sz w:val="24"/>
        </w:rPr>
        <w:t>Level 12, 28 Freshwater Place</w:t>
      </w:r>
      <w:r>
        <w:rPr>
          <w:rFonts w:cs="Arial"/>
          <w:sz w:val="24"/>
        </w:rPr>
        <w:t xml:space="preserve"> Southbank VICTORIA </w:t>
      </w:r>
      <w:r w:rsidRPr="00E161B2">
        <w:rPr>
          <w:rFonts w:cs="Arial"/>
          <w:sz w:val="24"/>
        </w:rPr>
        <w:t>3006</w:t>
      </w:r>
    </w:p>
    <w:p w14:paraId="373163ED" w14:textId="77777777" w:rsidR="004631F2" w:rsidRPr="00E161B2" w:rsidRDefault="004631F2" w:rsidP="004631F2">
      <w:pPr>
        <w:tabs>
          <w:tab w:val="left" w:pos="696"/>
          <w:tab w:val="left" w:pos="1296"/>
          <w:tab w:val="left" w:pos="1896"/>
          <w:tab w:val="left" w:pos="2496"/>
          <w:tab w:val="left" w:pos="3096"/>
          <w:tab w:val="left" w:pos="3696"/>
          <w:tab w:val="left" w:pos="4296"/>
          <w:tab w:val="left" w:pos="4896"/>
          <w:tab w:val="left" w:pos="5496"/>
          <w:tab w:val="left" w:pos="6096"/>
          <w:tab w:val="left" w:pos="6696"/>
          <w:tab w:val="left" w:pos="7296"/>
          <w:tab w:val="left" w:pos="7896"/>
          <w:tab w:val="left" w:pos="8496"/>
        </w:tabs>
        <w:suppressAutoHyphens/>
        <w:ind w:right="-23"/>
        <w:jc w:val="center"/>
        <w:rPr>
          <w:rFonts w:cs="Arial"/>
          <w:sz w:val="24"/>
        </w:rPr>
      </w:pPr>
    </w:p>
    <w:p w14:paraId="7CD35156" w14:textId="77777777" w:rsidR="004631F2" w:rsidRPr="00E161B2" w:rsidRDefault="004631F2" w:rsidP="004631F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spacing w:line="240" w:lineRule="exact"/>
        <w:ind w:right="-23"/>
        <w:jc w:val="center"/>
        <w:rPr>
          <w:rFonts w:cs="Arial"/>
          <w:spacing w:val="-3"/>
          <w:sz w:val="24"/>
        </w:rPr>
      </w:pPr>
      <w:r w:rsidRPr="00E161B2">
        <w:rPr>
          <w:rFonts w:cs="Arial"/>
          <w:spacing w:val="-3"/>
          <w:sz w:val="24"/>
        </w:rPr>
        <w:t>® Registered trademark of BASF</w:t>
      </w:r>
    </w:p>
    <w:p w14:paraId="51E45311" w14:textId="77777777" w:rsidR="004631F2" w:rsidRPr="00E161B2" w:rsidRDefault="004631F2" w:rsidP="004631F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spacing w:line="240" w:lineRule="exact"/>
        <w:ind w:right="-23"/>
        <w:jc w:val="center"/>
        <w:rPr>
          <w:rFonts w:cs="Arial"/>
          <w:spacing w:val="-3"/>
          <w:sz w:val="24"/>
        </w:rPr>
      </w:pPr>
    </w:p>
    <w:p w14:paraId="3F5392B6" w14:textId="77777777" w:rsidR="004631F2" w:rsidRPr="00E161B2" w:rsidRDefault="004631F2" w:rsidP="004631F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spacing w:line="240" w:lineRule="exact"/>
        <w:ind w:right="-23"/>
        <w:jc w:val="center"/>
        <w:rPr>
          <w:rFonts w:cs="Arial"/>
          <w:spacing w:val="-3"/>
          <w:sz w:val="24"/>
        </w:rPr>
      </w:pPr>
    </w:p>
    <w:p w14:paraId="04301A4D" w14:textId="24BAA8B9" w:rsidR="004631F2" w:rsidRPr="00E161B2" w:rsidRDefault="004631F2" w:rsidP="004631F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spacing w:line="240" w:lineRule="exact"/>
        <w:ind w:right="-23"/>
        <w:jc w:val="center"/>
        <w:rPr>
          <w:rFonts w:cs="Arial"/>
          <w:spacing w:val="-2"/>
          <w:sz w:val="24"/>
          <w:highlight w:val="yellow"/>
        </w:rPr>
      </w:pPr>
      <w:r w:rsidRPr="00E161B2">
        <w:rPr>
          <w:rFonts w:cs="Arial"/>
          <w:spacing w:val="-3"/>
          <w:sz w:val="24"/>
        </w:rPr>
        <w:t xml:space="preserve">APVMA Approval No.: </w:t>
      </w:r>
      <w:r w:rsidRPr="00E161B2">
        <w:rPr>
          <w:rFonts w:cs="Arial"/>
          <w:sz w:val="24"/>
        </w:rPr>
        <w:t>86267/115160</w:t>
      </w:r>
    </w:p>
    <w:p w14:paraId="446DA8B4" w14:textId="77777777" w:rsidR="004631F2" w:rsidRPr="00E161B2" w:rsidRDefault="004631F2" w:rsidP="004631F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spacing w:line="240" w:lineRule="exact"/>
        <w:ind w:right="-23"/>
        <w:jc w:val="center"/>
        <w:rPr>
          <w:rFonts w:cs="Arial"/>
          <w:spacing w:val="-2"/>
          <w:sz w:val="24"/>
          <w:highlight w:val="yellow"/>
        </w:rPr>
      </w:pPr>
    </w:p>
    <w:p w14:paraId="3DEDEC17" w14:textId="77777777" w:rsidR="004631F2" w:rsidRPr="00E161B2" w:rsidRDefault="004631F2" w:rsidP="004631F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spacing w:line="240" w:lineRule="exact"/>
        <w:ind w:right="-23"/>
        <w:jc w:val="center"/>
        <w:rPr>
          <w:rFonts w:cs="Arial"/>
          <w:spacing w:val="-2"/>
          <w:sz w:val="24"/>
          <w:highlight w:val="yellow"/>
        </w:rPr>
      </w:pPr>
    </w:p>
    <w:p w14:paraId="5CE41D29" w14:textId="77777777" w:rsidR="00F27E0D" w:rsidRDefault="00F27E0D">
      <w:pPr>
        <w:pStyle w:val="APVMAText"/>
      </w:pPr>
    </w:p>
    <w:p w14:paraId="363F9A04" w14:textId="3EDCA215" w:rsidR="00F27E0D" w:rsidRDefault="00F27E0D">
      <w:pPr>
        <w:pStyle w:val="APVMAText"/>
      </w:pPr>
    </w:p>
    <w:p w14:paraId="258AE8AC" w14:textId="1183A668" w:rsidR="004631F2" w:rsidRPr="00353939" w:rsidRDefault="00276C28" w:rsidP="004631F2">
      <w:pPr>
        <w:pStyle w:val="NoSpacing"/>
        <w:rPr>
          <w:rFonts w:ascii="Arial Narrow" w:hAnsi="Arial Narrow"/>
          <w:b/>
          <w:sz w:val="24"/>
          <w:szCs w:val="24"/>
          <w:lang w:val="en-AU"/>
        </w:rPr>
      </w:pPr>
      <w:r>
        <w:rPr>
          <w:rFonts w:ascii="Arial Narrow" w:hAnsi="Arial Narrow"/>
          <w:b/>
          <w:sz w:val="24"/>
          <w:szCs w:val="24"/>
          <w:lang w:val="en-AU"/>
        </w:rPr>
        <w:lastRenderedPageBreak/>
        <w:t>DIRECTIONS FOR USE</w:t>
      </w:r>
    </w:p>
    <w:p w14:paraId="5D0CD9F0" w14:textId="77777777" w:rsidR="004631F2" w:rsidRPr="00353939" w:rsidRDefault="004631F2" w:rsidP="004631F2">
      <w:pPr>
        <w:pStyle w:val="NoSpacing"/>
        <w:rPr>
          <w:rFonts w:ascii="Arial Narrow" w:hAnsi="Arial Narrow"/>
          <w:b/>
          <w:sz w:val="24"/>
          <w:szCs w:val="24"/>
          <w:lang w:val="en-AU"/>
        </w:rPr>
      </w:pPr>
    </w:p>
    <w:p w14:paraId="5111A2A7" w14:textId="77777777" w:rsidR="004631F2" w:rsidRPr="00353939" w:rsidRDefault="004631F2" w:rsidP="004631F2">
      <w:pPr>
        <w:pStyle w:val="NoSpacing"/>
        <w:rPr>
          <w:rFonts w:ascii="Arial Narrow" w:hAnsi="Arial Narrow"/>
          <w:b/>
          <w:sz w:val="24"/>
          <w:szCs w:val="24"/>
          <w:lang w:val="en-AU"/>
        </w:rPr>
      </w:pPr>
      <w:r w:rsidRPr="00353939">
        <w:rPr>
          <w:rFonts w:ascii="Arial Narrow" w:hAnsi="Arial Narrow"/>
          <w:b/>
          <w:sz w:val="24"/>
          <w:szCs w:val="24"/>
          <w:lang w:val="en-AU"/>
        </w:rPr>
        <w:t>RESTRAINTS</w:t>
      </w:r>
    </w:p>
    <w:p w14:paraId="2C99D209" w14:textId="77777777" w:rsidR="004631F2" w:rsidRPr="00353939" w:rsidRDefault="004631F2" w:rsidP="004631F2">
      <w:pPr>
        <w:pStyle w:val="NoSpacing"/>
        <w:rPr>
          <w:rFonts w:ascii="Arial Narrow" w:hAnsi="Arial Narrow"/>
          <w:sz w:val="24"/>
          <w:szCs w:val="24"/>
          <w:lang w:val="en-AU"/>
        </w:rPr>
      </w:pPr>
      <w:r w:rsidRPr="00353939">
        <w:rPr>
          <w:rFonts w:ascii="Arial Narrow" w:hAnsi="Arial Narrow"/>
          <w:sz w:val="24"/>
          <w:szCs w:val="24"/>
          <w:lang w:val="en-AU"/>
        </w:rPr>
        <w:t>DO NOT apply by air</w:t>
      </w:r>
      <w:r>
        <w:rPr>
          <w:rFonts w:ascii="Arial Narrow" w:hAnsi="Arial Narrow"/>
          <w:sz w:val="24"/>
          <w:szCs w:val="24"/>
          <w:lang w:val="en-AU"/>
        </w:rPr>
        <w:t>craft</w:t>
      </w:r>
    </w:p>
    <w:p w14:paraId="241B764B" w14:textId="77777777" w:rsidR="004631F2" w:rsidRPr="00353939" w:rsidRDefault="004631F2" w:rsidP="004631F2">
      <w:pPr>
        <w:pStyle w:val="NoSpacing"/>
        <w:rPr>
          <w:rFonts w:ascii="Arial Narrow" w:hAnsi="Arial Narrow"/>
          <w:sz w:val="24"/>
          <w:szCs w:val="24"/>
        </w:rPr>
      </w:pPr>
      <w:r w:rsidRPr="00353939">
        <w:rPr>
          <w:rFonts w:ascii="Arial Narrow" w:hAnsi="Arial Narrow"/>
          <w:sz w:val="24"/>
          <w:szCs w:val="24"/>
        </w:rPr>
        <w:t>DO NOT apply after the 2-node stage (Z32)</w:t>
      </w:r>
    </w:p>
    <w:p w14:paraId="4C95D89D" w14:textId="77777777" w:rsidR="004631F2" w:rsidRPr="00353939" w:rsidRDefault="004631F2" w:rsidP="004631F2">
      <w:pPr>
        <w:jc w:val="both"/>
        <w:rPr>
          <w:rFonts w:ascii="Arial Narrow" w:hAnsi="Arial Narrow"/>
          <w:sz w:val="24"/>
        </w:rPr>
      </w:pPr>
      <w:r w:rsidRPr="00353939">
        <w:rPr>
          <w:rFonts w:ascii="Arial Narrow" w:hAnsi="Arial Narrow"/>
          <w:sz w:val="24"/>
        </w:rPr>
        <w:t>DO NOT apply to crops that are stressed through disease, insect damage, frost, nutrient deficiencies, other herbicide use, excessively moist or dry conditions, or inappropriate soil type</w:t>
      </w:r>
    </w:p>
    <w:p w14:paraId="2BA3CFCF" w14:textId="77777777" w:rsidR="004631F2" w:rsidRPr="00353939" w:rsidRDefault="004631F2" w:rsidP="004631F2">
      <w:pPr>
        <w:jc w:val="both"/>
        <w:rPr>
          <w:rFonts w:ascii="Arial Narrow" w:hAnsi="Arial Narrow"/>
          <w:sz w:val="24"/>
        </w:rPr>
      </w:pPr>
      <w:r w:rsidRPr="00353939">
        <w:rPr>
          <w:rFonts w:ascii="Arial Narrow" w:hAnsi="Arial Narrow"/>
          <w:sz w:val="24"/>
        </w:rPr>
        <w:t>DO NOT apply if rain is expected within 2 hours</w:t>
      </w:r>
    </w:p>
    <w:p w14:paraId="46680AB2" w14:textId="77777777" w:rsidR="004631F2" w:rsidRDefault="004631F2" w:rsidP="004631F2">
      <w:pPr>
        <w:jc w:val="both"/>
        <w:rPr>
          <w:rFonts w:ascii="Arial Narrow" w:hAnsi="Arial Narrow"/>
          <w:sz w:val="24"/>
        </w:rPr>
      </w:pPr>
      <w:r w:rsidRPr="00353939">
        <w:rPr>
          <w:rFonts w:ascii="Arial Narrow" w:hAnsi="Arial Narrow"/>
          <w:sz w:val="24"/>
        </w:rPr>
        <w:t>DO NOT apply more than 1 application per season</w:t>
      </w:r>
      <w:r>
        <w:rPr>
          <w:rFonts w:ascii="Arial Narrow" w:hAnsi="Arial Narrow"/>
          <w:sz w:val="24"/>
        </w:rPr>
        <w:t>.</w:t>
      </w:r>
    </w:p>
    <w:p w14:paraId="206F27FB" w14:textId="77777777" w:rsidR="004631F2" w:rsidRPr="004576A9" w:rsidRDefault="004631F2" w:rsidP="004631F2">
      <w:pPr>
        <w:jc w:val="both"/>
        <w:rPr>
          <w:rFonts w:ascii="Arial Narrow" w:hAnsi="Arial Narrow"/>
          <w:sz w:val="24"/>
        </w:rPr>
      </w:pPr>
      <w:r w:rsidRPr="004576A9">
        <w:rPr>
          <w:rFonts w:ascii="Arial Narrow" w:hAnsi="Arial Narrow"/>
          <w:sz w:val="24"/>
        </w:rPr>
        <w:t>DO NOT apply if heavy rains or storms are forecast within 3 days.</w:t>
      </w:r>
    </w:p>
    <w:p w14:paraId="635D8F70" w14:textId="77777777" w:rsidR="004631F2" w:rsidRPr="00353939" w:rsidRDefault="004631F2" w:rsidP="004631F2">
      <w:pPr>
        <w:jc w:val="both"/>
        <w:rPr>
          <w:rFonts w:ascii="Arial Narrow" w:hAnsi="Arial Narrow"/>
          <w:sz w:val="24"/>
        </w:rPr>
      </w:pPr>
      <w:r w:rsidRPr="004576A9">
        <w:rPr>
          <w:rFonts w:ascii="Arial Narrow" w:hAnsi="Arial Narrow"/>
          <w:sz w:val="24"/>
        </w:rPr>
        <w:t>DO NOT irrigate to the point of runoff for at least 3 days after application.</w:t>
      </w:r>
    </w:p>
    <w:p w14:paraId="1754B1ED" w14:textId="77777777" w:rsidR="004631F2" w:rsidRPr="00E161B2" w:rsidRDefault="004631F2" w:rsidP="004631F2">
      <w:pPr>
        <w:jc w:val="both"/>
        <w:rPr>
          <w:rFonts w:ascii="Arial Narrow" w:hAnsi="Arial Narrow"/>
          <w:sz w:val="24"/>
        </w:rPr>
      </w:pPr>
    </w:p>
    <w:p w14:paraId="273A9CB4" w14:textId="77777777" w:rsidR="004631F2" w:rsidRPr="00E161B2" w:rsidRDefault="004631F2" w:rsidP="004631F2">
      <w:pPr>
        <w:jc w:val="both"/>
        <w:rPr>
          <w:rFonts w:ascii="Arial Narrow" w:hAnsi="Arial Narrow"/>
          <w:b/>
          <w:sz w:val="24"/>
        </w:rPr>
      </w:pPr>
      <w:r w:rsidRPr="00E161B2">
        <w:rPr>
          <w:rFonts w:ascii="Arial Narrow" w:hAnsi="Arial Narrow"/>
          <w:b/>
          <w:sz w:val="24"/>
        </w:rPr>
        <w:t>Spray Drift Restraints</w:t>
      </w:r>
    </w:p>
    <w:p w14:paraId="0E9A636F" w14:textId="77777777" w:rsidR="004631F2" w:rsidRPr="00E161B2" w:rsidRDefault="004631F2" w:rsidP="004631F2">
      <w:pPr>
        <w:jc w:val="both"/>
        <w:rPr>
          <w:rFonts w:ascii="Arial Narrow" w:hAnsi="Arial Narrow"/>
          <w:b/>
          <w:sz w:val="24"/>
        </w:rPr>
      </w:pPr>
      <w:r w:rsidRPr="00E161B2">
        <w:rPr>
          <w:rFonts w:ascii="Arial Narrow" w:hAnsi="Arial Narrow"/>
          <w:b/>
          <w:bCs/>
          <w:sz w:val="24"/>
        </w:rPr>
        <w:t xml:space="preserve">DO NOT </w:t>
      </w:r>
      <w:r w:rsidRPr="00E161B2">
        <w:rPr>
          <w:rFonts w:ascii="Arial Narrow" w:hAnsi="Arial Narrow"/>
          <w:sz w:val="24"/>
        </w:rPr>
        <w:t xml:space="preserve">apply with spray droplets smaller than a </w:t>
      </w:r>
      <w:r w:rsidRPr="00E161B2">
        <w:rPr>
          <w:rFonts w:ascii="Arial Narrow" w:hAnsi="Arial Narrow"/>
          <w:b/>
          <w:bCs/>
          <w:sz w:val="24"/>
        </w:rPr>
        <w:t xml:space="preserve">MEDIUM </w:t>
      </w:r>
      <w:r w:rsidRPr="00E161B2">
        <w:rPr>
          <w:rFonts w:ascii="Arial Narrow" w:hAnsi="Arial Narrow"/>
          <w:sz w:val="24"/>
        </w:rPr>
        <w:t>spray droplet size category according to nozzle manufacturer specifications that refer to the ASAE S572 Standard or the British Crop Production Council guideline.</w:t>
      </w:r>
    </w:p>
    <w:p w14:paraId="53E55C16" w14:textId="77777777" w:rsidR="004631F2" w:rsidRPr="00E161B2" w:rsidRDefault="004631F2" w:rsidP="004631F2">
      <w:pPr>
        <w:jc w:val="both"/>
        <w:rPr>
          <w:rFonts w:ascii="Arial Narrow" w:hAnsi="Arial Narrow"/>
          <w:sz w:val="24"/>
        </w:rPr>
      </w:pPr>
      <w:r w:rsidRPr="00E161B2">
        <w:rPr>
          <w:rFonts w:ascii="Arial Narrow" w:hAnsi="Arial Narrow"/>
          <w:sz w:val="24"/>
        </w:rPr>
        <w:t xml:space="preserve">DO NOT apply when wind speed is less than 3 or more than 20 kilometres per hour, as measured at the application site. </w:t>
      </w:r>
    </w:p>
    <w:p w14:paraId="210A8BC4" w14:textId="77777777" w:rsidR="004631F2" w:rsidRPr="00E161B2" w:rsidRDefault="004631F2" w:rsidP="004631F2">
      <w:pPr>
        <w:jc w:val="both"/>
        <w:rPr>
          <w:rFonts w:ascii="Arial Narrow" w:hAnsi="Arial Narrow"/>
          <w:sz w:val="24"/>
        </w:rPr>
      </w:pPr>
      <w:r w:rsidRPr="00E161B2">
        <w:rPr>
          <w:rFonts w:ascii="Arial Narrow" w:hAnsi="Arial Narrow"/>
          <w:sz w:val="24"/>
        </w:rPr>
        <w:t xml:space="preserve">DO NOT apply during surface temperature inversion conditions at the application site. </w:t>
      </w:r>
    </w:p>
    <w:p w14:paraId="2CA09487" w14:textId="77777777" w:rsidR="004631F2" w:rsidRPr="00E161B2" w:rsidRDefault="004631F2" w:rsidP="004631F2">
      <w:pPr>
        <w:jc w:val="both"/>
        <w:rPr>
          <w:rFonts w:ascii="Arial Narrow" w:hAnsi="Arial Narrow"/>
          <w:sz w:val="24"/>
          <w:szCs w:val="20"/>
        </w:rPr>
      </w:pPr>
    </w:p>
    <w:p w14:paraId="276ECCF8" w14:textId="77777777" w:rsidR="004631F2" w:rsidRDefault="004631F2" w:rsidP="004631F2">
      <w:pPr>
        <w:jc w:val="both"/>
        <w:rPr>
          <w:rFonts w:ascii="Arial Narrow" w:hAnsi="Arial Narrow"/>
          <w:sz w:val="24"/>
          <w:szCs w:val="20"/>
        </w:rPr>
      </w:pPr>
      <w:r w:rsidRPr="00E161B2">
        <w:rPr>
          <w:rFonts w:ascii="Arial Narrow" w:hAnsi="Arial Narrow"/>
          <w:sz w:val="24"/>
          <w:szCs w:val="20"/>
        </w:rPr>
        <w:t xml:space="preserve">Users of this product </w:t>
      </w:r>
      <w:r w:rsidRPr="00E161B2">
        <w:rPr>
          <w:rFonts w:ascii="Arial Narrow" w:hAnsi="Arial Narrow"/>
          <w:b/>
          <w:sz w:val="24"/>
          <w:szCs w:val="20"/>
        </w:rPr>
        <w:t>MUST make an accurate written record</w:t>
      </w:r>
      <w:r w:rsidRPr="00E161B2">
        <w:rPr>
          <w:rFonts w:ascii="Arial Narrow" w:hAnsi="Arial Narrow"/>
          <w:sz w:val="24"/>
          <w:szCs w:val="20"/>
        </w:rPr>
        <w:t xml:space="preserve"> of the details of each spray application within 24 hours following application, and must </w:t>
      </w:r>
      <w:r w:rsidRPr="00E161B2">
        <w:rPr>
          <w:rFonts w:ascii="Arial Narrow" w:hAnsi="Arial Narrow"/>
          <w:b/>
          <w:sz w:val="24"/>
          <w:szCs w:val="20"/>
        </w:rPr>
        <w:t>KEEP</w:t>
      </w:r>
      <w:r w:rsidRPr="00E161B2">
        <w:rPr>
          <w:rFonts w:ascii="Arial Narrow" w:hAnsi="Arial Narrow"/>
          <w:sz w:val="24"/>
          <w:szCs w:val="20"/>
        </w:rPr>
        <w:t xml:space="preserve"> this record for at least 2 years. The spray application details that must be recorded are: </w:t>
      </w:r>
    </w:p>
    <w:p w14:paraId="60BA1C56" w14:textId="77777777" w:rsidR="004631F2" w:rsidRPr="00E161B2" w:rsidRDefault="004631F2" w:rsidP="004631F2">
      <w:pPr>
        <w:jc w:val="both"/>
        <w:rPr>
          <w:rFonts w:ascii="Arial Narrow" w:hAnsi="Arial Narrow"/>
          <w:sz w:val="24"/>
          <w:szCs w:val="20"/>
        </w:rPr>
      </w:pPr>
    </w:p>
    <w:p w14:paraId="5EDDEBB4" w14:textId="77777777" w:rsidR="004631F2" w:rsidRPr="00E161B2" w:rsidRDefault="004631F2" w:rsidP="00EB427D">
      <w:pPr>
        <w:numPr>
          <w:ilvl w:val="0"/>
          <w:numId w:val="11"/>
        </w:numPr>
        <w:jc w:val="both"/>
        <w:rPr>
          <w:rFonts w:ascii="Arial Narrow" w:hAnsi="Arial Narrow"/>
          <w:sz w:val="24"/>
          <w:szCs w:val="20"/>
        </w:rPr>
      </w:pPr>
      <w:r w:rsidRPr="00E161B2">
        <w:rPr>
          <w:rFonts w:ascii="Arial Narrow" w:hAnsi="Arial Narrow"/>
          <w:sz w:val="24"/>
          <w:szCs w:val="20"/>
        </w:rPr>
        <w:t xml:space="preserve">date with start and finish times of application </w:t>
      </w:r>
    </w:p>
    <w:p w14:paraId="02A837C7" w14:textId="77777777" w:rsidR="004631F2" w:rsidRPr="00E161B2" w:rsidRDefault="004631F2" w:rsidP="00EB427D">
      <w:pPr>
        <w:numPr>
          <w:ilvl w:val="0"/>
          <w:numId w:val="11"/>
        </w:numPr>
        <w:jc w:val="both"/>
        <w:rPr>
          <w:rFonts w:ascii="Arial Narrow" w:hAnsi="Arial Narrow"/>
          <w:sz w:val="24"/>
          <w:szCs w:val="20"/>
        </w:rPr>
      </w:pPr>
      <w:r w:rsidRPr="00E161B2">
        <w:rPr>
          <w:rFonts w:ascii="Arial Narrow" w:hAnsi="Arial Narrow"/>
          <w:sz w:val="24"/>
          <w:szCs w:val="20"/>
        </w:rPr>
        <w:t xml:space="preserve">location address and paddock(s) sprayed </w:t>
      </w:r>
    </w:p>
    <w:p w14:paraId="0A70898A" w14:textId="77777777" w:rsidR="004631F2" w:rsidRPr="00E161B2" w:rsidRDefault="004631F2" w:rsidP="00EB427D">
      <w:pPr>
        <w:numPr>
          <w:ilvl w:val="0"/>
          <w:numId w:val="11"/>
        </w:numPr>
        <w:jc w:val="both"/>
        <w:rPr>
          <w:rFonts w:ascii="Arial Narrow" w:hAnsi="Arial Narrow"/>
          <w:sz w:val="24"/>
          <w:szCs w:val="20"/>
        </w:rPr>
      </w:pPr>
      <w:r w:rsidRPr="00E161B2">
        <w:rPr>
          <w:rFonts w:ascii="Arial Narrow" w:hAnsi="Arial Narrow"/>
          <w:sz w:val="24"/>
          <w:szCs w:val="20"/>
        </w:rPr>
        <w:t xml:space="preserve">full name of this product </w:t>
      </w:r>
    </w:p>
    <w:p w14:paraId="1A59281D" w14:textId="77777777" w:rsidR="004631F2" w:rsidRPr="00E161B2" w:rsidRDefault="004631F2" w:rsidP="00EB427D">
      <w:pPr>
        <w:numPr>
          <w:ilvl w:val="0"/>
          <w:numId w:val="11"/>
        </w:numPr>
        <w:jc w:val="both"/>
        <w:rPr>
          <w:rFonts w:ascii="Arial Narrow" w:hAnsi="Arial Narrow"/>
          <w:sz w:val="24"/>
          <w:szCs w:val="20"/>
        </w:rPr>
      </w:pPr>
      <w:r w:rsidRPr="00E161B2">
        <w:rPr>
          <w:rFonts w:ascii="Arial Narrow" w:hAnsi="Arial Narrow"/>
          <w:sz w:val="24"/>
          <w:szCs w:val="20"/>
        </w:rPr>
        <w:t xml:space="preserve">amount of product used per hectare and number of hectares applied to </w:t>
      </w:r>
    </w:p>
    <w:p w14:paraId="696494C0" w14:textId="77777777" w:rsidR="004631F2" w:rsidRPr="00E161B2" w:rsidRDefault="004631F2" w:rsidP="00EB427D">
      <w:pPr>
        <w:numPr>
          <w:ilvl w:val="0"/>
          <w:numId w:val="11"/>
        </w:numPr>
        <w:jc w:val="both"/>
        <w:rPr>
          <w:rFonts w:ascii="Arial Narrow" w:hAnsi="Arial Narrow"/>
          <w:sz w:val="24"/>
          <w:szCs w:val="20"/>
        </w:rPr>
      </w:pPr>
      <w:r w:rsidRPr="00E161B2">
        <w:rPr>
          <w:rFonts w:ascii="Arial Narrow" w:hAnsi="Arial Narrow"/>
          <w:sz w:val="24"/>
          <w:szCs w:val="20"/>
        </w:rPr>
        <w:t xml:space="preserve">crop or situation and weed or pest </w:t>
      </w:r>
    </w:p>
    <w:p w14:paraId="52AB6B7E" w14:textId="77777777" w:rsidR="004631F2" w:rsidRPr="00E161B2" w:rsidRDefault="004631F2" w:rsidP="00EB427D">
      <w:pPr>
        <w:numPr>
          <w:ilvl w:val="0"/>
          <w:numId w:val="11"/>
        </w:numPr>
        <w:jc w:val="both"/>
        <w:rPr>
          <w:rFonts w:ascii="Arial Narrow" w:hAnsi="Arial Narrow"/>
          <w:sz w:val="24"/>
          <w:szCs w:val="20"/>
        </w:rPr>
      </w:pPr>
      <w:r w:rsidRPr="00E161B2">
        <w:rPr>
          <w:rFonts w:ascii="Arial Narrow" w:hAnsi="Arial Narrow"/>
          <w:sz w:val="24"/>
          <w:szCs w:val="20"/>
        </w:rPr>
        <w:t xml:space="preserve">wind speed and direction during application </w:t>
      </w:r>
    </w:p>
    <w:p w14:paraId="1547ABEC" w14:textId="77777777" w:rsidR="004631F2" w:rsidRPr="00E161B2" w:rsidRDefault="004631F2" w:rsidP="00EB427D">
      <w:pPr>
        <w:numPr>
          <w:ilvl w:val="0"/>
          <w:numId w:val="11"/>
        </w:numPr>
        <w:jc w:val="both"/>
        <w:rPr>
          <w:rFonts w:ascii="Arial Narrow" w:hAnsi="Arial Narrow"/>
          <w:sz w:val="24"/>
          <w:szCs w:val="20"/>
        </w:rPr>
      </w:pPr>
      <w:r w:rsidRPr="00E161B2">
        <w:rPr>
          <w:rFonts w:ascii="Arial Narrow" w:hAnsi="Arial Narrow"/>
          <w:sz w:val="24"/>
          <w:szCs w:val="20"/>
        </w:rPr>
        <w:t xml:space="preserve">air temperature and relative humidity during application </w:t>
      </w:r>
    </w:p>
    <w:p w14:paraId="799B4CD4" w14:textId="77777777" w:rsidR="004631F2" w:rsidRPr="00E161B2" w:rsidRDefault="004631F2" w:rsidP="00EB427D">
      <w:pPr>
        <w:numPr>
          <w:ilvl w:val="0"/>
          <w:numId w:val="11"/>
        </w:numPr>
        <w:jc w:val="both"/>
        <w:rPr>
          <w:rFonts w:ascii="Arial Narrow" w:hAnsi="Arial Narrow"/>
          <w:sz w:val="24"/>
          <w:szCs w:val="20"/>
        </w:rPr>
      </w:pPr>
      <w:r w:rsidRPr="00E161B2">
        <w:rPr>
          <w:rFonts w:ascii="Arial Narrow" w:hAnsi="Arial Narrow"/>
          <w:sz w:val="24"/>
          <w:szCs w:val="20"/>
        </w:rPr>
        <w:t xml:space="preserve">nozzle brand, type, spray angle, nozzle capacity and spray system pressure measured during application </w:t>
      </w:r>
    </w:p>
    <w:p w14:paraId="55DF67E3" w14:textId="77777777" w:rsidR="004631F2" w:rsidRPr="00E161B2" w:rsidRDefault="004631F2" w:rsidP="00EB427D">
      <w:pPr>
        <w:numPr>
          <w:ilvl w:val="0"/>
          <w:numId w:val="11"/>
        </w:numPr>
        <w:jc w:val="both"/>
        <w:rPr>
          <w:rFonts w:ascii="Arial Narrow" w:hAnsi="Arial Narrow"/>
          <w:sz w:val="24"/>
          <w:szCs w:val="20"/>
        </w:rPr>
      </w:pPr>
      <w:proofErr w:type="gramStart"/>
      <w:r w:rsidRPr="00E161B2">
        <w:rPr>
          <w:rFonts w:ascii="Arial Narrow" w:hAnsi="Arial Narrow"/>
          <w:sz w:val="24"/>
          <w:szCs w:val="20"/>
        </w:rPr>
        <w:t>name</w:t>
      </w:r>
      <w:proofErr w:type="gramEnd"/>
      <w:r w:rsidRPr="00E161B2">
        <w:rPr>
          <w:rFonts w:ascii="Arial Narrow" w:hAnsi="Arial Narrow"/>
          <w:sz w:val="24"/>
          <w:szCs w:val="20"/>
        </w:rPr>
        <w:t xml:space="preserve"> and address of person applying this product. (Additional record details may be required by the state or territory where this product is used.) </w:t>
      </w:r>
    </w:p>
    <w:p w14:paraId="76A14781" w14:textId="77777777" w:rsidR="004631F2" w:rsidRPr="00E161B2" w:rsidRDefault="004631F2" w:rsidP="004631F2">
      <w:pPr>
        <w:jc w:val="both"/>
        <w:rPr>
          <w:rFonts w:ascii="Arial Narrow" w:hAnsi="Arial Narrow"/>
          <w:sz w:val="24"/>
        </w:rPr>
      </w:pPr>
    </w:p>
    <w:p w14:paraId="24410A1D" w14:textId="6FF6CAA9" w:rsidR="004631F2" w:rsidRDefault="004631F2" w:rsidP="004631F2">
      <w:pPr>
        <w:pStyle w:val="NoSpacing"/>
        <w:rPr>
          <w:rFonts w:ascii="Arial Narrow" w:hAnsi="Arial Narrow"/>
          <w:b/>
          <w:sz w:val="24"/>
          <w:szCs w:val="24"/>
        </w:rPr>
      </w:pPr>
      <w:r w:rsidRPr="00E161B2">
        <w:rPr>
          <w:rFonts w:ascii="Arial Narrow" w:hAnsi="Arial Narrow"/>
          <w:b/>
          <w:sz w:val="24"/>
          <w:szCs w:val="24"/>
        </w:rPr>
        <w:t>MANDATORY NO-SPRAY ZONES</w:t>
      </w:r>
    </w:p>
    <w:p w14:paraId="26723D7D" w14:textId="77777777" w:rsidR="001A6B74" w:rsidRDefault="001A6B74" w:rsidP="001A6B74">
      <w:pPr>
        <w:pStyle w:val="NoSpacing"/>
        <w:rPr>
          <w:rFonts w:ascii="Arial Narrow" w:hAnsi="Arial Narrow"/>
          <w:b/>
          <w:sz w:val="24"/>
          <w:szCs w:val="24"/>
        </w:rPr>
      </w:pPr>
    </w:p>
    <w:p w14:paraId="6C03421D" w14:textId="74F642EC" w:rsidR="001A6B74" w:rsidRPr="00E161B2" w:rsidRDefault="001A6B74" w:rsidP="001A6B74">
      <w:pPr>
        <w:pStyle w:val="NoSpacing"/>
        <w:rPr>
          <w:rFonts w:ascii="Arial Narrow" w:hAnsi="Arial Narrow"/>
          <w:b/>
          <w:sz w:val="24"/>
          <w:szCs w:val="24"/>
        </w:rPr>
      </w:pPr>
      <w:r>
        <w:rPr>
          <w:rFonts w:ascii="Arial Narrow" w:hAnsi="Arial Narrow"/>
          <w:b/>
          <w:sz w:val="24"/>
          <w:szCs w:val="24"/>
        </w:rPr>
        <w:t>NO-SPRAY ZONE FOR PROTECTION OF INTERNATIONAL TRADE</w:t>
      </w:r>
    </w:p>
    <w:p w14:paraId="6E2DC3E3" w14:textId="65864816" w:rsidR="004631F2" w:rsidRDefault="004631F2" w:rsidP="004631F2">
      <w:pPr>
        <w:jc w:val="both"/>
        <w:rPr>
          <w:rFonts w:ascii="Arial Narrow" w:hAnsi="Arial Narrow"/>
          <w:sz w:val="24"/>
        </w:rPr>
      </w:pPr>
      <w:r w:rsidRPr="00E161B2">
        <w:rPr>
          <w:rFonts w:ascii="Arial Narrow" w:hAnsi="Arial Narrow"/>
          <w:b/>
          <w:bCs/>
          <w:sz w:val="24"/>
        </w:rPr>
        <w:t xml:space="preserve">DO NOT </w:t>
      </w:r>
      <w:r w:rsidRPr="00E161B2">
        <w:rPr>
          <w:rFonts w:ascii="Arial Narrow" w:hAnsi="Arial Narrow"/>
          <w:sz w:val="24"/>
        </w:rPr>
        <w:t xml:space="preserve">apply if there are livestock, pasture or any land that is producing feed for livestock within </w:t>
      </w:r>
      <w:r w:rsidRPr="00E161B2">
        <w:rPr>
          <w:rFonts w:ascii="Arial Narrow" w:hAnsi="Arial Narrow"/>
          <w:b/>
          <w:bCs/>
          <w:sz w:val="24"/>
        </w:rPr>
        <w:t xml:space="preserve">120 metres </w:t>
      </w:r>
      <w:r w:rsidRPr="00E161B2">
        <w:rPr>
          <w:rFonts w:ascii="Arial Narrow" w:hAnsi="Arial Narrow"/>
          <w:sz w:val="24"/>
        </w:rPr>
        <w:t>downwind from the application area.</w:t>
      </w:r>
    </w:p>
    <w:p w14:paraId="68953386" w14:textId="77777777" w:rsidR="001A6B74" w:rsidRDefault="001A6B74" w:rsidP="001A6B74">
      <w:pPr>
        <w:pStyle w:val="NoSpacing"/>
        <w:rPr>
          <w:rFonts w:ascii="Arial Narrow" w:hAnsi="Arial Narrow"/>
          <w:b/>
          <w:sz w:val="24"/>
          <w:szCs w:val="24"/>
        </w:rPr>
      </w:pPr>
    </w:p>
    <w:p w14:paraId="04FA1FB8" w14:textId="18895BD8" w:rsidR="001A6B74" w:rsidRPr="00E161B2" w:rsidRDefault="001A6B74" w:rsidP="001A6B74">
      <w:pPr>
        <w:pStyle w:val="NoSpacing"/>
        <w:rPr>
          <w:rFonts w:ascii="Arial Narrow" w:hAnsi="Arial Narrow"/>
          <w:b/>
          <w:sz w:val="24"/>
          <w:szCs w:val="24"/>
        </w:rPr>
      </w:pPr>
      <w:r>
        <w:rPr>
          <w:rFonts w:ascii="Arial Narrow" w:hAnsi="Arial Narrow"/>
          <w:b/>
          <w:sz w:val="24"/>
          <w:szCs w:val="24"/>
        </w:rPr>
        <w:t>NO-SPRAY ZONES FOR PROTECTION OF THE TERRESTRIAL ENVIRONMENT</w:t>
      </w:r>
    </w:p>
    <w:p w14:paraId="6CC0D4FF" w14:textId="4E7F79C0" w:rsidR="004631F2" w:rsidRPr="00E161B2" w:rsidRDefault="004631F2" w:rsidP="005A7B49">
      <w:pPr>
        <w:pStyle w:val="NoSpacing"/>
        <w:spacing w:after="840"/>
        <w:rPr>
          <w:rFonts w:ascii="Arial Narrow" w:hAnsi="Arial Narrow"/>
          <w:sz w:val="24"/>
          <w:szCs w:val="24"/>
        </w:rPr>
      </w:pPr>
      <w:r w:rsidRPr="00E161B2">
        <w:rPr>
          <w:rFonts w:ascii="Arial Narrow" w:hAnsi="Arial Narrow"/>
          <w:b/>
          <w:sz w:val="24"/>
          <w:szCs w:val="24"/>
        </w:rPr>
        <w:t>DO NOT</w:t>
      </w:r>
      <w:r w:rsidRPr="00E161B2">
        <w:rPr>
          <w:rFonts w:ascii="Arial Narrow" w:hAnsi="Arial Narrow"/>
          <w:sz w:val="24"/>
          <w:szCs w:val="24"/>
        </w:rPr>
        <w:t xml:space="preserve"> apply if there are sensitive crops, gardens, landscaping vegetation, protected native vegetation or protected animal habitat </w:t>
      </w:r>
      <w:r w:rsidRPr="00D30101">
        <w:rPr>
          <w:rFonts w:ascii="Arial Narrow" w:hAnsi="Arial Narrow"/>
          <w:sz w:val="24"/>
          <w:szCs w:val="24"/>
        </w:rPr>
        <w:t>within 10 metres (</w:t>
      </w:r>
      <w:r w:rsidR="001A6B74">
        <w:rPr>
          <w:rFonts w:ascii="Arial Narrow" w:hAnsi="Arial Narrow"/>
          <w:sz w:val="24"/>
          <w:szCs w:val="24"/>
        </w:rPr>
        <w:t xml:space="preserve">when </w:t>
      </w:r>
      <w:r w:rsidRPr="00D30101">
        <w:rPr>
          <w:rFonts w:ascii="Arial Narrow" w:hAnsi="Arial Narrow"/>
          <w:sz w:val="24"/>
          <w:szCs w:val="24"/>
        </w:rPr>
        <w:t>tank mix</w:t>
      </w:r>
      <w:r w:rsidR="001A6B74">
        <w:rPr>
          <w:rFonts w:ascii="Arial Narrow" w:hAnsi="Arial Narrow"/>
          <w:sz w:val="24"/>
          <w:szCs w:val="24"/>
        </w:rPr>
        <w:t>ed</w:t>
      </w:r>
      <w:r w:rsidRPr="00D30101">
        <w:rPr>
          <w:rFonts w:ascii="Arial Narrow" w:hAnsi="Arial Narrow"/>
          <w:sz w:val="24"/>
          <w:szCs w:val="24"/>
        </w:rPr>
        <w:t xml:space="preserve"> with bromoxynil) or 20 metres (</w:t>
      </w:r>
      <w:r w:rsidR="001A6B74">
        <w:rPr>
          <w:rFonts w:ascii="Arial Narrow" w:hAnsi="Arial Narrow"/>
          <w:sz w:val="24"/>
          <w:szCs w:val="24"/>
        </w:rPr>
        <w:t xml:space="preserve">when </w:t>
      </w:r>
      <w:r w:rsidRPr="00D30101">
        <w:rPr>
          <w:rFonts w:ascii="Arial Narrow" w:hAnsi="Arial Narrow"/>
          <w:sz w:val="24"/>
          <w:szCs w:val="24"/>
        </w:rPr>
        <w:t>tank mix</w:t>
      </w:r>
      <w:r w:rsidR="001A6B74">
        <w:rPr>
          <w:rFonts w:ascii="Arial Narrow" w:hAnsi="Arial Narrow"/>
          <w:sz w:val="24"/>
          <w:szCs w:val="24"/>
        </w:rPr>
        <w:t>ed</w:t>
      </w:r>
      <w:r w:rsidRPr="00D30101">
        <w:rPr>
          <w:rFonts w:ascii="Arial Narrow" w:hAnsi="Arial Narrow"/>
          <w:sz w:val="24"/>
          <w:szCs w:val="24"/>
        </w:rPr>
        <w:t xml:space="preserve"> with MCPA) </w:t>
      </w:r>
      <w:r w:rsidRPr="00E161B2">
        <w:rPr>
          <w:rFonts w:ascii="Arial Narrow" w:hAnsi="Arial Narrow"/>
          <w:sz w:val="24"/>
          <w:szCs w:val="24"/>
        </w:rPr>
        <w:t>downwind from the application area</w:t>
      </w:r>
      <w:r>
        <w:rPr>
          <w:rFonts w:ascii="Arial Narrow" w:hAnsi="Arial Narrow"/>
          <w:sz w:val="24"/>
          <w:szCs w:val="24"/>
        </w:rPr>
        <w:t>.</w:t>
      </w:r>
      <w:r w:rsidRPr="00E161B2">
        <w:rPr>
          <w:rFonts w:ascii="Arial Narrow" w:hAnsi="Arial Narrow"/>
          <w:sz w:val="24"/>
          <w:szCs w:val="24"/>
        </w:rPr>
        <w:t xml:space="preserve"> </w:t>
      </w:r>
    </w:p>
    <w:tbl>
      <w:tblPr>
        <w:tblW w:w="5227" w:type="pct"/>
        <w:tblInd w:w="-289" w:type="dxa"/>
        <w:tblCellMar>
          <w:left w:w="0" w:type="dxa"/>
          <w:right w:w="0" w:type="dxa"/>
        </w:tblCellMar>
        <w:tblLook w:val="01E0" w:firstRow="1" w:lastRow="1" w:firstColumn="1" w:lastColumn="1" w:noHBand="0" w:noVBand="0"/>
      </w:tblPr>
      <w:tblGrid>
        <w:gridCol w:w="992"/>
        <w:gridCol w:w="2271"/>
        <w:gridCol w:w="990"/>
        <w:gridCol w:w="1844"/>
        <w:gridCol w:w="3968"/>
      </w:tblGrid>
      <w:tr w:rsidR="004631F2" w:rsidRPr="00E161B2" w14:paraId="40992436" w14:textId="77777777" w:rsidTr="00F142B9">
        <w:tc>
          <w:tcPr>
            <w:tcW w:w="493" w:type="pct"/>
            <w:tcBorders>
              <w:top w:val="single" w:sz="4" w:space="0" w:color="000000"/>
              <w:left w:val="single" w:sz="4" w:space="0" w:color="000000"/>
              <w:bottom w:val="single" w:sz="4" w:space="0" w:color="000000"/>
              <w:right w:val="single" w:sz="4" w:space="0" w:color="000000"/>
            </w:tcBorders>
          </w:tcPr>
          <w:p w14:paraId="384F4EA2" w14:textId="77777777" w:rsidR="004631F2" w:rsidRPr="00E161B2" w:rsidRDefault="004631F2" w:rsidP="00F142B9">
            <w:pPr>
              <w:spacing w:line="276" w:lineRule="auto"/>
              <w:ind w:left="102" w:right="-20"/>
              <w:jc w:val="both"/>
              <w:rPr>
                <w:rFonts w:ascii="Arial Narrow" w:eastAsia="Arial Narrow" w:hAnsi="Arial Narrow" w:cs="Arial"/>
              </w:rPr>
            </w:pPr>
            <w:bookmarkStart w:id="63" w:name="_Hlk508978694"/>
            <w:r w:rsidRPr="00E161B2">
              <w:rPr>
                <w:rFonts w:ascii="Arial Narrow" w:eastAsia="Arial Narrow" w:hAnsi="Arial Narrow" w:cs="Arial"/>
                <w:b/>
                <w:bCs/>
                <w:spacing w:val="1"/>
              </w:rPr>
              <w:lastRenderedPageBreak/>
              <w:t>C</w:t>
            </w:r>
            <w:r w:rsidRPr="00E161B2">
              <w:rPr>
                <w:rFonts w:ascii="Arial Narrow" w:eastAsia="Arial Narrow" w:hAnsi="Arial Narrow" w:cs="Arial"/>
                <w:b/>
                <w:bCs/>
                <w:spacing w:val="-2"/>
              </w:rPr>
              <w:t>R</w:t>
            </w:r>
            <w:r w:rsidRPr="00E161B2">
              <w:rPr>
                <w:rFonts w:ascii="Arial Narrow" w:eastAsia="Arial Narrow" w:hAnsi="Arial Narrow" w:cs="Arial"/>
                <w:b/>
                <w:bCs/>
              </w:rPr>
              <w:t>OP</w:t>
            </w:r>
          </w:p>
        </w:tc>
        <w:tc>
          <w:tcPr>
            <w:tcW w:w="1128" w:type="pct"/>
            <w:tcBorders>
              <w:top w:val="single" w:sz="4" w:space="0" w:color="000000"/>
              <w:left w:val="single" w:sz="4" w:space="0" w:color="000000"/>
              <w:bottom w:val="single" w:sz="4" w:space="0" w:color="000000"/>
              <w:right w:val="single" w:sz="4" w:space="0" w:color="000000"/>
            </w:tcBorders>
          </w:tcPr>
          <w:p w14:paraId="55887E42"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b/>
                <w:bCs/>
              </w:rPr>
              <w:t>W</w:t>
            </w:r>
            <w:r w:rsidRPr="00E161B2">
              <w:rPr>
                <w:rFonts w:ascii="Arial Narrow" w:eastAsia="Arial Narrow" w:hAnsi="Arial Narrow" w:cs="Arial"/>
                <w:b/>
                <w:bCs/>
                <w:spacing w:val="1"/>
              </w:rPr>
              <w:t>E</w:t>
            </w:r>
            <w:r w:rsidRPr="00E161B2">
              <w:rPr>
                <w:rFonts w:ascii="Arial Narrow" w:eastAsia="Arial Narrow" w:hAnsi="Arial Narrow" w:cs="Arial"/>
                <w:b/>
                <w:bCs/>
                <w:spacing w:val="-2"/>
              </w:rPr>
              <w:t>ED</w:t>
            </w:r>
            <w:r w:rsidRPr="00E161B2">
              <w:rPr>
                <w:rFonts w:ascii="Arial Narrow" w:eastAsia="Arial Narrow" w:hAnsi="Arial Narrow" w:cs="Arial"/>
                <w:b/>
                <w:bCs/>
              </w:rPr>
              <w:t>S</w:t>
            </w:r>
          </w:p>
        </w:tc>
        <w:tc>
          <w:tcPr>
            <w:tcW w:w="492" w:type="pct"/>
            <w:tcBorders>
              <w:top w:val="single" w:sz="4" w:space="0" w:color="000000"/>
              <w:left w:val="single" w:sz="4" w:space="0" w:color="000000"/>
              <w:bottom w:val="single" w:sz="4" w:space="0" w:color="000000"/>
              <w:right w:val="single" w:sz="4" w:space="0" w:color="000000"/>
            </w:tcBorders>
          </w:tcPr>
          <w:p w14:paraId="706088E8"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b/>
                <w:bCs/>
              </w:rPr>
              <w:t>W</w:t>
            </w:r>
            <w:r w:rsidRPr="00E161B2">
              <w:rPr>
                <w:rFonts w:ascii="Arial Narrow" w:eastAsia="Arial Narrow" w:hAnsi="Arial Narrow" w:cs="Arial"/>
                <w:b/>
                <w:bCs/>
                <w:spacing w:val="1"/>
              </w:rPr>
              <w:t>E</w:t>
            </w:r>
            <w:r w:rsidRPr="00E161B2">
              <w:rPr>
                <w:rFonts w:ascii="Arial Narrow" w:eastAsia="Arial Narrow" w:hAnsi="Arial Narrow" w:cs="Arial"/>
                <w:b/>
                <w:bCs/>
                <w:spacing w:val="-2"/>
              </w:rPr>
              <w:t>E</w:t>
            </w:r>
            <w:r w:rsidRPr="00E161B2">
              <w:rPr>
                <w:rFonts w:ascii="Arial Narrow" w:eastAsia="Arial Narrow" w:hAnsi="Arial Narrow" w:cs="Arial"/>
                <w:b/>
                <w:bCs/>
              </w:rPr>
              <w:t xml:space="preserve">D </w:t>
            </w:r>
            <w:r w:rsidRPr="00E161B2">
              <w:rPr>
                <w:rFonts w:ascii="Arial Narrow" w:eastAsia="Arial Narrow" w:hAnsi="Arial Narrow" w:cs="Arial"/>
                <w:b/>
                <w:bCs/>
                <w:spacing w:val="-2"/>
              </w:rPr>
              <w:t>S</w:t>
            </w:r>
            <w:r w:rsidRPr="00E161B2">
              <w:rPr>
                <w:rFonts w:ascii="Arial Narrow" w:eastAsia="Arial Narrow" w:hAnsi="Arial Narrow" w:cs="Arial"/>
                <w:b/>
                <w:bCs/>
                <w:spacing w:val="-1"/>
              </w:rPr>
              <w:t>T</w:t>
            </w:r>
            <w:r w:rsidRPr="00E161B2">
              <w:rPr>
                <w:rFonts w:ascii="Arial Narrow" w:eastAsia="Arial Narrow" w:hAnsi="Arial Narrow" w:cs="Arial"/>
                <w:b/>
                <w:bCs/>
                <w:spacing w:val="1"/>
              </w:rPr>
              <w:t>A</w:t>
            </w:r>
            <w:r w:rsidRPr="00E161B2">
              <w:rPr>
                <w:rFonts w:ascii="Arial Narrow" w:eastAsia="Arial Narrow" w:hAnsi="Arial Narrow" w:cs="Arial"/>
                <w:b/>
                <w:bCs/>
              </w:rPr>
              <w:t>GE</w:t>
            </w:r>
          </w:p>
        </w:tc>
        <w:tc>
          <w:tcPr>
            <w:tcW w:w="916" w:type="pct"/>
            <w:tcBorders>
              <w:top w:val="single" w:sz="4" w:space="0" w:color="000000"/>
              <w:left w:val="single" w:sz="4" w:space="0" w:color="000000"/>
              <w:bottom w:val="single" w:sz="4" w:space="0" w:color="000000"/>
              <w:right w:val="single" w:sz="4" w:space="0" w:color="000000"/>
            </w:tcBorders>
          </w:tcPr>
          <w:p w14:paraId="427131CE" w14:textId="77777777" w:rsidR="004631F2" w:rsidRPr="00E161B2" w:rsidRDefault="004631F2" w:rsidP="00F142B9">
            <w:pPr>
              <w:spacing w:line="276" w:lineRule="auto"/>
              <w:ind w:left="102" w:right="90"/>
              <w:jc w:val="both"/>
              <w:rPr>
                <w:rFonts w:ascii="Arial Narrow" w:eastAsia="Arial Narrow" w:hAnsi="Arial Narrow" w:cs="Arial"/>
              </w:rPr>
            </w:pPr>
            <w:r w:rsidRPr="00E161B2">
              <w:rPr>
                <w:rFonts w:ascii="Arial Narrow" w:eastAsia="Arial Narrow" w:hAnsi="Arial Narrow" w:cs="Arial"/>
                <w:b/>
                <w:bCs/>
                <w:spacing w:val="1"/>
              </w:rPr>
              <w:t>R</w:t>
            </w:r>
            <w:r w:rsidRPr="00E161B2">
              <w:rPr>
                <w:rFonts w:ascii="Arial Narrow" w:eastAsia="Arial Narrow" w:hAnsi="Arial Narrow" w:cs="Arial"/>
                <w:b/>
                <w:bCs/>
                <w:spacing w:val="-2"/>
              </w:rPr>
              <w:t>A</w:t>
            </w:r>
            <w:r w:rsidRPr="00E161B2">
              <w:rPr>
                <w:rFonts w:ascii="Arial Narrow" w:eastAsia="Arial Narrow" w:hAnsi="Arial Narrow" w:cs="Arial"/>
                <w:b/>
                <w:bCs/>
                <w:spacing w:val="1"/>
              </w:rPr>
              <w:t>T</w:t>
            </w:r>
            <w:r w:rsidRPr="00E161B2">
              <w:rPr>
                <w:rFonts w:ascii="Arial Narrow" w:eastAsia="Arial Narrow" w:hAnsi="Arial Narrow" w:cs="Arial"/>
                <w:b/>
                <w:bCs/>
              </w:rPr>
              <w:t>E</w:t>
            </w:r>
          </w:p>
        </w:tc>
        <w:tc>
          <w:tcPr>
            <w:tcW w:w="1971" w:type="pct"/>
            <w:tcBorders>
              <w:top w:val="single" w:sz="4" w:space="0" w:color="000000"/>
              <w:left w:val="single" w:sz="4" w:space="0" w:color="000000"/>
              <w:bottom w:val="single" w:sz="4" w:space="0" w:color="000000"/>
              <w:right w:val="single" w:sz="4" w:space="0" w:color="000000"/>
            </w:tcBorders>
          </w:tcPr>
          <w:p w14:paraId="0B9079B1"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b/>
                <w:bCs/>
                <w:spacing w:val="1"/>
              </w:rPr>
              <w:t>CR</w:t>
            </w:r>
            <w:r w:rsidRPr="00E161B2">
              <w:rPr>
                <w:rFonts w:ascii="Arial Narrow" w:eastAsia="Arial Narrow" w:hAnsi="Arial Narrow" w:cs="Arial"/>
                <w:b/>
                <w:bCs/>
                <w:spacing w:val="-1"/>
              </w:rPr>
              <w:t>I</w:t>
            </w:r>
            <w:r w:rsidRPr="00E161B2">
              <w:rPr>
                <w:rFonts w:ascii="Arial Narrow" w:eastAsia="Arial Narrow" w:hAnsi="Arial Narrow" w:cs="Arial"/>
                <w:b/>
                <w:bCs/>
                <w:spacing w:val="1"/>
              </w:rPr>
              <w:t>T</w:t>
            </w:r>
            <w:r w:rsidRPr="00E161B2">
              <w:rPr>
                <w:rFonts w:ascii="Arial Narrow" w:eastAsia="Arial Narrow" w:hAnsi="Arial Narrow" w:cs="Arial"/>
                <w:b/>
                <w:bCs/>
                <w:spacing w:val="-3"/>
              </w:rPr>
              <w:t>I</w:t>
            </w:r>
            <w:r w:rsidRPr="00E161B2">
              <w:rPr>
                <w:rFonts w:ascii="Arial Narrow" w:eastAsia="Arial Narrow" w:hAnsi="Arial Narrow" w:cs="Arial"/>
                <w:b/>
                <w:bCs/>
                <w:spacing w:val="1"/>
              </w:rPr>
              <w:t>C</w:t>
            </w:r>
            <w:r w:rsidRPr="00E161B2">
              <w:rPr>
                <w:rFonts w:ascii="Arial Narrow" w:eastAsia="Arial Narrow" w:hAnsi="Arial Narrow" w:cs="Arial"/>
                <w:b/>
                <w:bCs/>
                <w:spacing w:val="-2"/>
              </w:rPr>
              <w:t>A</w:t>
            </w:r>
            <w:r w:rsidRPr="00E161B2">
              <w:rPr>
                <w:rFonts w:ascii="Arial Narrow" w:eastAsia="Arial Narrow" w:hAnsi="Arial Narrow" w:cs="Arial"/>
                <w:b/>
                <w:bCs/>
              </w:rPr>
              <w:t xml:space="preserve">L </w:t>
            </w:r>
            <w:r w:rsidRPr="00E161B2">
              <w:rPr>
                <w:rFonts w:ascii="Arial Narrow" w:eastAsia="Arial Narrow" w:hAnsi="Arial Narrow" w:cs="Arial"/>
                <w:b/>
                <w:bCs/>
                <w:spacing w:val="-2"/>
              </w:rPr>
              <w:t>C</w:t>
            </w:r>
            <w:r w:rsidRPr="00E161B2">
              <w:rPr>
                <w:rFonts w:ascii="Arial Narrow" w:eastAsia="Arial Narrow" w:hAnsi="Arial Narrow" w:cs="Arial"/>
                <w:b/>
                <w:bCs/>
              </w:rPr>
              <w:t>O</w:t>
            </w:r>
            <w:r w:rsidRPr="00E161B2">
              <w:rPr>
                <w:rFonts w:ascii="Arial Narrow" w:eastAsia="Arial Narrow" w:hAnsi="Arial Narrow" w:cs="Arial"/>
                <w:b/>
                <w:bCs/>
                <w:spacing w:val="-2"/>
              </w:rPr>
              <w:t>M</w:t>
            </w:r>
            <w:r w:rsidRPr="00E161B2">
              <w:rPr>
                <w:rFonts w:ascii="Arial Narrow" w:eastAsia="Arial Narrow" w:hAnsi="Arial Narrow" w:cs="Arial"/>
                <w:b/>
                <w:bCs/>
              </w:rPr>
              <w:t>M</w:t>
            </w:r>
            <w:r w:rsidRPr="00E161B2">
              <w:rPr>
                <w:rFonts w:ascii="Arial Narrow" w:eastAsia="Arial Narrow" w:hAnsi="Arial Narrow" w:cs="Arial"/>
                <w:b/>
                <w:bCs/>
                <w:spacing w:val="-2"/>
              </w:rPr>
              <w:t>E</w:t>
            </w:r>
            <w:r w:rsidRPr="00E161B2">
              <w:rPr>
                <w:rFonts w:ascii="Arial Narrow" w:eastAsia="Arial Narrow" w:hAnsi="Arial Narrow" w:cs="Arial"/>
                <w:b/>
                <w:bCs/>
                <w:spacing w:val="1"/>
              </w:rPr>
              <w:t>N</w:t>
            </w:r>
            <w:r w:rsidRPr="00E161B2">
              <w:rPr>
                <w:rFonts w:ascii="Arial Narrow" w:eastAsia="Arial Narrow" w:hAnsi="Arial Narrow" w:cs="Arial"/>
                <w:b/>
                <w:bCs/>
                <w:spacing w:val="-1"/>
              </w:rPr>
              <w:t>T</w:t>
            </w:r>
            <w:r w:rsidRPr="00E161B2">
              <w:rPr>
                <w:rFonts w:ascii="Arial Narrow" w:eastAsia="Arial Narrow" w:hAnsi="Arial Narrow" w:cs="Arial"/>
                <w:b/>
                <w:bCs/>
              </w:rPr>
              <w:t>S</w:t>
            </w:r>
          </w:p>
        </w:tc>
      </w:tr>
      <w:tr w:rsidR="004631F2" w:rsidRPr="00E161B2" w14:paraId="61B10CDD" w14:textId="77777777" w:rsidTr="00F142B9">
        <w:trPr>
          <w:trHeight w:val="3842"/>
        </w:trPr>
        <w:tc>
          <w:tcPr>
            <w:tcW w:w="493" w:type="pct"/>
            <w:vMerge w:val="restart"/>
            <w:tcBorders>
              <w:top w:val="single" w:sz="4" w:space="0" w:color="000000"/>
              <w:left w:val="single" w:sz="4" w:space="0" w:color="000000"/>
              <w:bottom w:val="single" w:sz="4" w:space="0" w:color="auto"/>
              <w:right w:val="single" w:sz="4" w:space="0" w:color="000000"/>
            </w:tcBorders>
          </w:tcPr>
          <w:p w14:paraId="4E0F0C33"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rPr>
              <w:t>W</w:t>
            </w:r>
            <w:r w:rsidRPr="00E161B2">
              <w:rPr>
                <w:rFonts w:ascii="Arial Narrow" w:eastAsia="Arial Narrow" w:hAnsi="Arial Narrow" w:cs="Arial"/>
                <w:spacing w:val="-1"/>
              </w:rPr>
              <w:t>h</w:t>
            </w:r>
            <w:r w:rsidRPr="00E161B2">
              <w:rPr>
                <w:rFonts w:ascii="Arial Narrow" w:eastAsia="Arial Narrow" w:hAnsi="Arial Narrow" w:cs="Arial"/>
                <w:spacing w:val="1"/>
              </w:rPr>
              <w:t>ea</w:t>
            </w:r>
            <w:r w:rsidRPr="00E161B2">
              <w:rPr>
                <w:rFonts w:ascii="Arial Narrow" w:eastAsia="Arial Narrow" w:hAnsi="Arial Narrow" w:cs="Arial"/>
                <w:spacing w:val="-1"/>
              </w:rPr>
              <w:t>t</w:t>
            </w:r>
          </w:p>
          <w:p w14:paraId="3253DF8A"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spacing w:val="-2"/>
              </w:rPr>
              <w:t>B</w:t>
            </w:r>
            <w:r w:rsidRPr="00E161B2">
              <w:rPr>
                <w:rFonts w:ascii="Arial Narrow" w:eastAsia="Arial Narrow" w:hAnsi="Arial Narrow" w:cs="Arial"/>
                <w:spacing w:val="1"/>
              </w:rPr>
              <w:t>a</w:t>
            </w:r>
            <w:r w:rsidRPr="00E161B2">
              <w:rPr>
                <w:rFonts w:ascii="Arial Narrow" w:eastAsia="Arial Narrow" w:hAnsi="Arial Narrow" w:cs="Arial"/>
                <w:spacing w:val="-1"/>
              </w:rPr>
              <w:t>r</w:t>
            </w:r>
            <w:r w:rsidRPr="00E161B2">
              <w:rPr>
                <w:rFonts w:ascii="Arial Narrow" w:eastAsia="Arial Narrow" w:hAnsi="Arial Narrow" w:cs="Arial"/>
              </w:rPr>
              <w:t>le</w:t>
            </w:r>
            <w:r w:rsidRPr="00E161B2">
              <w:rPr>
                <w:rFonts w:ascii="Arial Narrow" w:eastAsia="Arial Narrow" w:hAnsi="Arial Narrow" w:cs="Arial"/>
                <w:spacing w:val="-1"/>
              </w:rPr>
              <w:t>y</w:t>
            </w:r>
          </w:p>
          <w:p w14:paraId="56B370E5" w14:textId="77777777" w:rsidR="004631F2" w:rsidRPr="00E161B2" w:rsidRDefault="004631F2" w:rsidP="00F142B9">
            <w:pPr>
              <w:spacing w:before="27" w:line="276" w:lineRule="auto"/>
              <w:ind w:left="102" w:right="-20"/>
              <w:jc w:val="both"/>
              <w:rPr>
                <w:rFonts w:ascii="Arial Narrow" w:eastAsia="Arial Narrow" w:hAnsi="Arial Narrow" w:cs="Arial"/>
                <w:spacing w:val="1"/>
              </w:rPr>
            </w:pPr>
            <w:r w:rsidRPr="00E161B2">
              <w:rPr>
                <w:rFonts w:ascii="Arial Narrow" w:eastAsia="Arial Narrow" w:hAnsi="Arial Narrow" w:cs="Arial"/>
                <w:spacing w:val="1"/>
              </w:rPr>
              <w:t xml:space="preserve">Durum </w:t>
            </w:r>
          </w:p>
          <w:p w14:paraId="3CFEF123" w14:textId="77777777" w:rsidR="004631F2" w:rsidRPr="00E161B2" w:rsidRDefault="004631F2" w:rsidP="00F142B9">
            <w:pPr>
              <w:spacing w:before="27" w:line="276" w:lineRule="auto"/>
              <w:ind w:left="102" w:right="-20"/>
              <w:jc w:val="both"/>
              <w:rPr>
                <w:rFonts w:ascii="Arial Narrow" w:eastAsia="Arial Narrow" w:hAnsi="Arial Narrow" w:cs="Arial"/>
              </w:rPr>
            </w:pPr>
          </w:p>
        </w:tc>
        <w:tc>
          <w:tcPr>
            <w:tcW w:w="1128" w:type="pct"/>
            <w:tcBorders>
              <w:top w:val="single" w:sz="4" w:space="0" w:color="000000"/>
              <w:left w:val="single" w:sz="4" w:space="0" w:color="000000"/>
              <w:right w:val="single" w:sz="4" w:space="0" w:color="000000"/>
            </w:tcBorders>
          </w:tcPr>
          <w:p w14:paraId="1B758D6E" w14:textId="77777777" w:rsidR="004631F2" w:rsidRPr="00353939" w:rsidRDefault="004631F2" w:rsidP="00F142B9">
            <w:pPr>
              <w:pStyle w:val="NoSpacing"/>
              <w:spacing w:line="276" w:lineRule="auto"/>
              <w:rPr>
                <w:rFonts w:ascii="Arial Narrow" w:hAnsi="Arial Narrow"/>
                <w:lang w:val="en-AU"/>
              </w:rPr>
            </w:pPr>
            <w:r w:rsidRPr="00353939">
              <w:rPr>
                <w:rFonts w:ascii="Arial Narrow" w:hAnsi="Arial Narrow"/>
                <w:lang w:val="en-AU"/>
              </w:rPr>
              <w:t>Wi</w:t>
            </w:r>
            <w:r w:rsidRPr="00353939">
              <w:rPr>
                <w:rFonts w:ascii="Arial Narrow" w:hAnsi="Arial Narrow"/>
                <w:spacing w:val="-1"/>
                <w:lang w:val="en-AU"/>
              </w:rPr>
              <w:t>l</w:t>
            </w:r>
            <w:r w:rsidRPr="00353939">
              <w:rPr>
                <w:rFonts w:ascii="Arial Narrow" w:hAnsi="Arial Narrow"/>
                <w:lang w:val="en-AU"/>
              </w:rPr>
              <w:t xml:space="preserve">d </w:t>
            </w:r>
            <w:r w:rsidRPr="00353939">
              <w:rPr>
                <w:rFonts w:ascii="Arial Narrow" w:hAnsi="Arial Narrow"/>
                <w:spacing w:val="-1"/>
                <w:lang w:val="en-AU"/>
              </w:rPr>
              <w:t>r</w:t>
            </w:r>
            <w:r w:rsidRPr="00353939">
              <w:rPr>
                <w:rFonts w:ascii="Arial Narrow" w:hAnsi="Arial Narrow"/>
                <w:spacing w:val="1"/>
                <w:lang w:val="en-AU"/>
              </w:rPr>
              <w:t>ad</w:t>
            </w:r>
            <w:r w:rsidRPr="00353939">
              <w:rPr>
                <w:rFonts w:ascii="Arial Narrow" w:hAnsi="Arial Narrow"/>
                <w:lang w:val="en-AU"/>
              </w:rPr>
              <w:t>i</w:t>
            </w:r>
            <w:r w:rsidRPr="00353939">
              <w:rPr>
                <w:rFonts w:ascii="Arial Narrow" w:hAnsi="Arial Narrow"/>
                <w:spacing w:val="-4"/>
                <w:lang w:val="en-AU"/>
              </w:rPr>
              <w:t>s</w:t>
            </w:r>
            <w:r w:rsidRPr="00353939">
              <w:rPr>
                <w:rFonts w:ascii="Arial Narrow" w:hAnsi="Arial Narrow"/>
                <w:lang w:val="en-AU"/>
              </w:rPr>
              <w:t xml:space="preserve">h </w:t>
            </w:r>
          </w:p>
          <w:p w14:paraId="07BF73E8" w14:textId="77777777" w:rsidR="004631F2" w:rsidRPr="00353939" w:rsidRDefault="004631F2" w:rsidP="00F142B9">
            <w:pPr>
              <w:pStyle w:val="NoSpacing"/>
              <w:spacing w:line="276" w:lineRule="auto"/>
              <w:rPr>
                <w:rFonts w:ascii="Arial Narrow" w:hAnsi="Arial Narrow"/>
                <w:lang w:val="en-AU"/>
              </w:rPr>
            </w:pPr>
            <w:r w:rsidRPr="00353939">
              <w:rPr>
                <w:rFonts w:ascii="Arial Narrow" w:hAnsi="Arial Narrow"/>
                <w:lang w:val="en-AU"/>
              </w:rPr>
              <w:t>(</w:t>
            </w:r>
            <w:proofErr w:type="spellStart"/>
            <w:r w:rsidRPr="00353939">
              <w:rPr>
                <w:rFonts w:ascii="Arial Narrow" w:hAnsi="Arial Narrow"/>
                <w:i/>
                <w:spacing w:val="1"/>
                <w:lang w:val="en-AU"/>
              </w:rPr>
              <w:t>R</w:t>
            </w:r>
            <w:r w:rsidRPr="00353939">
              <w:rPr>
                <w:rFonts w:ascii="Arial Narrow" w:hAnsi="Arial Narrow"/>
                <w:i/>
                <w:spacing w:val="-1"/>
                <w:lang w:val="en-AU"/>
              </w:rPr>
              <w:t>ap</w:t>
            </w:r>
            <w:r w:rsidRPr="00353939">
              <w:rPr>
                <w:rFonts w:ascii="Arial Narrow" w:hAnsi="Arial Narrow"/>
                <w:i/>
                <w:spacing w:val="1"/>
                <w:lang w:val="en-AU"/>
              </w:rPr>
              <w:t>h</w:t>
            </w:r>
            <w:r w:rsidRPr="00353939">
              <w:rPr>
                <w:rFonts w:ascii="Arial Narrow" w:hAnsi="Arial Narrow"/>
                <w:i/>
                <w:spacing w:val="-1"/>
                <w:lang w:val="en-AU"/>
              </w:rPr>
              <w:t>a</w:t>
            </w:r>
            <w:r w:rsidRPr="00353939">
              <w:rPr>
                <w:rFonts w:ascii="Arial Narrow" w:hAnsi="Arial Narrow"/>
                <w:i/>
                <w:spacing w:val="1"/>
                <w:lang w:val="en-AU"/>
              </w:rPr>
              <w:t>nu</w:t>
            </w:r>
            <w:r w:rsidRPr="00353939">
              <w:rPr>
                <w:rFonts w:ascii="Arial Narrow" w:hAnsi="Arial Narrow"/>
                <w:i/>
                <w:lang w:val="en-AU"/>
              </w:rPr>
              <w:t>s</w:t>
            </w:r>
            <w:proofErr w:type="spellEnd"/>
          </w:p>
          <w:p w14:paraId="56CE2E92" w14:textId="77777777" w:rsidR="004631F2" w:rsidRPr="00E161B2" w:rsidRDefault="004631F2" w:rsidP="00F142B9">
            <w:pPr>
              <w:pStyle w:val="NoSpacing"/>
              <w:spacing w:line="276" w:lineRule="auto"/>
              <w:rPr>
                <w:lang w:val="en-AU"/>
              </w:rPr>
            </w:pPr>
            <w:proofErr w:type="spellStart"/>
            <w:r w:rsidRPr="00353939">
              <w:rPr>
                <w:rFonts w:ascii="Arial Narrow" w:hAnsi="Arial Narrow"/>
                <w:i/>
                <w:spacing w:val="-1"/>
                <w:lang w:val="en-AU"/>
              </w:rPr>
              <w:t>r</w:t>
            </w:r>
            <w:r w:rsidRPr="00353939">
              <w:rPr>
                <w:rFonts w:ascii="Arial Narrow" w:hAnsi="Arial Narrow"/>
                <w:i/>
                <w:spacing w:val="1"/>
                <w:lang w:val="en-AU"/>
              </w:rPr>
              <w:t>a</w:t>
            </w:r>
            <w:r w:rsidRPr="00353939">
              <w:rPr>
                <w:rFonts w:ascii="Arial Narrow" w:hAnsi="Arial Narrow"/>
                <w:i/>
                <w:spacing w:val="-1"/>
                <w:lang w:val="en-AU"/>
              </w:rPr>
              <w:t>p</w:t>
            </w:r>
            <w:r w:rsidRPr="00353939">
              <w:rPr>
                <w:rFonts w:ascii="Arial Narrow" w:hAnsi="Arial Narrow"/>
                <w:i/>
                <w:spacing w:val="1"/>
                <w:lang w:val="en-AU"/>
              </w:rPr>
              <w:t>h</w:t>
            </w:r>
            <w:r w:rsidRPr="00353939">
              <w:rPr>
                <w:rFonts w:ascii="Arial Narrow" w:hAnsi="Arial Narrow"/>
                <w:i/>
                <w:spacing w:val="-1"/>
                <w:lang w:val="en-AU"/>
              </w:rPr>
              <w:t>a</w:t>
            </w:r>
            <w:r w:rsidRPr="00353939">
              <w:rPr>
                <w:rFonts w:ascii="Arial Narrow" w:hAnsi="Arial Narrow"/>
                <w:i/>
                <w:spacing w:val="1"/>
                <w:lang w:val="en-AU"/>
              </w:rPr>
              <w:t>n</w:t>
            </w:r>
            <w:r w:rsidRPr="00353939">
              <w:rPr>
                <w:rFonts w:ascii="Arial Narrow" w:hAnsi="Arial Narrow"/>
                <w:i/>
                <w:lang w:val="en-AU"/>
              </w:rPr>
              <w:t>i</w:t>
            </w:r>
            <w:r w:rsidRPr="00353939">
              <w:rPr>
                <w:rFonts w:ascii="Arial Narrow" w:hAnsi="Arial Narrow"/>
                <w:i/>
                <w:spacing w:val="-2"/>
                <w:lang w:val="en-AU"/>
              </w:rPr>
              <w:t>s</w:t>
            </w:r>
            <w:r w:rsidRPr="00353939">
              <w:rPr>
                <w:rFonts w:ascii="Arial Narrow" w:hAnsi="Arial Narrow"/>
                <w:i/>
                <w:spacing w:val="-1"/>
                <w:lang w:val="en-AU"/>
              </w:rPr>
              <w:t>tr</w:t>
            </w:r>
            <w:r w:rsidRPr="00353939">
              <w:rPr>
                <w:rFonts w:ascii="Arial Narrow" w:hAnsi="Arial Narrow"/>
                <w:i/>
                <w:spacing w:val="1"/>
                <w:lang w:val="en-AU"/>
              </w:rPr>
              <w:t>um</w:t>
            </w:r>
            <w:proofErr w:type="spellEnd"/>
            <w:r w:rsidRPr="00E161B2">
              <w:rPr>
                <w:lang w:val="en-AU"/>
              </w:rPr>
              <w:t>)</w:t>
            </w:r>
          </w:p>
        </w:tc>
        <w:tc>
          <w:tcPr>
            <w:tcW w:w="492" w:type="pct"/>
            <w:tcBorders>
              <w:top w:val="single" w:sz="4" w:space="0" w:color="000000"/>
              <w:left w:val="single" w:sz="4" w:space="0" w:color="000000"/>
              <w:bottom w:val="single" w:sz="4" w:space="0" w:color="auto"/>
              <w:right w:val="single" w:sz="4" w:space="0" w:color="000000"/>
            </w:tcBorders>
          </w:tcPr>
          <w:p w14:paraId="3EDD8615" w14:textId="77777777" w:rsidR="004631F2" w:rsidRPr="00E161B2" w:rsidRDefault="004631F2" w:rsidP="00F142B9">
            <w:pPr>
              <w:rPr>
                <w:rFonts w:ascii="Arial Narrow" w:eastAsia="Arial Narrow" w:hAnsi="Arial Narrow" w:cs="Arial"/>
                <w:snapToGrid w:val="0"/>
              </w:rPr>
            </w:pPr>
            <w:r w:rsidRPr="00E161B2">
              <w:rPr>
                <w:rFonts w:ascii="Arial Narrow" w:eastAsia="Arial Narrow" w:hAnsi="Arial Narrow" w:cs="Arial"/>
                <w:snapToGrid w:val="0"/>
                <w:spacing w:val="1"/>
              </w:rPr>
              <w:t>U</w:t>
            </w:r>
            <w:r w:rsidRPr="00E161B2">
              <w:rPr>
                <w:rFonts w:ascii="Arial Narrow" w:eastAsia="Arial Narrow" w:hAnsi="Arial Narrow" w:cs="Arial"/>
                <w:snapToGrid w:val="0"/>
              </w:rPr>
              <w:t xml:space="preserve">p </w:t>
            </w:r>
            <w:r w:rsidRPr="00E161B2">
              <w:rPr>
                <w:rFonts w:ascii="Arial Narrow" w:eastAsia="Arial Narrow" w:hAnsi="Arial Narrow" w:cs="Arial"/>
                <w:snapToGrid w:val="0"/>
                <w:spacing w:val="-1"/>
              </w:rPr>
              <w:t>t</w:t>
            </w:r>
            <w:r w:rsidRPr="00E161B2">
              <w:rPr>
                <w:rFonts w:ascii="Arial Narrow" w:eastAsia="Arial Narrow" w:hAnsi="Arial Narrow" w:cs="Arial"/>
                <w:snapToGrid w:val="0"/>
              </w:rPr>
              <w:t xml:space="preserve">o </w:t>
            </w:r>
            <w:r w:rsidRPr="00E161B2">
              <w:rPr>
                <w:rFonts w:ascii="Arial Narrow" w:eastAsia="Arial Narrow" w:hAnsi="Arial Narrow" w:cs="Arial"/>
                <w:snapToGrid w:val="0"/>
                <w:spacing w:val="-3"/>
              </w:rPr>
              <w:t>t</w:t>
            </w:r>
            <w:r w:rsidRPr="00E161B2">
              <w:rPr>
                <w:rFonts w:ascii="Arial Narrow" w:eastAsia="Arial Narrow" w:hAnsi="Arial Narrow" w:cs="Arial"/>
                <w:snapToGrid w:val="0"/>
                <w:spacing w:val="1"/>
              </w:rPr>
              <w:t>h</w:t>
            </w:r>
            <w:r w:rsidRPr="00E161B2">
              <w:rPr>
                <w:rFonts w:ascii="Arial Narrow" w:eastAsia="Arial Narrow" w:hAnsi="Arial Narrow" w:cs="Arial"/>
                <w:snapToGrid w:val="0"/>
              </w:rPr>
              <w:t>e 6</w:t>
            </w:r>
            <w:r w:rsidRPr="00E161B2">
              <w:rPr>
                <w:rFonts w:ascii="Arial Narrow" w:eastAsia="Arial Narrow" w:hAnsi="Arial Narrow" w:cs="Arial"/>
                <w:snapToGrid w:val="0"/>
                <w:spacing w:val="1"/>
              </w:rPr>
              <w:t>-leaf</w:t>
            </w:r>
            <w:r w:rsidRPr="00E161B2">
              <w:rPr>
                <w:rFonts w:ascii="Arial Narrow" w:eastAsia="Arial Narrow" w:hAnsi="Arial Narrow" w:cs="Arial"/>
                <w:snapToGrid w:val="0"/>
                <w:spacing w:val="-1"/>
              </w:rPr>
              <w:t xml:space="preserve"> sta</w:t>
            </w:r>
            <w:r w:rsidRPr="00E161B2">
              <w:rPr>
                <w:rFonts w:ascii="Arial Narrow" w:eastAsia="Arial Narrow" w:hAnsi="Arial Narrow" w:cs="Arial"/>
                <w:snapToGrid w:val="0"/>
                <w:spacing w:val="1"/>
              </w:rPr>
              <w:t>g</w:t>
            </w:r>
            <w:r w:rsidRPr="00E161B2">
              <w:rPr>
                <w:rFonts w:ascii="Arial Narrow" w:eastAsia="Arial Narrow" w:hAnsi="Arial Narrow" w:cs="Arial"/>
                <w:snapToGrid w:val="0"/>
              </w:rPr>
              <w:t>e</w:t>
            </w:r>
            <w:r w:rsidRPr="00E161B2">
              <w:rPr>
                <w:rFonts w:ascii="Arial Narrow" w:eastAsia="Arial Narrow" w:hAnsi="Arial Narrow" w:cs="Arial"/>
                <w:snapToGrid w:val="0"/>
                <w:spacing w:val="-2"/>
              </w:rPr>
              <w:t xml:space="preserve"> </w:t>
            </w:r>
          </w:p>
          <w:p w14:paraId="536DB4CF" w14:textId="77777777" w:rsidR="004631F2" w:rsidRPr="00E161B2" w:rsidRDefault="004631F2" w:rsidP="00F142B9">
            <w:pPr>
              <w:rPr>
                <w:rFonts w:ascii="Arial Narrow" w:eastAsia="Arial Narrow" w:hAnsi="Arial Narrow" w:cs="Arial"/>
                <w:snapToGrid w:val="0"/>
              </w:rPr>
            </w:pPr>
          </w:p>
        </w:tc>
        <w:tc>
          <w:tcPr>
            <w:tcW w:w="916" w:type="pct"/>
            <w:tcBorders>
              <w:top w:val="single" w:sz="4" w:space="0" w:color="000000"/>
              <w:left w:val="single" w:sz="4" w:space="0" w:color="000000"/>
              <w:bottom w:val="single" w:sz="4" w:space="0" w:color="auto"/>
              <w:right w:val="single" w:sz="4" w:space="0" w:color="000000"/>
            </w:tcBorders>
          </w:tcPr>
          <w:p w14:paraId="32BE5998"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spacing w:val="-2"/>
              </w:rPr>
              <w:t>200 m</w:t>
            </w:r>
            <w:r w:rsidRPr="00E161B2">
              <w:rPr>
                <w:rFonts w:ascii="Arial Narrow" w:eastAsia="Arial Narrow" w:hAnsi="Arial Narrow" w:cs="Arial"/>
                <w:spacing w:val="2"/>
              </w:rPr>
              <w:t>L</w:t>
            </w:r>
            <w:r w:rsidRPr="00E161B2">
              <w:rPr>
                <w:rFonts w:ascii="Arial Narrow" w:eastAsia="Arial Narrow" w:hAnsi="Arial Narrow" w:cs="Arial"/>
                <w:spacing w:val="-1"/>
              </w:rPr>
              <w:t>/h</w:t>
            </w:r>
            <w:r w:rsidRPr="00E161B2">
              <w:rPr>
                <w:rFonts w:ascii="Arial Narrow" w:eastAsia="Arial Narrow" w:hAnsi="Arial Narrow" w:cs="Arial"/>
              </w:rPr>
              <w:t xml:space="preserve">a </w:t>
            </w:r>
          </w:p>
          <w:p w14:paraId="4B7FE161"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 </w:t>
            </w:r>
          </w:p>
          <w:p w14:paraId="03F612D2" w14:textId="77777777" w:rsidR="004631F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900 mL/ha to </w:t>
            </w:r>
          </w:p>
          <w:p w14:paraId="123CA7D5"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1.2 L/ha </w:t>
            </w:r>
            <w:proofErr w:type="spellStart"/>
            <w:r w:rsidRPr="00E161B2">
              <w:rPr>
                <w:rFonts w:ascii="Arial Narrow" w:eastAsia="Arial Narrow" w:hAnsi="Arial Narrow" w:cs="Arial"/>
              </w:rPr>
              <w:t>B</w:t>
            </w:r>
            <w:r w:rsidRPr="00E161B2">
              <w:rPr>
                <w:rFonts w:ascii="Arial Narrow" w:hAnsi="Arial Narrow" w:cs="Helvetica-Bold"/>
                <w:bCs/>
              </w:rPr>
              <w:t>romicide</w:t>
            </w:r>
            <w:proofErr w:type="spellEnd"/>
            <w:r w:rsidRPr="00E161B2">
              <w:rPr>
                <w:rFonts w:ascii="Arial Narrow" w:eastAsia="SimSun" w:hAnsi="Arial Narrow"/>
                <w:vertAlign w:val="superscript"/>
              </w:rPr>
              <w:t>®</w:t>
            </w:r>
            <w:r w:rsidRPr="00E161B2">
              <w:rPr>
                <w:rFonts w:ascii="Arial Narrow" w:eastAsia="SimSun" w:hAnsi="Arial Narrow"/>
              </w:rPr>
              <w:t xml:space="preserve">* </w:t>
            </w:r>
            <w:r w:rsidRPr="00E161B2">
              <w:rPr>
                <w:rFonts w:ascii="Arial Narrow" w:hAnsi="Arial Narrow" w:cs="Helvetica-Bold"/>
                <w:bCs/>
              </w:rPr>
              <w:t>200 Selective Herbicide (</w:t>
            </w:r>
            <w:r w:rsidRPr="00E161B2">
              <w:rPr>
                <w:rFonts w:ascii="Arial Narrow" w:eastAsia="Arial Narrow" w:hAnsi="Arial Narrow" w:cs="Arial"/>
              </w:rPr>
              <w:t xml:space="preserve">200 g/L </w:t>
            </w:r>
            <w:proofErr w:type="spellStart"/>
            <w:r w:rsidRPr="00E161B2">
              <w:rPr>
                <w:rFonts w:ascii="Arial Narrow" w:eastAsia="Arial Narrow" w:hAnsi="Arial Narrow" w:cs="Arial"/>
              </w:rPr>
              <w:t>bromoxynil</w:t>
            </w:r>
            <w:proofErr w:type="spellEnd"/>
            <w:r w:rsidRPr="00E161B2">
              <w:rPr>
                <w:rFonts w:ascii="Arial Narrow" w:eastAsia="Arial Narrow" w:hAnsi="Arial Narrow" w:cs="Arial"/>
              </w:rPr>
              <w:t xml:space="preserve"> product</w:t>
            </w:r>
            <w:r w:rsidRPr="00E161B2">
              <w:rPr>
                <w:rFonts w:ascii="Arial Narrow" w:hAnsi="Arial Narrow" w:cs="Helvetica-Bold"/>
                <w:bCs/>
              </w:rPr>
              <w:t>)</w:t>
            </w:r>
          </w:p>
          <w:p w14:paraId="3BFF49EE"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w:t>
            </w:r>
          </w:p>
          <w:p w14:paraId="4BC4081A"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1% Hasten or similar MSO adjuvant</w:t>
            </w:r>
          </w:p>
        </w:tc>
        <w:tc>
          <w:tcPr>
            <w:tcW w:w="1971" w:type="pct"/>
            <w:tcBorders>
              <w:top w:val="single" w:sz="4" w:space="0" w:color="000000"/>
              <w:left w:val="single" w:sz="4" w:space="0" w:color="000000"/>
              <w:bottom w:val="single" w:sz="4" w:space="0" w:color="auto"/>
              <w:right w:val="single" w:sz="4" w:space="0" w:color="000000"/>
            </w:tcBorders>
          </w:tcPr>
          <w:p w14:paraId="3A77A2B7" w14:textId="77777777" w:rsidR="004631F2" w:rsidRPr="00E161B2" w:rsidRDefault="004631F2" w:rsidP="00F142B9">
            <w:pPr>
              <w:spacing w:line="276" w:lineRule="auto"/>
              <w:ind w:left="90" w:right="121"/>
              <w:jc w:val="both"/>
              <w:rPr>
                <w:rFonts w:ascii="Arial Narrow" w:eastAsia="Arial Narrow" w:hAnsi="Arial Narrow" w:cs="Arial"/>
                <w:spacing w:val="-1"/>
              </w:rPr>
            </w:pPr>
            <w:r w:rsidRPr="00E161B2">
              <w:rPr>
                <w:rFonts w:ascii="Arial Narrow" w:eastAsia="Arial Narrow" w:hAnsi="Arial Narrow" w:cs="Arial"/>
                <w:spacing w:val="1"/>
              </w:rPr>
              <w:t>A</w:t>
            </w:r>
            <w:r w:rsidRPr="00E161B2">
              <w:rPr>
                <w:rFonts w:ascii="Arial Narrow" w:eastAsia="Arial Narrow" w:hAnsi="Arial Narrow" w:cs="Arial"/>
                <w:spacing w:val="-1"/>
              </w:rPr>
              <w:t>p</w:t>
            </w:r>
            <w:r w:rsidRPr="00E161B2">
              <w:rPr>
                <w:rFonts w:ascii="Arial Narrow" w:eastAsia="Arial Narrow" w:hAnsi="Arial Narrow" w:cs="Arial"/>
                <w:spacing w:val="1"/>
              </w:rPr>
              <w:t>p</w:t>
            </w:r>
            <w:r w:rsidRPr="00E161B2">
              <w:rPr>
                <w:rFonts w:ascii="Arial Narrow" w:eastAsia="Arial Narrow" w:hAnsi="Arial Narrow" w:cs="Arial"/>
              </w:rPr>
              <w:t>ly</w:t>
            </w:r>
            <w:r w:rsidRPr="00E161B2">
              <w:rPr>
                <w:rFonts w:ascii="Arial Narrow" w:eastAsia="Arial Narrow" w:hAnsi="Arial Narrow" w:cs="Arial"/>
                <w:spacing w:val="-2"/>
              </w:rPr>
              <w:t xml:space="preserve"> </w:t>
            </w:r>
            <w:r w:rsidRPr="00E161B2">
              <w:rPr>
                <w:rFonts w:ascii="Arial Narrow" w:eastAsia="Arial Narrow" w:hAnsi="Arial Narrow" w:cs="Arial"/>
                <w:spacing w:val="-1"/>
              </w:rPr>
              <w:t>t</w:t>
            </w:r>
            <w:r w:rsidRPr="00E161B2">
              <w:rPr>
                <w:rFonts w:ascii="Arial Narrow" w:eastAsia="Arial Narrow" w:hAnsi="Arial Narrow" w:cs="Arial"/>
              </w:rPr>
              <w:t xml:space="preserve">o </w:t>
            </w:r>
            <w:r w:rsidRPr="00E161B2">
              <w:rPr>
                <w:rFonts w:ascii="Arial Narrow" w:eastAsia="Arial Narrow" w:hAnsi="Arial Narrow" w:cs="Arial"/>
                <w:spacing w:val="1"/>
              </w:rPr>
              <w:t>a</w:t>
            </w:r>
            <w:r w:rsidRPr="00E161B2">
              <w:rPr>
                <w:rFonts w:ascii="Arial Narrow" w:eastAsia="Arial Narrow" w:hAnsi="Arial Narrow" w:cs="Arial"/>
                <w:spacing w:val="-1"/>
              </w:rPr>
              <w:t>ct</w:t>
            </w:r>
            <w:r w:rsidRPr="00E161B2">
              <w:rPr>
                <w:rFonts w:ascii="Arial Narrow" w:eastAsia="Arial Narrow" w:hAnsi="Arial Narrow" w:cs="Arial"/>
              </w:rPr>
              <w:t>i</w:t>
            </w:r>
            <w:r w:rsidRPr="00E161B2">
              <w:rPr>
                <w:rFonts w:ascii="Arial Narrow" w:eastAsia="Arial Narrow" w:hAnsi="Arial Narrow" w:cs="Arial"/>
                <w:spacing w:val="-2"/>
              </w:rPr>
              <w:t>v</w:t>
            </w:r>
            <w:r w:rsidRPr="00E161B2">
              <w:rPr>
                <w:rFonts w:ascii="Arial Narrow" w:eastAsia="Arial Narrow" w:hAnsi="Arial Narrow" w:cs="Arial"/>
                <w:spacing w:val="1"/>
              </w:rPr>
              <w:t>e</w:t>
            </w:r>
            <w:r w:rsidRPr="00E161B2">
              <w:rPr>
                <w:rFonts w:ascii="Arial Narrow" w:eastAsia="Arial Narrow" w:hAnsi="Arial Narrow" w:cs="Arial"/>
              </w:rPr>
              <w:t>ly</w:t>
            </w:r>
            <w:r w:rsidRPr="00E161B2">
              <w:rPr>
                <w:rFonts w:ascii="Arial Narrow" w:eastAsia="Arial Narrow" w:hAnsi="Arial Narrow" w:cs="Arial"/>
                <w:spacing w:val="-2"/>
              </w:rPr>
              <w:t xml:space="preserve"> </w:t>
            </w:r>
            <w:r w:rsidRPr="00E161B2">
              <w:rPr>
                <w:rFonts w:ascii="Arial Narrow" w:eastAsia="Arial Narrow" w:hAnsi="Arial Narrow" w:cs="Arial"/>
                <w:spacing w:val="1"/>
              </w:rPr>
              <w:t>g</w:t>
            </w:r>
            <w:r w:rsidRPr="00E161B2">
              <w:rPr>
                <w:rFonts w:ascii="Arial Narrow" w:eastAsia="Arial Narrow" w:hAnsi="Arial Narrow" w:cs="Arial"/>
                <w:spacing w:val="-1"/>
              </w:rPr>
              <w:t>r</w:t>
            </w:r>
            <w:r w:rsidRPr="00E161B2">
              <w:rPr>
                <w:rFonts w:ascii="Arial Narrow" w:eastAsia="Arial Narrow" w:hAnsi="Arial Narrow" w:cs="Arial"/>
                <w:spacing w:val="1"/>
              </w:rPr>
              <w:t>ow</w:t>
            </w:r>
            <w:r w:rsidRPr="00E161B2">
              <w:rPr>
                <w:rFonts w:ascii="Arial Narrow" w:eastAsia="Arial Narrow" w:hAnsi="Arial Narrow" w:cs="Arial"/>
                <w:spacing w:val="-3"/>
              </w:rPr>
              <w:t>i</w:t>
            </w:r>
            <w:r w:rsidRPr="00E161B2">
              <w:rPr>
                <w:rFonts w:ascii="Arial Narrow" w:eastAsia="Arial Narrow" w:hAnsi="Arial Narrow" w:cs="Arial"/>
                <w:spacing w:val="1"/>
              </w:rPr>
              <w:t>n</w:t>
            </w:r>
            <w:r w:rsidRPr="00E161B2">
              <w:rPr>
                <w:rFonts w:ascii="Arial Narrow" w:eastAsia="Arial Narrow" w:hAnsi="Arial Narrow" w:cs="Arial"/>
              </w:rPr>
              <w:t>g</w:t>
            </w:r>
            <w:r w:rsidRPr="00E161B2">
              <w:rPr>
                <w:rFonts w:ascii="Arial Narrow" w:eastAsia="Arial Narrow" w:hAnsi="Arial Narrow" w:cs="Arial"/>
                <w:spacing w:val="-2"/>
              </w:rPr>
              <w:t xml:space="preserve"> </w:t>
            </w:r>
            <w:r w:rsidRPr="00E161B2">
              <w:rPr>
                <w:rFonts w:ascii="Arial Narrow" w:eastAsia="Arial Narrow" w:hAnsi="Arial Narrow" w:cs="Arial"/>
                <w:spacing w:val="1"/>
              </w:rPr>
              <w:t>w</w:t>
            </w:r>
            <w:r w:rsidRPr="00E161B2">
              <w:rPr>
                <w:rFonts w:ascii="Arial Narrow" w:eastAsia="Arial Narrow" w:hAnsi="Arial Narrow" w:cs="Arial"/>
                <w:spacing w:val="-1"/>
              </w:rPr>
              <w:t>e</w:t>
            </w:r>
            <w:r w:rsidRPr="00E161B2">
              <w:rPr>
                <w:rFonts w:ascii="Arial Narrow" w:eastAsia="Arial Narrow" w:hAnsi="Arial Narrow" w:cs="Arial"/>
                <w:spacing w:val="1"/>
              </w:rPr>
              <w:t>ed</w:t>
            </w:r>
            <w:r w:rsidRPr="00E161B2">
              <w:rPr>
                <w:rFonts w:ascii="Arial Narrow" w:eastAsia="Arial Narrow" w:hAnsi="Arial Narrow" w:cs="Arial"/>
                <w:spacing w:val="-1"/>
              </w:rPr>
              <w:t>s</w:t>
            </w:r>
            <w:r w:rsidRPr="00E161B2">
              <w:rPr>
                <w:rFonts w:ascii="Arial Narrow" w:eastAsia="Arial Narrow" w:hAnsi="Arial Narrow" w:cs="Arial"/>
              </w:rPr>
              <w:t>,</w:t>
            </w:r>
            <w:r w:rsidRPr="00E161B2">
              <w:rPr>
                <w:rFonts w:ascii="Arial Narrow" w:eastAsia="Arial Narrow" w:hAnsi="Arial Narrow" w:cs="Arial"/>
                <w:spacing w:val="-1"/>
              </w:rPr>
              <w:t xml:space="preserve"> fr</w:t>
            </w:r>
            <w:r w:rsidRPr="00E161B2">
              <w:rPr>
                <w:rFonts w:ascii="Arial Narrow" w:eastAsia="Arial Narrow" w:hAnsi="Arial Narrow" w:cs="Arial"/>
                <w:spacing w:val="1"/>
              </w:rPr>
              <w:t>e</w:t>
            </w:r>
            <w:r w:rsidRPr="00E161B2">
              <w:rPr>
                <w:rFonts w:ascii="Arial Narrow" w:eastAsia="Arial Narrow" w:hAnsi="Arial Narrow" w:cs="Arial"/>
              </w:rPr>
              <w:t xml:space="preserve">e </w:t>
            </w:r>
            <w:r w:rsidRPr="00E161B2">
              <w:rPr>
                <w:rFonts w:ascii="Arial Narrow" w:eastAsia="Arial Narrow" w:hAnsi="Arial Narrow" w:cs="Arial"/>
                <w:spacing w:val="-1"/>
              </w:rPr>
              <w:t>fro</w:t>
            </w:r>
            <w:r w:rsidRPr="00E161B2">
              <w:rPr>
                <w:rFonts w:ascii="Arial Narrow" w:eastAsia="Arial Narrow" w:hAnsi="Arial Narrow" w:cs="Arial"/>
              </w:rPr>
              <w:t xml:space="preserve">m </w:t>
            </w:r>
            <w:r w:rsidRPr="00E161B2">
              <w:rPr>
                <w:rFonts w:ascii="Arial Narrow" w:eastAsia="Arial Narrow" w:hAnsi="Arial Narrow" w:cs="Arial"/>
                <w:spacing w:val="-1"/>
              </w:rPr>
              <w:t>str</w:t>
            </w:r>
            <w:r w:rsidRPr="00E161B2">
              <w:rPr>
                <w:rFonts w:ascii="Arial Narrow" w:eastAsia="Arial Narrow" w:hAnsi="Arial Narrow" w:cs="Arial"/>
                <w:spacing w:val="1"/>
              </w:rPr>
              <w:t>e</w:t>
            </w:r>
            <w:r w:rsidRPr="00E161B2">
              <w:rPr>
                <w:rFonts w:ascii="Arial Narrow" w:eastAsia="Arial Narrow" w:hAnsi="Arial Narrow" w:cs="Arial"/>
                <w:spacing w:val="-1"/>
              </w:rPr>
              <w:t>ss</w:t>
            </w:r>
            <w:r w:rsidRPr="00E161B2">
              <w:rPr>
                <w:rFonts w:ascii="Arial Narrow" w:eastAsia="Arial Narrow" w:hAnsi="Arial Narrow" w:cs="Arial"/>
              </w:rPr>
              <w:t>.</w:t>
            </w:r>
            <w:r w:rsidRPr="00E161B2">
              <w:rPr>
                <w:rFonts w:ascii="Arial Narrow" w:eastAsia="Arial Narrow" w:hAnsi="Arial Narrow" w:cs="Arial"/>
                <w:spacing w:val="-1"/>
              </w:rPr>
              <w:t xml:space="preserve"> </w:t>
            </w:r>
          </w:p>
          <w:p w14:paraId="1AAA1515" w14:textId="77777777" w:rsidR="004631F2" w:rsidRPr="00E161B2" w:rsidRDefault="004631F2" w:rsidP="00F142B9">
            <w:pPr>
              <w:spacing w:line="276" w:lineRule="auto"/>
              <w:ind w:left="90" w:right="121"/>
              <w:jc w:val="both"/>
              <w:rPr>
                <w:rFonts w:ascii="Arial Narrow" w:eastAsia="Arial Narrow" w:hAnsi="Arial Narrow" w:cs="Arial"/>
                <w:spacing w:val="-1"/>
              </w:rPr>
            </w:pPr>
          </w:p>
          <w:p w14:paraId="09F78EDD" w14:textId="77777777" w:rsidR="004631F2" w:rsidRPr="00E161B2" w:rsidRDefault="004631F2" w:rsidP="00F142B9">
            <w:pPr>
              <w:spacing w:line="276" w:lineRule="auto"/>
              <w:ind w:left="90" w:right="121"/>
              <w:rPr>
                <w:rFonts w:ascii="Arial Narrow" w:eastAsia="Arial Narrow" w:hAnsi="Arial Narrow" w:cs="Arial"/>
                <w:spacing w:val="1"/>
              </w:rPr>
            </w:pPr>
            <w:r w:rsidRPr="00E161B2">
              <w:rPr>
                <w:rFonts w:ascii="Arial Narrow" w:eastAsia="Arial Narrow" w:hAnsi="Arial Narrow" w:cs="Arial"/>
                <w:spacing w:val="1"/>
              </w:rPr>
              <w:t xml:space="preserve">Use the higher rate of </w:t>
            </w:r>
            <w:proofErr w:type="spellStart"/>
            <w:r w:rsidRPr="00E161B2">
              <w:rPr>
                <w:rFonts w:ascii="Arial Narrow" w:eastAsia="Arial Narrow" w:hAnsi="Arial Narrow" w:cs="Arial"/>
                <w:spacing w:val="1"/>
              </w:rPr>
              <w:t>bromoxynil</w:t>
            </w:r>
            <w:proofErr w:type="spellEnd"/>
            <w:r w:rsidRPr="00E161B2">
              <w:rPr>
                <w:rFonts w:ascii="Arial Narrow" w:eastAsia="Arial Narrow" w:hAnsi="Arial Narrow" w:cs="Arial"/>
                <w:spacing w:val="1"/>
              </w:rPr>
              <w:t xml:space="preserve"> under high populations and where conditions are less than ideal such as climatic stress or plant shading.</w:t>
            </w:r>
          </w:p>
          <w:p w14:paraId="79306BA7" w14:textId="77777777" w:rsidR="004631F2" w:rsidRPr="00E161B2" w:rsidRDefault="004631F2" w:rsidP="00F142B9">
            <w:pPr>
              <w:spacing w:line="276" w:lineRule="auto"/>
              <w:ind w:left="90" w:right="121"/>
              <w:jc w:val="both"/>
              <w:rPr>
                <w:rFonts w:ascii="Arial Narrow" w:eastAsia="Arial Narrow" w:hAnsi="Arial Narrow" w:cs="Arial"/>
                <w:spacing w:val="-1"/>
              </w:rPr>
            </w:pPr>
          </w:p>
          <w:p w14:paraId="519EEEC9" w14:textId="77777777" w:rsidR="004631F2" w:rsidRPr="00E161B2" w:rsidRDefault="004631F2" w:rsidP="00F142B9">
            <w:pPr>
              <w:spacing w:line="276" w:lineRule="auto"/>
              <w:ind w:left="90" w:right="121"/>
              <w:jc w:val="both"/>
              <w:rPr>
                <w:rFonts w:ascii="Arial Narrow" w:eastAsia="Arial Narrow" w:hAnsi="Arial Narrow" w:cs="Arial"/>
                <w:b/>
                <w:spacing w:val="-1"/>
              </w:rPr>
            </w:pPr>
            <w:r w:rsidRPr="00E161B2">
              <w:rPr>
                <w:rFonts w:ascii="Arial Narrow" w:eastAsia="Arial Narrow" w:hAnsi="Arial Narrow" w:cs="Arial"/>
                <w:b/>
                <w:spacing w:val="1"/>
              </w:rPr>
              <w:t>A</w:t>
            </w:r>
            <w:r w:rsidRPr="00E161B2">
              <w:rPr>
                <w:rFonts w:ascii="Arial Narrow" w:eastAsia="Arial Narrow" w:hAnsi="Arial Narrow" w:cs="Arial"/>
                <w:b/>
                <w:spacing w:val="-1"/>
              </w:rPr>
              <w:t>p</w:t>
            </w:r>
            <w:r w:rsidRPr="00E161B2">
              <w:rPr>
                <w:rFonts w:ascii="Arial Narrow" w:eastAsia="Arial Narrow" w:hAnsi="Arial Narrow" w:cs="Arial"/>
                <w:b/>
                <w:spacing w:val="1"/>
              </w:rPr>
              <w:t>p</w:t>
            </w:r>
            <w:r w:rsidRPr="00E161B2">
              <w:rPr>
                <w:rFonts w:ascii="Arial Narrow" w:eastAsia="Arial Narrow" w:hAnsi="Arial Narrow" w:cs="Arial"/>
                <w:b/>
              </w:rPr>
              <w:t>ly</w:t>
            </w:r>
            <w:r w:rsidRPr="00E161B2">
              <w:rPr>
                <w:rFonts w:ascii="Arial Narrow" w:eastAsia="Arial Narrow" w:hAnsi="Arial Narrow" w:cs="Arial"/>
                <w:b/>
                <w:spacing w:val="33"/>
              </w:rPr>
              <w:t xml:space="preserve"> </w:t>
            </w:r>
            <w:r w:rsidRPr="00E161B2">
              <w:rPr>
                <w:rFonts w:ascii="Arial Narrow" w:eastAsia="Arial Narrow" w:hAnsi="Arial Narrow" w:cs="Arial"/>
                <w:b/>
                <w:spacing w:val="-1"/>
              </w:rPr>
              <w:t>t</w:t>
            </w:r>
            <w:r w:rsidRPr="00E161B2">
              <w:rPr>
                <w:rFonts w:ascii="Arial Narrow" w:eastAsia="Arial Narrow" w:hAnsi="Arial Narrow" w:cs="Arial"/>
                <w:b/>
              </w:rPr>
              <w:t xml:space="preserve">o </w:t>
            </w:r>
            <w:r w:rsidRPr="00E161B2">
              <w:rPr>
                <w:rFonts w:ascii="Arial Narrow" w:eastAsia="Arial Narrow" w:hAnsi="Arial Narrow" w:cs="Arial"/>
                <w:b/>
                <w:spacing w:val="-1"/>
              </w:rPr>
              <w:t>cr</w:t>
            </w:r>
            <w:r w:rsidRPr="00E161B2">
              <w:rPr>
                <w:rFonts w:ascii="Arial Narrow" w:eastAsia="Arial Narrow" w:hAnsi="Arial Narrow" w:cs="Arial"/>
                <w:b/>
                <w:spacing w:val="1"/>
              </w:rPr>
              <w:t>op</w:t>
            </w:r>
            <w:r w:rsidRPr="00E161B2">
              <w:rPr>
                <w:rFonts w:ascii="Arial Narrow" w:eastAsia="Arial Narrow" w:hAnsi="Arial Narrow" w:cs="Arial"/>
                <w:b/>
              </w:rPr>
              <w:t>s</w:t>
            </w:r>
            <w:r w:rsidRPr="00E161B2">
              <w:rPr>
                <w:rFonts w:ascii="Arial Narrow" w:eastAsia="Arial Narrow" w:hAnsi="Arial Narrow" w:cs="Arial"/>
                <w:b/>
                <w:spacing w:val="-2"/>
              </w:rPr>
              <w:t xml:space="preserve"> </w:t>
            </w:r>
            <w:r w:rsidRPr="00E161B2">
              <w:rPr>
                <w:rFonts w:ascii="Arial Narrow" w:eastAsia="Arial Narrow" w:hAnsi="Arial Narrow" w:cs="Arial"/>
                <w:b/>
                <w:spacing w:val="-1"/>
              </w:rPr>
              <w:t>fr</w:t>
            </w:r>
            <w:r w:rsidRPr="00E161B2">
              <w:rPr>
                <w:rFonts w:ascii="Arial Narrow" w:eastAsia="Arial Narrow" w:hAnsi="Arial Narrow" w:cs="Arial"/>
                <w:b/>
                <w:spacing w:val="1"/>
              </w:rPr>
              <w:t>o</w:t>
            </w:r>
            <w:r w:rsidRPr="00E161B2">
              <w:rPr>
                <w:rFonts w:ascii="Arial Narrow" w:eastAsia="Arial Narrow" w:hAnsi="Arial Narrow" w:cs="Arial"/>
                <w:b/>
              </w:rPr>
              <w:t xml:space="preserve">m </w:t>
            </w:r>
            <w:r w:rsidRPr="00E161B2">
              <w:rPr>
                <w:rFonts w:ascii="Arial Narrow" w:eastAsia="Arial Narrow" w:hAnsi="Arial Narrow" w:cs="Arial"/>
                <w:b/>
                <w:spacing w:val="-1"/>
              </w:rPr>
              <w:t>th</w:t>
            </w:r>
            <w:r w:rsidRPr="00E161B2">
              <w:rPr>
                <w:rFonts w:ascii="Arial Narrow" w:eastAsia="Arial Narrow" w:hAnsi="Arial Narrow" w:cs="Arial"/>
                <w:b/>
              </w:rPr>
              <w:t>e 2-leaf</w:t>
            </w:r>
            <w:r w:rsidRPr="00E161B2">
              <w:rPr>
                <w:rFonts w:ascii="Arial Narrow" w:eastAsia="Arial Narrow" w:hAnsi="Arial Narrow" w:cs="Arial"/>
                <w:b/>
                <w:spacing w:val="-1"/>
              </w:rPr>
              <w:t xml:space="preserve"> st</w:t>
            </w:r>
            <w:r w:rsidRPr="00E161B2">
              <w:rPr>
                <w:rFonts w:ascii="Arial Narrow" w:eastAsia="Arial Narrow" w:hAnsi="Arial Narrow" w:cs="Arial"/>
                <w:b/>
                <w:spacing w:val="1"/>
              </w:rPr>
              <w:t>a</w:t>
            </w:r>
            <w:r w:rsidRPr="00E161B2">
              <w:rPr>
                <w:rFonts w:ascii="Arial Narrow" w:eastAsia="Arial Narrow" w:hAnsi="Arial Narrow" w:cs="Arial"/>
                <w:b/>
                <w:spacing w:val="-1"/>
              </w:rPr>
              <w:t>g</w:t>
            </w:r>
            <w:r w:rsidRPr="00E161B2">
              <w:rPr>
                <w:rFonts w:ascii="Arial Narrow" w:eastAsia="Arial Narrow" w:hAnsi="Arial Narrow" w:cs="Arial"/>
                <w:b/>
              </w:rPr>
              <w:t xml:space="preserve">e </w:t>
            </w:r>
            <w:r w:rsidRPr="00E161B2">
              <w:rPr>
                <w:rFonts w:ascii="Arial Narrow" w:eastAsia="Arial Narrow" w:hAnsi="Arial Narrow" w:cs="Arial"/>
                <w:b/>
                <w:spacing w:val="-1"/>
              </w:rPr>
              <w:t>(</w:t>
            </w:r>
            <w:r w:rsidRPr="00E161B2">
              <w:rPr>
                <w:rFonts w:ascii="Arial Narrow" w:eastAsia="Arial Narrow" w:hAnsi="Arial Narrow" w:cs="Arial"/>
                <w:b/>
                <w:spacing w:val="1"/>
              </w:rPr>
              <w:t>Z</w:t>
            </w:r>
            <w:r w:rsidRPr="00E161B2">
              <w:rPr>
                <w:rFonts w:ascii="Arial Narrow" w:eastAsia="Arial Narrow" w:hAnsi="Arial Narrow" w:cs="Arial"/>
                <w:b/>
                <w:spacing w:val="-1"/>
              </w:rPr>
              <w:t>12</w:t>
            </w:r>
            <w:r w:rsidRPr="00E161B2">
              <w:rPr>
                <w:rFonts w:ascii="Arial Narrow" w:eastAsia="Arial Narrow" w:hAnsi="Arial Narrow" w:cs="Arial"/>
                <w:b/>
              </w:rPr>
              <w:t>)</w:t>
            </w:r>
            <w:r w:rsidRPr="00E161B2">
              <w:rPr>
                <w:rFonts w:ascii="Arial Narrow" w:eastAsia="Arial Narrow" w:hAnsi="Arial Narrow" w:cs="Arial"/>
                <w:b/>
                <w:spacing w:val="-4"/>
              </w:rPr>
              <w:t xml:space="preserve"> </w:t>
            </w:r>
            <w:r w:rsidRPr="00E161B2">
              <w:rPr>
                <w:rFonts w:ascii="Arial Narrow" w:eastAsia="Arial Narrow" w:hAnsi="Arial Narrow" w:cs="Arial"/>
                <w:b/>
                <w:spacing w:val="1"/>
              </w:rPr>
              <w:t>bu</w:t>
            </w:r>
            <w:r w:rsidRPr="00E161B2">
              <w:rPr>
                <w:rFonts w:ascii="Arial Narrow" w:eastAsia="Arial Narrow" w:hAnsi="Arial Narrow" w:cs="Arial"/>
                <w:b/>
              </w:rPr>
              <w:t>t</w:t>
            </w:r>
            <w:r w:rsidRPr="00E161B2">
              <w:rPr>
                <w:rFonts w:ascii="Arial Narrow" w:eastAsia="Arial Narrow" w:hAnsi="Arial Narrow" w:cs="Arial"/>
                <w:b/>
                <w:spacing w:val="-1"/>
              </w:rPr>
              <w:t xml:space="preserve"> </w:t>
            </w:r>
            <w:r w:rsidRPr="00E161B2">
              <w:rPr>
                <w:rFonts w:ascii="Arial Narrow" w:eastAsia="Arial Narrow" w:hAnsi="Arial Narrow" w:cs="Arial"/>
                <w:b/>
                <w:spacing w:val="1"/>
              </w:rPr>
              <w:t>p</w:t>
            </w:r>
            <w:r w:rsidRPr="00E161B2">
              <w:rPr>
                <w:rFonts w:ascii="Arial Narrow" w:eastAsia="Arial Narrow" w:hAnsi="Arial Narrow" w:cs="Arial"/>
                <w:b/>
                <w:spacing w:val="-1"/>
              </w:rPr>
              <w:t>r</w:t>
            </w:r>
            <w:r w:rsidRPr="00E161B2">
              <w:rPr>
                <w:rFonts w:ascii="Arial Narrow" w:eastAsia="Arial Narrow" w:hAnsi="Arial Narrow" w:cs="Arial"/>
                <w:b/>
              </w:rPr>
              <w:t>ior to the 2</w:t>
            </w:r>
            <w:r w:rsidRPr="00E161B2">
              <w:rPr>
                <w:rFonts w:ascii="Arial Narrow" w:eastAsia="Arial Narrow" w:hAnsi="Arial Narrow" w:cs="Arial"/>
                <w:b/>
                <w:spacing w:val="-1"/>
              </w:rPr>
              <w:t>-node stage</w:t>
            </w:r>
            <w:r w:rsidRPr="00E161B2">
              <w:rPr>
                <w:rFonts w:ascii="Arial Narrow" w:eastAsia="Arial Narrow" w:hAnsi="Arial Narrow" w:cs="Arial"/>
                <w:b/>
              </w:rPr>
              <w:t xml:space="preserve"> </w:t>
            </w:r>
            <w:r w:rsidRPr="00E161B2">
              <w:rPr>
                <w:rFonts w:ascii="Arial Narrow" w:eastAsia="Arial Narrow" w:hAnsi="Arial Narrow" w:cs="Arial"/>
                <w:b/>
                <w:spacing w:val="-3"/>
              </w:rPr>
              <w:t>(</w:t>
            </w:r>
            <w:r w:rsidRPr="00E161B2">
              <w:rPr>
                <w:rFonts w:ascii="Arial Narrow" w:eastAsia="Arial Narrow" w:hAnsi="Arial Narrow" w:cs="Arial"/>
                <w:b/>
                <w:spacing w:val="1"/>
              </w:rPr>
              <w:t>Z</w:t>
            </w:r>
            <w:r w:rsidRPr="00E161B2">
              <w:rPr>
                <w:rFonts w:ascii="Arial Narrow" w:eastAsia="Arial Narrow" w:hAnsi="Arial Narrow" w:cs="Arial"/>
                <w:b/>
                <w:spacing w:val="-1"/>
              </w:rPr>
              <w:t>32)</w:t>
            </w:r>
            <w:r w:rsidRPr="00E161B2">
              <w:rPr>
                <w:rFonts w:ascii="Arial Narrow" w:eastAsia="Arial Narrow" w:hAnsi="Arial Narrow" w:cs="Arial"/>
                <w:b/>
              </w:rPr>
              <w:t>.</w:t>
            </w:r>
            <w:r w:rsidRPr="00E161B2">
              <w:rPr>
                <w:rFonts w:ascii="Arial Narrow" w:eastAsia="Arial Narrow" w:hAnsi="Arial Narrow" w:cs="Arial"/>
                <w:b/>
                <w:spacing w:val="-1"/>
              </w:rPr>
              <w:t xml:space="preserve"> </w:t>
            </w:r>
          </w:p>
          <w:p w14:paraId="593B7E71" w14:textId="77777777" w:rsidR="004631F2" w:rsidRPr="00E161B2" w:rsidRDefault="004631F2" w:rsidP="00F142B9">
            <w:pPr>
              <w:spacing w:line="276" w:lineRule="auto"/>
              <w:ind w:left="90" w:right="121"/>
              <w:jc w:val="both"/>
              <w:rPr>
                <w:rFonts w:ascii="Arial Narrow" w:eastAsia="Arial Narrow" w:hAnsi="Arial Narrow" w:cs="Arial"/>
                <w:spacing w:val="-1"/>
              </w:rPr>
            </w:pPr>
          </w:p>
          <w:p w14:paraId="5A6EA4B1" w14:textId="77777777" w:rsidR="004631F2" w:rsidRPr="00E161B2" w:rsidRDefault="004631F2" w:rsidP="00F142B9">
            <w:pPr>
              <w:spacing w:line="276" w:lineRule="auto"/>
              <w:ind w:left="90" w:right="121"/>
              <w:jc w:val="both"/>
              <w:rPr>
                <w:rFonts w:ascii="Arial Narrow" w:eastAsia="Arial Narrow" w:hAnsi="Arial Narrow" w:cs="Arial"/>
              </w:rPr>
            </w:pPr>
            <w:r w:rsidRPr="00E161B2">
              <w:rPr>
                <w:rFonts w:ascii="Arial Narrow" w:eastAsia="Arial Narrow" w:hAnsi="Arial Narrow" w:cs="Arial"/>
                <w:spacing w:val="1"/>
              </w:rPr>
              <w:t xml:space="preserve">Transient bleaching of the crop may occur, particularly </w:t>
            </w:r>
            <w:r>
              <w:rPr>
                <w:rFonts w:ascii="Arial Narrow" w:eastAsia="Arial Narrow" w:hAnsi="Arial Narrow" w:cs="Arial"/>
                <w:spacing w:val="1"/>
              </w:rPr>
              <w:t xml:space="preserve">under cold or frosty conditions </w:t>
            </w:r>
            <w:r w:rsidRPr="00E161B2">
              <w:rPr>
                <w:rFonts w:ascii="Arial Narrow" w:eastAsia="Arial Narrow" w:hAnsi="Arial Narrow" w:cs="Arial"/>
                <w:spacing w:val="1"/>
              </w:rPr>
              <w:t>and can be exacerbated in northern areas where frost/cold starts followed by warm bright sunlight days follow. Trial data has shown that under these conditions final yield will not be impacted.</w:t>
            </w:r>
          </w:p>
        </w:tc>
      </w:tr>
      <w:tr w:rsidR="004631F2" w:rsidRPr="00E161B2" w14:paraId="73E7F528" w14:textId="77777777" w:rsidTr="00F142B9">
        <w:trPr>
          <w:trHeight w:val="565"/>
        </w:trPr>
        <w:tc>
          <w:tcPr>
            <w:tcW w:w="493" w:type="pct"/>
            <w:vMerge/>
            <w:tcBorders>
              <w:left w:val="single" w:sz="4" w:space="0" w:color="000000"/>
              <w:bottom w:val="single" w:sz="4" w:space="0" w:color="auto"/>
              <w:right w:val="single" w:sz="4" w:space="0" w:color="000000"/>
            </w:tcBorders>
          </w:tcPr>
          <w:p w14:paraId="60477012" w14:textId="77777777" w:rsidR="004631F2" w:rsidRPr="00E161B2" w:rsidRDefault="004631F2" w:rsidP="00F142B9">
            <w:pPr>
              <w:spacing w:line="276" w:lineRule="auto"/>
              <w:jc w:val="both"/>
              <w:rPr>
                <w:rFonts w:ascii="Arial Narrow" w:hAnsi="Arial Narrow" w:cs="Arial"/>
              </w:rPr>
            </w:pPr>
          </w:p>
        </w:tc>
        <w:tc>
          <w:tcPr>
            <w:tcW w:w="1128" w:type="pct"/>
            <w:tcBorders>
              <w:top w:val="single" w:sz="4" w:space="0" w:color="000000"/>
              <w:left w:val="single" w:sz="4" w:space="0" w:color="000000"/>
              <w:bottom w:val="single" w:sz="4" w:space="0" w:color="000000"/>
              <w:right w:val="single" w:sz="4" w:space="0" w:color="000000"/>
            </w:tcBorders>
            <w:shd w:val="clear" w:color="auto" w:fill="auto"/>
          </w:tcPr>
          <w:p w14:paraId="2FA3510F" w14:textId="77777777" w:rsidR="004631F2" w:rsidRPr="00E161B2" w:rsidRDefault="004631F2" w:rsidP="00F142B9">
            <w:pPr>
              <w:spacing w:before="27" w:line="276" w:lineRule="auto"/>
              <w:ind w:right="136"/>
              <w:rPr>
                <w:rFonts w:ascii="Arial Narrow" w:eastAsia="Arial Narrow" w:hAnsi="Arial Narrow" w:cs="Arial"/>
                <w:i/>
                <w:spacing w:val="1"/>
              </w:rPr>
            </w:pPr>
            <w:proofErr w:type="spellStart"/>
            <w:r w:rsidRPr="00E161B2">
              <w:rPr>
                <w:rFonts w:ascii="Arial Narrow" w:eastAsia="Arial Narrow" w:hAnsi="Arial Narrow" w:cs="Arial"/>
                <w:spacing w:val="1"/>
              </w:rPr>
              <w:t>Bifora</w:t>
            </w:r>
            <w:proofErr w:type="spellEnd"/>
            <w:r w:rsidRPr="00E161B2">
              <w:rPr>
                <w:rFonts w:ascii="Arial Narrow" w:eastAsia="Arial Narrow" w:hAnsi="Arial Narrow" w:cs="Arial"/>
                <w:spacing w:val="1"/>
              </w:rPr>
              <w:t xml:space="preserve"> (</w:t>
            </w:r>
            <w:proofErr w:type="spellStart"/>
            <w:r w:rsidRPr="00E161B2">
              <w:rPr>
                <w:rFonts w:ascii="Arial Narrow" w:eastAsia="Arial Narrow" w:hAnsi="Arial Narrow" w:cs="Arial"/>
                <w:i/>
                <w:spacing w:val="1"/>
              </w:rPr>
              <w:t>Bifora</w:t>
            </w:r>
            <w:proofErr w:type="spellEnd"/>
            <w:r w:rsidRPr="00E161B2">
              <w:rPr>
                <w:rFonts w:ascii="Arial Narrow" w:eastAsia="Arial Narrow" w:hAnsi="Arial Narrow" w:cs="Arial"/>
                <w:i/>
                <w:spacing w:val="1"/>
              </w:rPr>
              <w:t xml:space="preserve"> </w:t>
            </w:r>
            <w:proofErr w:type="spellStart"/>
            <w:r w:rsidRPr="00E161B2">
              <w:rPr>
                <w:rFonts w:ascii="Arial Narrow" w:eastAsia="Arial Narrow" w:hAnsi="Arial Narrow" w:cs="Arial"/>
                <w:i/>
                <w:spacing w:val="1"/>
              </w:rPr>
              <w:t>testiculata</w:t>
            </w:r>
            <w:proofErr w:type="spellEnd"/>
            <w:r w:rsidRPr="00E161B2">
              <w:rPr>
                <w:rFonts w:ascii="Arial Narrow" w:eastAsia="Arial Narrow" w:hAnsi="Arial Narrow" w:cs="Arial"/>
                <w:spacing w:val="1"/>
              </w:rPr>
              <w:t>)</w:t>
            </w:r>
            <w:r w:rsidRPr="00E161B2">
              <w:rPr>
                <w:rFonts w:ascii="Arial Narrow" w:eastAsia="Arial Narrow" w:hAnsi="Arial Narrow" w:cs="Arial"/>
                <w:i/>
                <w:spacing w:val="1"/>
              </w:rPr>
              <w:t>,</w:t>
            </w:r>
          </w:p>
          <w:p w14:paraId="27698338"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Bindweed/buckwheat (</w:t>
            </w:r>
            <w:proofErr w:type="spellStart"/>
            <w:r w:rsidRPr="00E161B2">
              <w:rPr>
                <w:rFonts w:ascii="Arial Narrow" w:eastAsia="Arial Narrow" w:hAnsi="Arial Narrow" w:cs="Arial"/>
                <w:i/>
                <w:spacing w:val="1"/>
                <w:lang w:val="en-US"/>
              </w:rPr>
              <w:t>Fallopia</w:t>
            </w:r>
            <w:proofErr w:type="spellEnd"/>
            <w:r w:rsidRPr="00E161B2">
              <w:rPr>
                <w:rFonts w:ascii="Arial Narrow" w:eastAsia="Arial Narrow" w:hAnsi="Arial Narrow" w:cs="Arial"/>
                <w:i/>
                <w:spacing w:val="1"/>
                <w:lang w:val="en-US"/>
              </w:rPr>
              <w:t xml:space="preserve"> convolvulus</w:t>
            </w:r>
            <w:r w:rsidRPr="00E161B2">
              <w:rPr>
                <w:rFonts w:ascii="Arial Narrow" w:eastAsia="Arial Narrow" w:hAnsi="Arial Narrow" w:cs="Arial"/>
                <w:spacing w:val="1"/>
                <w:lang w:val="en-US"/>
              </w:rPr>
              <w:t>),</w:t>
            </w:r>
          </w:p>
          <w:p w14:paraId="15DBBBDC" w14:textId="77777777" w:rsidR="004631F2" w:rsidRPr="00E161B2" w:rsidRDefault="004631F2" w:rsidP="00F142B9">
            <w:pPr>
              <w:spacing w:before="27" w:line="276" w:lineRule="auto"/>
              <w:ind w:right="136"/>
              <w:rPr>
                <w:rFonts w:ascii="Arial Narrow" w:eastAsia="Arial Narrow" w:hAnsi="Arial Narrow" w:cs="Arial"/>
                <w:spacing w:val="1"/>
                <w:lang w:val="en-US"/>
              </w:rPr>
            </w:pPr>
            <w:proofErr w:type="spellStart"/>
            <w:r w:rsidRPr="00E161B2">
              <w:rPr>
                <w:rFonts w:ascii="Arial Narrow" w:eastAsia="Arial Narrow" w:hAnsi="Arial Narrow" w:cs="Arial"/>
                <w:spacing w:val="1"/>
                <w:lang w:val="en-US"/>
              </w:rPr>
              <w:t>Capeweed</w:t>
            </w:r>
            <w:proofErr w:type="spellEnd"/>
            <w:r w:rsidRPr="00E161B2">
              <w:rPr>
                <w:rFonts w:ascii="Arial Narrow" w:eastAsia="Arial Narrow" w:hAnsi="Arial Narrow" w:cs="Arial"/>
                <w:spacing w:val="1"/>
                <w:lang w:val="en-US"/>
              </w:rPr>
              <w:t xml:space="preserve"> (</w:t>
            </w:r>
            <w:proofErr w:type="spellStart"/>
            <w:r w:rsidRPr="00E161B2">
              <w:rPr>
                <w:rFonts w:ascii="Arial Narrow" w:eastAsia="Arial Narrow" w:hAnsi="Arial Narrow" w:cs="Arial"/>
                <w:i/>
                <w:spacing w:val="1"/>
                <w:lang w:val="en-US"/>
              </w:rPr>
              <w:t>Arctotheca</w:t>
            </w:r>
            <w:proofErr w:type="spellEnd"/>
            <w:r w:rsidRPr="00E161B2">
              <w:rPr>
                <w:rFonts w:ascii="Arial Narrow" w:eastAsia="Arial Narrow" w:hAnsi="Arial Narrow" w:cs="Arial"/>
                <w:i/>
                <w:spacing w:val="1"/>
                <w:lang w:val="en-US"/>
              </w:rPr>
              <w:t xml:space="preserve"> calendula</w:t>
            </w:r>
            <w:r w:rsidRPr="00E161B2">
              <w:rPr>
                <w:rFonts w:ascii="Arial Narrow" w:eastAsia="Arial Narrow" w:hAnsi="Arial Narrow" w:cs="Arial"/>
                <w:spacing w:val="1"/>
                <w:lang w:val="en-US"/>
              </w:rPr>
              <w:t>),</w:t>
            </w:r>
          </w:p>
          <w:p w14:paraId="29C2A976" w14:textId="77777777" w:rsidR="004631F2" w:rsidRPr="00E161B2" w:rsidRDefault="004631F2" w:rsidP="00F142B9">
            <w:pPr>
              <w:spacing w:before="27" w:line="276" w:lineRule="auto"/>
              <w:ind w:right="136"/>
              <w:rPr>
                <w:rFonts w:ascii="Arial Narrow" w:eastAsia="Arial Narrow" w:hAnsi="Arial Narrow" w:cs="Arial"/>
                <w:i/>
                <w:spacing w:val="1"/>
              </w:rPr>
            </w:pPr>
            <w:r w:rsidRPr="00E161B2">
              <w:rPr>
                <w:rFonts w:ascii="Arial Narrow" w:eastAsia="Arial Narrow" w:hAnsi="Arial Narrow" w:cs="Arial"/>
                <w:spacing w:val="1"/>
              </w:rPr>
              <w:t>Charlock (</w:t>
            </w:r>
            <w:proofErr w:type="spellStart"/>
            <w:r w:rsidRPr="00E161B2">
              <w:rPr>
                <w:rFonts w:ascii="Arial Narrow" w:eastAsia="Arial Narrow" w:hAnsi="Arial Narrow" w:cs="Arial"/>
                <w:i/>
                <w:spacing w:val="1"/>
              </w:rPr>
              <w:t>Sinapsis</w:t>
            </w:r>
            <w:proofErr w:type="spellEnd"/>
            <w:r w:rsidRPr="00E161B2">
              <w:rPr>
                <w:rFonts w:ascii="Arial Narrow" w:eastAsia="Arial Narrow" w:hAnsi="Arial Narrow" w:cs="Arial"/>
                <w:i/>
                <w:spacing w:val="1"/>
              </w:rPr>
              <w:t xml:space="preserve"> </w:t>
            </w:r>
            <w:proofErr w:type="spellStart"/>
            <w:r w:rsidRPr="00E161B2">
              <w:rPr>
                <w:rFonts w:ascii="Arial Narrow" w:eastAsia="Arial Narrow" w:hAnsi="Arial Narrow" w:cs="Arial"/>
                <w:i/>
                <w:spacing w:val="1"/>
              </w:rPr>
              <w:t>avensis</w:t>
            </w:r>
            <w:proofErr w:type="spellEnd"/>
            <w:r w:rsidRPr="00E161B2">
              <w:rPr>
                <w:rFonts w:ascii="Arial Narrow" w:eastAsia="Arial Narrow" w:hAnsi="Arial Narrow" w:cs="Arial"/>
                <w:i/>
                <w:spacing w:val="1"/>
              </w:rPr>
              <w:t>),</w:t>
            </w:r>
          </w:p>
          <w:p w14:paraId="2BEBD2BC"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Deadnettle (</w:t>
            </w:r>
            <w:proofErr w:type="spellStart"/>
            <w:r w:rsidRPr="00E161B2">
              <w:rPr>
                <w:rFonts w:ascii="Arial Narrow" w:eastAsia="Arial Narrow" w:hAnsi="Arial Narrow" w:cs="Arial"/>
                <w:i/>
                <w:spacing w:val="1"/>
                <w:lang w:val="en-US"/>
              </w:rPr>
              <w:t>Lamium</w:t>
            </w:r>
            <w:proofErr w:type="spellEnd"/>
            <w:r w:rsidRPr="00E161B2">
              <w:rPr>
                <w:rFonts w:ascii="Arial Narrow" w:eastAsia="Arial Narrow" w:hAnsi="Arial Narrow" w:cs="Arial"/>
                <w:i/>
                <w:spacing w:val="1"/>
                <w:lang w:val="en-US"/>
              </w:rPr>
              <w:t xml:space="preserve"> </w:t>
            </w:r>
            <w:proofErr w:type="spellStart"/>
            <w:r w:rsidRPr="00E161B2">
              <w:rPr>
                <w:rFonts w:ascii="Arial Narrow" w:eastAsia="Arial Narrow" w:hAnsi="Arial Narrow" w:cs="Arial"/>
                <w:i/>
                <w:spacing w:val="1"/>
                <w:lang w:val="en-US"/>
              </w:rPr>
              <w:t>amplexicale</w:t>
            </w:r>
            <w:proofErr w:type="spellEnd"/>
            <w:r w:rsidRPr="00E161B2">
              <w:rPr>
                <w:rFonts w:ascii="Arial Narrow" w:eastAsia="Arial Narrow" w:hAnsi="Arial Narrow" w:cs="Arial"/>
                <w:spacing w:val="1"/>
                <w:lang w:val="en-US"/>
              </w:rPr>
              <w:t>),</w:t>
            </w:r>
          </w:p>
          <w:p w14:paraId="110038FC"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Fleabane (</w:t>
            </w:r>
            <w:proofErr w:type="spellStart"/>
            <w:r w:rsidRPr="00E161B2">
              <w:rPr>
                <w:rFonts w:ascii="Arial Narrow" w:eastAsia="Arial Narrow" w:hAnsi="Arial Narrow" w:cs="Arial"/>
                <w:i/>
                <w:spacing w:val="1"/>
                <w:lang w:val="en-US"/>
              </w:rPr>
              <w:t>Conyza</w:t>
            </w:r>
            <w:proofErr w:type="spellEnd"/>
            <w:r w:rsidRPr="00E161B2">
              <w:rPr>
                <w:rFonts w:ascii="Arial Narrow" w:eastAsia="Arial Narrow" w:hAnsi="Arial Narrow" w:cs="Arial"/>
                <w:i/>
                <w:spacing w:val="1"/>
                <w:lang w:val="en-US"/>
              </w:rPr>
              <w:t xml:space="preserve"> </w:t>
            </w:r>
            <w:r w:rsidRPr="00E161B2">
              <w:rPr>
                <w:rFonts w:ascii="Arial Narrow" w:eastAsia="Arial Narrow" w:hAnsi="Arial Narrow" w:cs="Arial"/>
                <w:spacing w:val="1"/>
                <w:lang w:val="en-US"/>
              </w:rPr>
              <w:t>spp.),</w:t>
            </w:r>
          </w:p>
          <w:p w14:paraId="5096E859"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Fumitory (</w:t>
            </w:r>
            <w:proofErr w:type="spellStart"/>
            <w:r w:rsidRPr="00E161B2">
              <w:rPr>
                <w:rFonts w:ascii="Arial Narrow" w:eastAsia="Arial Narrow" w:hAnsi="Arial Narrow" w:cs="Arial"/>
                <w:i/>
                <w:spacing w:val="1"/>
                <w:lang w:val="en-US"/>
              </w:rPr>
              <w:t>Fumaria</w:t>
            </w:r>
            <w:proofErr w:type="spellEnd"/>
            <w:r w:rsidRPr="00E161B2">
              <w:rPr>
                <w:rFonts w:ascii="Arial Narrow" w:eastAsia="Arial Narrow" w:hAnsi="Arial Narrow" w:cs="Arial"/>
                <w:i/>
                <w:spacing w:val="1"/>
                <w:lang w:val="en-US"/>
              </w:rPr>
              <w:t xml:space="preserve"> </w:t>
            </w:r>
            <w:r w:rsidRPr="00E161B2">
              <w:rPr>
                <w:rFonts w:ascii="Arial Narrow" w:eastAsia="Arial Narrow" w:hAnsi="Arial Narrow" w:cs="Arial"/>
                <w:spacing w:val="1"/>
                <w:lang w:val="en-US"/>
              </w:rPr>
              <w:t>spp.),</w:t>
            </w:r>
          </w:p>
          <w:p w14:paraId="485C7F24"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Pimpernel (</w:t>
            </w:r>
            <w:proofErr w:type="spellStart"/>
            <w:r w:rsidRPr="00E161B2">
              <w:rPr>
                <w:rFonts w:ascii="Arial Narrow" w:eastAsia="Arial Narrow" w:hAnsi="Arial Narrow" w:cs="Arial"/>
                <w:i/>
                <w:spacing w:val="1"/>
                <w:lang w:val="en-US"/>
              </w:rPr>
              <w:t>Anagallis</w:t>
            </w:r>
            <w:proofErr w:type="spellEnd"/>
            <w:r w:rsidRPr="00E161B2">
              <w:rPr>
                <w:rFonts w:ascii="Arial Narrow" w:eastAsia="Arial Narrow" w:hAnsi="Arial Narrow" w:cs="Arial"/>
                <w:i/>
                <w:spacing w:val="1"/>
                <w:lang w:val="en-US"/>
              </w:rPr>
              <w:t xml:space="preserve"> </w:t>
            </w:r>
            <w:proofErr w:type="spellStart"/>
            <w:r w:rsidRPr="00E161B2">
              <w:rPr>
                <w:rFonts w:ascii="Arial Narrow" w:eastAsia="Arial Narrow" w:hAnsi="Arial Narrow" w:cs="Arial"/>
                <w:i/>
                <w:spacing w:val="1"/>
                <w:lang w:val="en-US"/>
              </w:rPr>
              <w:t>arvesnsis</w:t>
            </w:r>
            <w:proofErr w:type="spellEnd"/>
            <w:r w:rsidRPr="00E161B2">
              <w:rPr>
                <w:rFonts w:ascii="Arial Narrow" w:eastAsia="Arial Narrow" w:hAnsi="Arial Narrow" w:cs="Arial"/>
                <w:spacing w:val="1"/>
                <w:lang w:val="en-US"/>
              </w:rPr>
              <w:t>),</w:t>
            </w:r>
          </w:p>
          <w:p w14:paraId="1F8655A2"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Shepherd’s purse (</w:t>
            </w:r>
            <w:proofErr w:type="spellStart"/>
            <w:r w:rsidRPr="00E161B2">
              <w:rPr>
                <w:rFonts w:ascii="Arial Narrow" w:eastAsia="Arial Narrow" w:hAnsi="Arial Narrow" w:cs="Arial"/>
                <w:i/>
                <w:spacing w:val="1"/>
                <w:lang w:val="en-US"/>
              </w:rPr>
              <w:t>Capsella</w:t>
            </w:r>
            <w:proofErr w:type="spellEnd"/>
            <w:r w:rsidRPr="00E161B2">
              <w:rPr>
                <w:rFonts w:ascii="Arial Narrow" w:eastAsia="Arial Narrow" w:hAnsi="Arial Narrow" w:cs="Arial"/>
                <w:i/>
                <w:spacing w:val="1"/>
                <w:lang w:val="en-US"/>
              </w:rPr>
              <w:t xml:space="preserve"> bursa-pastoris</w:t>
            </w:r>
            <w:r w:rsidRPr="00E161B2">
              <w:rPr>
                <w:rFonts w:ascii="Arial Narrow" w:eastAsia="Arial Narrow" w:hAnsi="Arial Narrow" w:cs="Arial"/>
                <w:spacing w:val="1"/>
                <w:lang w:val="en-US"/>
              </w:rPr>
              <w:t>),</w:t>
            </w:r>
          </w:p>
          <w:p w14:paraId="7F8FDB40"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Sow thistle/milk thistle (</w:t>
            </w:r>
            <w:proofErr w:type="spellStart"/>
            <w:r w:rsidRPr="00E161B2">
              <w:rPr>
                <w:rFonts w:ascii="Arial Narrow" w:eastAsia="Arial Narrow" w:hAnsi="Arial Narrow" w:cs="Arial"/>
                <w:i/>
                <w:spacing w:val="1"/>
                <w:lang w:val="en-US"/>
              </w:rPr>
              <w:t>Sonchus</w:t>
            </w:r>
            <w:proofErr w:type="spellEnd"/>
            <w:r w:rsidRPr="00E161B2">
              <w:rPr>
                <w:rFonts w:ascii="Arial Narrow" w:eastAsia="Arial Narrow" w:hAnsi="Arial Narrow" w:cs="Arial"/>
                <w:i/>
                <w:spacing w:val="1"/>
                <w:lang w:val="en-US"/>
              </w:rPr>
              <w:t xml:space="preserve"> </w:t>
            </w:r>
            <w:proofErr w:type="spellStart"/>
            <w:r w:rsidRPr="00E161B2">
              <w:rPr>
                <w:rFonts w:ascii="Arial Narrow" w:eastAsia="Arial Narrow" w:hAnsi="Arial Narrow" w:cs="Arial"/>
                <w:i/>
                <w:spacing w:val="1"/>
                <w:lang w:val="en-US"/>
              </w:rPr>
              <w:t>oleracheus</w:t>
            </w:r>
            <w:proofErr w:type="spellEnd"/>
            <w:r w:rsidRPr="00E161B2">
              <w:rPr>
                <w:rFonts w:ascii="Arial Narrow" w:eastAsia="Arial Narrow" w:hAnsi="Arial Narrow" w:cs="Arial"/>
                <w:spacing w:val="1"/>
                <w:lang w:val="en-US"/>
              </w:rPr>
              <w:t>),</w:t>
            </w:r>
          </w:p>
          <w:p w14:paraId="4CDB1751"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 xml:space="preserve">Stinging nettle </w:t>
            </w:r>
          </w:p>
          <w:p w14:paraId="0C1A5C04"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w:t>
            </w:r>
            <w:proofErr w:type="spellStart"/>
            <w:r w:rsidRPr="00E161B2">
              <w:rPr>
                <w:rFonts w:ascii="Arial Narrow" w:eastAsia="Arial Narrow" w:hAnsi="Arial Narrow" w:cs="Arial"/>
                <w:i/>
                <w:spacing w:val="1"/>
                <w:lang w:val="en-US"/>
              </w:rPr>
              <w:t>Urtica</w:t>
            </w:r>
            <w:proofErr w:type="spellEnd"/>
            <w:r w:rsidRPr="00E161B2">
              <w:rPr>
                <w:rFonts w:ascii="Arial Narrow" w:eastAsia="Arial Narrow" w:hAnsi="Arial Narrow" w:cs="Arial"/>
                <w:i/>
                <w:spacing w:val="1"/>
                <w:lang w:val="en-US"/>
              </w:rPr>
              <w:t xml:space="preserve"> </w:t>
            </w:r>
            <w:proofErr w:type="spellStart"/>
            <w:r w:rsidRPr="00E161B2">
              <w:rPr>
                <w:rFonts w:ascii="Arial Narrow" w:eastAsia="Arial Narrow" w:hAnsi="Arial Narrow" w:cs="Arial"/>
                <w:i/>
                <w:spacing w:val="1"/>
                <w:lang w:val="en-US"/>
              </w:rPr>
              <w:t>dioica</w:t>
            </w:r>
            <w:proofErr w:type="spellEnd"/>
            <w:r w:rsidRPr="00E161B2">
              <w:rPr>
                <w:rFonts w:ascii="Arial Narrow" w:eastAsia="Arial Narrow" w:hAnsi="Arial Narrow" w:cs="Arial"/>
                <w:spacing w:val="1"/>
                <w:lang w:val="en-US"/>
              </w:rPr>
              <w:t>),</w:t>
            </w:r>
          </w:p>
          <w:p w14:paraId="6A48B3E8" w14:textId="77777777" w:rsidR="004631F2" w:rsidRPr="00E161B2" w:rsidRDefault="004631F2" w:rsidP="00F142B9">
            <w:pPr>
              <w:spacing w:line="276" w:lineRule="auto"/>
              <w:rPr>
                <w:rFonts w:ascii="Arial Narrow" w:hAnsi="Arial Narrow" w:cs="Arial"/>
                <w:snapToGrid w:val="0"/>
              </w:rPr>
            </w:pPr>
            <w:bookmarkStart w:id="64" w:name="_Toc507673311"/>
            <w:r w:rsidRPr="00E161B2">
              <w:rPr>
                <w:rFonts w:ascii="Arial Narrow" w:hAnsi="Arial Narrow" w:cs="Arial"/>
                <w:snapToGrid w:val="0"/>
              </w:rPr>
              <w:t>Subterranean Clover (</w:t>
            </w:r>
            <w:r w:rsidRPr="00E161B2">
              <w:rPr>
                <w:rFonts w:ascii="Arial Narrow" w:hAnsi="Arial Narrow" w:cs="Arial"/>
                <w:i/>
                <w:snapToGrid w:val="0"/>
              </w:rPr>
              <w:t xml:space="preserve">Trifolium </w:t>
            </w:r>
            <w:proofErr w:type="spellStart"/>
            <w:r w:rsidRPr="00E161B2">
              <w:rPr>
                <w:rFonts w:ascii="Arial Narrow" w:hAnsi="Arial Narrow" w:cs="Arial"/>
                <w:i/>
                <w:snapToGrid w:val="0"/>
              </w:rPr>
              <w:t>subterraneum</w:t>
            </w:r>
            <w:bookmarkEnd w:id="64"/>
            <w:proofErr w:type="spellEnd"/>
            <w:r w:rsidRPr="00E161B2">
              <w:rPr>
                <w:rFonts w:ascii="Arial Narrow" w:hAnsi="Arial Narrow" w:cs="Arial"/>
                <w:snapToGrid w:val="0"/>
              </w:rPr>
              <w:t>),</w:t>
            </w:r>
          </w:p>
          <w:p w14:paraId="022ABCCD"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Tares (</w:t>
            </w:r>
            <w:proofErr w:type="spellStart"/>
            <w:r w:rsidRPr="00E161B2">
              <w:rPr>
                <w:rFonts w:ascii="Arial Narrow" w:eastAsia="Arial Narrow" w:hAnsi="Arial Narrow" w:cs="Arial"/>
                <w:i/>
                <w:spacing w:val="1"/>
                <w:lang w:val="en-US"/>
              </w:rPr>
              <w:t>Vicia</w:t>
            </w:r>
            <w:proofErr w:type="spellEnd"/>
            <w:r w:rsidRPr="00E161B2">
              <w:rPr>
                <w:rFonts w:ascii="Arial Narrow" w:eastAsia="Arial Narrow" w:hAnsi="Arial Narrow" w:cs="Arial"/>
                <w:i/>
                <w:spacing w:val="1"/>
                <w:lang w:val="en-US"/>
              </w:rPr>
              <w:t xml:space="preserve"> sativa</w:t>
            </w:r>
            <w:r w:rsidRPr="00E161B2">
              <w:rPr>
                <w:rFonts w:ascii="Arial Narrow" w:eastAsia="Arial Narrow" w:hAnsi="Arial Narrow" w:cs="Arial"/>
                <w:spacing w:val="1"/>
                <w:lang w:val="en-US"/>
              </w:rPr>
              <w:t xml:space="preserve">), </w:t>
            </w:r>
          </w:p>
          <w:p w14:paraId="3C99BF11"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Turnip weed (</w:t>
            </w:r>
            <w:proofErr w:type="spellStart"/>
            <w:r w:rsidRPr="00E161B2">
              <w:rPr>
                <w:rFonts w:ascii="Arial Narrow" w:eastAsia="Arial Narrow" w:hAnsi="Arial Narrow" w:cs="Arial"/>
                <w:i/>
                <w:spacing w:val="1"/>
                <w:lang w:val="en-US"/>
              </w:rPr>
              <w:t>Rapistrum</w:t>
            </w:r>
            <w:proofErr w:type="spellEnd"/>
            <w:r w:rsidRPr="00E161B2">
              <w:rPr>
                <w:rFonts w:ascii="Arial Narrow" w:eastAsia="Arial Narrow" w:hAnsi="Arial Narrow" w:cs="Arial"/>
                <w:i/>
                <w:spacing w:val="1"/>
                <w:lang w:val="en-US"/>
              </w:rPr>
              <w:t xml:space="preserve"> </w:t>
            </w:r>
            <w:proofErr w:type="spellStart"/>
            <w:r w:rsidRPr="00E161B2">
              <w:rPr>
                <w:rFonts w:ascii="Arial Narrow" w:eastAsia="Arial Narrow" w:hAnsi="Arial Narrow" w:cs="Arial"/>
                <w:i/>
                <w:spacing w:val="1"/>
                <w:lang w:val="en-US"/>
              </w:rPr>
              <w:t>rogosum</w:t>
            </w:r>
            <w:proofErr w:type="spellEnd"/>
            <w:r w:rsidRPr="00E161B2">
              <w:rPr>
                <w:rFonts w:ascii="Arial Narrow" w:eastAsia="Arial Narrow" w:hAnsi="Arial Narrow" w:cs="Arial"/>
                <w:spacing w:val="1"/>
                <w:lang w:val="en-US"/>
              </w:rPr>
              <w:t>),</w:t>
            </w:r>
          </w:p>
          <w:p w14:paraId="7143CAAA" w14:textId="77777777" w:rsidR="004631F2" w:rsidRPr="00E161B2" w:rsidRDefault="004631F2" w:rsidP="00F142B9">
            <w:pPr>
              <w:spacing w:before="27" w:line="276" w:lineRule="auto"/>
              <w:ind w:right="136"/>
              <w:rPr>
                <w:rFonts w:ascii="Arial Narrow" w:eastAsia="Arial Narrow" w:hAnsi="Arial Narrow" w:cs="Arial"/>
                <w:spacing w:val="1"/>
                <w:lang w:val="en-US"/>
              </w:rPr>
            </w:pPr>
            <w:r w:rsidRPr="00E161B2">
              <w:rPr>
                <w:rFonts w:ascii="Arial Narrow" w:eastAsia="Arial Narrow" w:hAnsi="Arial Narrow" w:cs="Arial"/>
                <w:spacing w:val="1"/>
                <w:lang w:val="en-US"/>
              </w:rPr>
              <w:t>Wireweed (</w:t>
            </w:r>
            <w:proofErr w:type="spellStart"/>
            <w:r w:rsidRPr="00E161B2">
              <w:rPr>
                <w:rFonts w:ascii="Arial Narrow" w:eastAsia="Arial Narrow" w:hAnsi="Arial Narrow" w:cs="Arial"/>
                <w:i/>
                <w:spacing w:val="1"/>
                <w:lang w:val="en-US"/>
              </w:rPr>
              <w:t>Polygonum</w:t>
            </w:r>
            <w:proofErr w:type="spellEnd"/>
            <w:r w:rsidRPr="00E161B2">
              <w:rPr>
                <w:rFonts w:ascii="Arial Narrow" w:eastAsia="Arial Narrow" w:hAnsi="Arial Narrow" w:cs="Arial"/>
                <w:i/>
                <w:spacing w:val="1"/>
                <w:lang w:val="en-US"/>
              </w:rPr>
              <w:t xml:space="preserve"> </w:t>
            </w:r>
            <w:proofErr w:type="spellStart"/>
            <w:r w:rsidRPr="00E161B2">
              <w:rPr>
                <w:rFonts w:ascii="Arial Narrow" w:eastAsia="Arial Narrow" w:hAnsi="Arial Narrow" w:cs="Arial"/>
                <w:i/>
                <w:spacing w:val="1"/>
                <w:lang w:val="en-US"/>
              </w:rPr>
              <w:t>avicluare</w:t>
            </w:r>
            <w:proofErr w:type="spellEnd"/>
            <w:r w:rsidRPr="00E161B2">
              <w:rPr>
                <w:rFonts w:ascii="Arial Narrow" w:eastAsia="Arial Narrow" w:hAnsi="Arial Narrow" w:cs="Arial"/>
                <w:spacing w:val="1"/>
                <w:lang w:val="en-US"/>
              </w:rPr>
              <w:t>)</w:t>
            </w:r>
          </w:p>
        </w:tc>
        <w:tc>
          <w:tcPr>
            <w:tcW w:w="492" w:type="pct"/>
            <w:tcBorders>
              <w:top w:val="single" w:sz="4" w:space="0" w:color="auto"/>
              <w:left w:val="single" w:sz="4" w:space="0" w:color="000000"/>
              <w:bottom w:val="single" w:sz="4" w:space="0" w:color="000000"/>
              <w:right w:val="single" w:sz="4" w:space="0" w:color="000000"/>
            </w:tcBorders>
          </w:tcPr>
          <w:p w14:paraId="50C2C448" w14:textId="77777777" w:rsidR="004631F2" w:rsidRPr="00E161B2" w:rsidRDefault="004631F2" w:rsidP="00F142B9">
            <w:pPr>
              <w:rPr>
                <w:rFonts w:ascii="Arial Narrow" w:eastAsia="Arial Narrow" w:hAnsi="Arial Narrow" w:cs="Arial"/>
                <w:snapToGrid w:val="0"/>
              </w:rPr>
            </w:pPr>
            <w:r w:rsidRPr="00E161B2">
              <w:rPr>
                <w:rFonts w:ascii="Arial Narrow" w:eastAsia="Arial Narrow" w:hAnsi="Arial Narrow" w:cs="Arial"/>
                <w:snapToGrid w:val="0"/>
              </w:rPr>
              <w:t xml:space="preserve">Up to the </w:t>
            </w:r>
            <w:r w:rsidRPr="00E161B2">
              <w:rPr>
                <w:rFonts w:ascii="Arial Narrow" w:eastAsia="Arial Narrow" w:hAnsi="Arial Narrow" w:cs="Arial"/>
                <w:snapToGrid w:val="0"/>
                <w:shd w:val="clear" w:color="auto" w:fill="FFFFFF"/>
              </w:rPr>
              <w:t>6- leaf</w:t>
            </w:r>
            <w:r w:rsidRPr="00E161B2">
              <w:rPr>
                <w:rFonts w:ascii="Arial Narrow" w:eastAsia="Arial Narrow" w:hAnsi="Arial Narrow" w:cs="Arial"/>
                <w:snapToGrid w:val="0"/>
              </w:rPr>
              <w:t xml:space="preserve"> stage</w:t>
            </w:r>
          </w:p>
        </w:tc>
        <w:tc>
          <w:tcPr>
            <w:tcW w:w="916" w:type="pct"/>
            <w:tcBorders>
              <w:top w:val="single" w:sz="4" w:space="0" w:color="auto"/>
              <w:left w:val="single" w:sz="4" w:space="0" w:color="000000"/>
              <w:bottom w:val="single" w:sz="4" w:space="0" w:color="000000"/>
              <w:right w:val="single" w:sz="4" w:space="0" w:color="000000"/>
            </w:tcBorders>
          </w:tcPr>
          <w:p w14:paraId="5AF0E6FB"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spacing w:val="-2"/>
              </w:rPr>
              <w:t>200 m</w:t>
            </w:r>
            <w:r w:rsidRPr="00E161B2">
              <w:rPr>
                <w:rFonts w:ascii="Arial Narrow" w:eastAsia="Arial Narrow" w:hAnsi="Arial Narrow" w:cs="Arial"/>
                <w:spacing w:val="2"/>
              </w:rPr>
              <w:t>L</w:t>
            </w:r>
            <w:r w:rsidRPr="00E161B2">
              <w:rPr>
                <w:rFonts w:ascii="Arial Narrow" w:eastAsia="Arial Narrow" w:hAnsi="Arial Narrow" w:cs="Arial"/>
                <w:spacing w:val="-1"/>
              </w:rPr>
              <w:t>/h</w:t>
            </w:r>
            <w:r w:rsidRPr="00E161B2">
              <w:rPr>
                <w:rFonts w:ascii="Arial Narrow" w:eastAsia="Arial Narrow" w:hAnsi="Arial Narrow" w:cs="Arial"/>
              </w:rPr>
              <w:t xml:space="preserve">a </w:t>
            </w:r>
          </w:p>
          <w:p w14:paraId="66DA0971"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 </w:t>
            </w:r>
          </w:p>
          <w:p w14:paraId="55A92138" w14:textId="77777777" w:rsidR="004631F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900 mL/ha to </w:t>
            </w:r>
          </w:p>
          <w:p w14:paraId="546C5422"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1.2 L/ha </w:t>
            </w:r>
            <w:proofErr w:type="spellStart"/>
            <w:r w:rsidRPr="00E161B2">
              <w:rPr>
                <w:rFonts w:ascii="Arial Narrow" w:eastAsia="Arial Narrow" w:hAnsi="Arial Narrow" w:cs="Arial"/>
              </w:rPr>
              <w:t>B</w:t>
            </w:r>
            <w:r w:rsidRPr="00E161B2">
              <w:rPr>
                <w:rFonts w:ascii="Arial Narrow" w:hAnsi="Arial Narrow" w:cs="Helvetica-Bold"/>
                <w:bCs/>
              </w:rPr>
              <w:t>romicide</w:t>
            </w:r>
            <w:proofErr w:type="spellEnd"/>
            <w:r w:rsidRPr="00E161B2">
              <w:rPr>
                <w:rFonts w:ascii="Arial Narrow" w:eastAsia="SimSun" w:hAnsi="Arial Narrow"/>
                <w:vertAlign w:val="superscript"/>
              </w:rPr>
              <w:t>®</w:t>
            </w:r>
            <w:r w:rsidRPr="00E161B2">
              <w:rPr>
                <w:rFonts w:ascii="Arial Narrow" w:eastAsia="SimSun" w:hAnsi="Arial Narrow"/>
              </w:rPr>
              <w:t xml:space="preserve">* </w:t>
            </w:r>
            <w:r w:rsidRPr="00E161B2">
              <w:rPr>
                <w:rFonts w:ascii="Arial Narrow" w:hAnsi="Arial Narrow" w:cs="Helvetica-Bold"/>
                <w:bCs/>
              </w:rPr>
              <w:t>200 Selective Herbicide (</w:t>
            </w:r>
            <w:r w:rsidRPr="00E161B2">
              <w:rPr>
                <w:rFonts w:ascii="Arial Narrow" w:eastAsia="Arial Narrow" w:hAnsi="Arial Narrow" w:cs="Arial"/>
              </w:rPr>
              <w:t xml:space="preserve">200 g/L </w:t>
            </w:r>
            <w:proofErr w:type="spellStart"/>
            <w:r w:rsidRPr="00E161B2">
              <w:rPr>
                <w:rFonts w:ascii="Arial Narrow" w:eastAsia="Arial Narrow" w:hAnsi="Arial Narrow" w:cs="Arial"/>
              </w:rPr>
              <w:t>bromoxynil</w:t>
            </w:r>
            <w:proofErr w:type="spellEnd"/>
            <w:r w:rsidRPr="00E161B2">
              <w:rPr>
                <w:rFonts w:ascii="Arial Narrow" w:eastAsia="Arial Narrow" w:hAnsi="Arial Narrow" w:cs="Arial"/>
              </w:rPr>
              <w:t xml:space="preserve"> product</w:t>
            </w:r>
            <w:r w:rsidRPr="00E161B2">
              <w:rPr>
                <w:rFonts w:ascii="Arial Narrow" w:hAnsi="Arial Narrow" w:cs="Helvetica-Bold"/>
                <w:bCs/>
              </w:rPr>
              <w:t>)</w:t>
            </w:r>
          </w:p>
          <w:p w14:paraId="5AE480AE"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w:t>
            </w:r>
          </w:p>
          <w:p w14:paraId="0B29755F"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1% Hasten or similar MSO adjuvant</w:t>
            </w:r>
          </w:p>
        </w:tc>
        <w:tc>
          <w:tcPr>
            <w:tcW w:w="1971" w:type="pct"/>
            <w:tcBorders>
              <w:top w:val="single" w:sz="4" w:space="0" w:color="auto"/>
              <w:left w:val="single" w:sz="4" w:space="0" w:color="000000"/>
              <w:bottom w:val="single" w:sz="4" w:space="0" w:color="auto"/>
              <w:right w:val="single" w:sz="4" w:space="0" w:color="000000"/>
            </w:tcBorders>
          </w:tcPr>
          <w:p w14:paraId="50886F0A" w14:textId="77777777" w:rsidR="004631F2" w:rsidRPr="00E161B2" w:rsidRDefault="004631F2" w:rsidP="00F142B9">
            <w:pPr>
              <w:spacing w:line="276" w:lineRule="auto"/>
              <w:ind w:left="90" w:right="121"/>
              <w:rPr>
                <w:rFonts w:ascii="Arial Narrow" w:eastAsia="Arial Narrow" w:hAnsi="Arial Narrow" w:cs="Arial"/>
                <w:spacing w:val="1"/>
              </w:rPr>
            </w:pPr>
            <w:r w:rsidRPr="00E161B2">
              <w:rPr>
                <w:rFonts w:ascii="Arial Narrow" w:eastAsia="Arial Narrow" w:hAnsi="Arial Narrow" w:cs="Arial"/>
                <w:spacing w:val="1"/>
              </w:rPr>
              <w:t xml:space="preserve">Use the higher rate of </w:t>
            </w:r>
            <w:proofErr w:type="spellStart"/>
            <w:r w:rsidRPr="00E161B2">
              <w:rPr>
                <w:rFonts w:ascii="Arial Narrow" w:eastAsia="Arial Narrow" w:hAnsi="Arial Narrow" w:cs="Arial"/>
                <w:spacing w:val="1"/>
              </w:rPr>
              <w:t>bromoxynil</w:t>
            </w:r>
            <w:proofErr w:type="spellEnd"/>
            <w:r w:rsidRPr="00E161B2">
              <w:rPr>
                <w:rFonts w:ascii="Arial Narrow" w:eastAsia="Arial Narrow" w:hAnsi="Arial Narrow" w:cs="Arial"/>
                <w:spacing w:val="1"/>
              </w:rPr>
              <w:t xml:space="preserve"> under high populations and where conditions are less than ideal such as climatic stress or plant shading.</w:t>
            </w:r>
          </w:p>
          <w:p w14:paraId="1D18AEF2" w14:textId="77777777" w:rsidR="004631F2" w:rsidRPr="00E161B2" w:rsidRDefault="004631F2" w:rsidP="00F142B9">
            <w:pPr>
              <w:spacing w:line="276" w:lineRule="auto"/>
              <w:ind w:left="90" w:right="121"/>
              <w:rPr>
                <w:rFonts w:ascii="Arial Narrow" w:eastAsia="Arial Narrow" w:hAnsi="Arial Narrow" w:cs="Arial"/>
                <w:spacing w:val="1"/>
              </w:rPr>
            </w:pPr>
          </w:p>
          <w:p w14:paraId="56FC4B5C" w14:textId="77777777" w:rsidR="004631F2" w:rsidRPr="00E161B2" w:rsidRDefault="004631F2" w:rsidP="00F142B9">
            <w:pPr>
              <w:spacing w:line="276" w:lineRule="auto"/>
              <w:ind w:left="90" w:right="121"/>
              <w:rPr>
                <w:rFonts w:ascii="Arial Narrow" w:eastAsia="Arial Narrow" w:hAnsi="Arial Narrow" w:cs="Arial"/>
                <w:spacing w:val="-1"/>
              </w:rPr>
            </w:pPr>
            <w:r w:rsidRPr="00E161B2">
              <w:rPr>
                <w:rFonts w:ascii="Arial Narrow" w:eastAsia="Arial Narrow" w:hAnsi="Arial Narrow" w:cs="Arial"/>
                <w:spacing w:val="1"/>
              </w:rPr>
              <w:t>A</w:t>
            </w:r>
            <w:r w:rsidRPr="00E161B2">
              <w:rPr>
                <w:rFonts w:ascii="Arial Narrow" w:eastAsia="Arial Narrow" w:hAnsi="Arial Narrow" w:cs="Arial"/>
                <w:spacing w:val="-1"/>
              </w:rPr>
              <w:t>p</w:t>
            </w:r>
            <w:r w:rsidRPr="00E161B2">
              <w:rPr>
                <w:rFonts w:ascii="Arial Narrow" w:eastAsia="Arial Narrow" w:hAnsi="Arial Narrow" w:cs="Arial"/>
                <w:spacing w:val="1"/>
              </w:rPr>
              <w:t>p</w:t>
            </w:r>
            <w:r w:rsidRPr="00E161B2">
              <w:rPr>
                <w:rFonts w:ascii="Arial Narrow" w:eastAsia="Arial Narrow" w:hAnsi="Arial Narrow" w:cs="Arial"/>
              </w:rPr>
              <w:t>ly</w:t>
            </w:r>
            <w:r w:rsidRPr="00E161B2">
              <w:rPr>
                <w:rFonts w:ascii="Arial Narrow" w:eastAsia="Arial Narrow" w:hAnsi="Arial Narrow" w:cs="Arial"/>
                <w:spacing w:val="-2"/>
              </w:rPr>
              <w:t xml:space="preserve"> </w:t>
            </w:r>
            <w:r w:rsidRPr="00E161B2">
              <w:rPr>
                <w:rFonts w:ascii="Arial Narrow" w:eastAsia="Arial Narrow" w:hAnsi="Arial Narrow" w:cs="Arial"/>
                <w:spacing w:val="-1"/>
              </w:rPr>
              <w:t>t</w:t>
            </w:r>
            <w:r w:rsidRPr="00E161B2">
              <w:rPr>
                <w:rFonts w:ascii="Arial Narrow" w:eastAsia="Arial Narrow" w:hAnsi="Arial Narrow" w:cs="Arial"/>
              </w:rPr>
              <w:t xml:space="preserve">o </w:t>
            </w:r>
            <w:r w:rsidRPr="00E161B2">
              <w:rPr>
                <w:rFonts w:ascii="Arial Narrow" w:eastAsia="Arial Narrow" w:hAnsi="Arial Narrow" w:cs="Arial"/>
                <w:spacing w:val="1"/>
              </w:rPr>
              <w:t>a</w:t>
            </w:r>
            <w:r w:rsidRPr="00E161B2">
              <w:rPr>
                <w:rFonts w:ascii="Arial Narrow" w:eastAsia="Arial Narrow" w:hAnsi="Arial Narrow" w:cs="Arial"/>
                <w:spacing w:val="-1"/>
              </w:rPr>
              <w:t>ct</w:t>
            </w:r>
            <w:r w:rsidRPr="00E161B2">
              <w:rPr>
                <w:rFonts w:ascii="Arial Narrow" w:eastAsia="Arial Narrow" w:hAnsi="Arial Narrow" w:cs="Arial"/>
              </w:rPr>
              <w:t>i</w:t>
            </w:r>
            <w:r w:rsidRPr="00E161B2">
              <w:rPr>
                <w:rFonts w:ascii="Arial Narrow" w:eastAsia="Arial Narrow" w:hAnsi="Arial Narrow" w:cs="Arial"/>
                <w:spacing w:val="-2"/>
              </w:rPr>
              <w:t>v</w:t>
            </w:r>
            <w:r w:rsidRPr="00E161B2">
              <w:rPr>
                <w:rFonts w:ascii="Arial Narrow" w:eastAsia="Arial Narrow" w:hAnsi="Arial Narrow" w:cs="Arial"/>
                <w:spacing w:val="1"/>
              </w:rPr>
              <w:t>e</w:t>
            </w:r>
            <w:r w:rsidRPr="00E161B2">
              <w:rPr>
                <w:rFonts w:ascii="Arial Narrow" w:eastAsia="Arial Narrow" w:hAnsi="Arial Narrow" w:cs="Arial"/>
              </w:rPr>
              <w:t>ly</w:t>
            </w:r>
            <w:r w:rsidRPr="00E161B2">
              <w:rPr>
                <w:rFonts w:ascii="Arial Narrow" w:eastAsia="Arial Narrow" w:hAnsi="Arial Narrow" w:cs="Arial"/>
                <w:spacing w:val="-2"/>
              </w:rPr>
              <w:t xml:space="preserve"> </w:t>
            </w:r>
            <w:r w:rsidRPr="00E161B2">
              <w:rPr>
                <w:rFonts w:ascii="Arial Narrow" w:eastAsia="Arial Narrow" w:hAnsi="Arial Narrow" w:cs="Arial"/>
                <w:spacing w:val="1"/>
              </w:rPr>
              <w:t>g</w:t>
            </w:r>
            <w:r w:rsidRPr="00E161B2">
              <w:rPr>
                <w:rFonts w:ascii="Arial Narrow" w:eastAsia="Arial Narrow" w:hAnsi="Arial Narrow" w:cs="Arial"/>
                <w:spacing w:val="-1"/>
              </w:rPr>
              <w:t>r</w:t>
            </w:r>
            <w:r w:rsidRPr="00E161B2">
              <w:rPr>
                <w:rFonts w:ascii="Arial Narrow" w:eastAsia="Arial Narrow" w:hAnsi="Arial Narrow" w:cs="Arial"/>
                <w:spacing w:val="1"/>
              </w:rPr>
              <w:t>ow</w:t>
            </w:r>
            <w:r w:rsidRPr="00E161B2">
              <w:rPr>
                <w:rFonts w:ascii="Arial Narrow" w:eastAsia="Arial Narrow" w:hAnsi="Arial Narrow" w:cs="Arial"/>
                <w:spacing w:val="-3"/>
              </w:rPr>
              <w:t>i</w:t>
            </w:r>
            <w:r w:rsidRPr="00E161B2">
              <w:rPr>
                <w:rFonts w:ascii="Arial Narrow" w:eastAsia="Arial Narrow" w:hAnsi="Arial Narrow" w:cs="Arial"/>
                <w:spacing w:val="1"/>
              </w:rPr>
              <w:t>n</w:t>
            </w:r>
            <w:r w:rsidRPr="00E161B2">
              <w:rPr>
                <w:rFonts w:ascii="Arial Narrow" w:eastAsia="Arial Narrow" w:hAnsi="Arial Narrow" w:cs="Arial"/>
              </w:rPr>
              <w:t>g</w:t>
            </w:r>
            <w:r w:rsidRPr="00E161B2">
              <w:rPr>
                <w:rFonts w:ascii="Arial Narrow" w:eastAsia="Arial Narrow" w:hAnsi="Arial Narrow" w:cs="Arial"/>
                <w:spacing w:val="-2"/>
              </w:rPr>
              <w:t xml:space="preserve"> </w:t>
            </w:r>
            <w:r w:rsidRPr="00E161B2">
              <w:rPr>
                <w:rFonts w:ascii="Arial Narrow" w:eastAsia="Arial Narrow" w:hAnsi="Arial Narrow" w:cs="Arial"/>
                <w:spacing w:val="1"/>
              </w:rPr>
              <w:t>w</w:t>
            </w:r>
            <w:r w:rsidRPr="00E161B2">
              <w:rPr>
                <w:rFonts w:ascii="Arial Narrow" w:eastAsia="Arial Narrow" w:hAnsi="Arial Narrow" w:cs="Arial"/>
                <w:spacing w:val="-1"/>
              </w:rPr>
              <w:t>e</w:t>
            </w:r>
            <w:r w:rsidRPr="00E161B2">
              <w:rPr>
                <w:rFonts w:ascii="Arial Narrow" w:eastAsia="Arial Narrow" w:hAnsi="Arial Narrow" w:cs="Arial"/>
                <w:spacing w:val="1"/>
              </w:rPr>
              <w:t>ed</w:t>
            </w:r>
            <w:r w:rsidRPr="00E161B2">
              <w:rPr>
                <w:rFonts w:ascii="Arial Narrow" w:eastAsia="Arial Narrow" w:hAnsi="Arial Narrow" w:cs="Arial"/>
                <w:spacing w:val="-1"/>
              </w:rPr>
              <w:t>s</w:t>
            </w:r>
            <w:r w:rsidRPr="00E161B2">
              <w:rPr>
                <w:rFonts w:ascii="Arial Narrow" w:eastAsia="Arial Narrow" w:hAnsi="Arial Narrow" w:cs="Arial"/>
              </w:rPr>
              <w:t>,</w:t>
            </w:r>
            <w:r w:rsidRPr="00E161B2">
              <w:rPr>
                <w:rFonts w:ascii="Arial Narrow" w:eastAsia="Arial Narrow" w:hAnsi="Arial Narrow" w:cs="Arial"/>
                <w:spacing w:val="-1"/>
              </w:rPr>
              <w:t xml:space="preserve"> fr</w:t>
            </w:r>
            <w:r w:rsidRPr="00E161B2">
              <w:rPr>
                <w:rFonts w:ascii="Arial Narrow" w:eastAsia="Arial Narrow" w:hAnsi="Arial Narrow" w:cs="Arial"/>
                <w:spacing w:val="1"/>
              </w:rPr>
              <w:t>e</w:t>
            </w:r>
            <w:r w:rsidRPr="00E161B2">
              <w:rPr>
                <w:rFonts w:ascii="Arial Narrow" w:eastAsia="Arial Narrow" w:hAnsi="Arial Narrow" w:cs="Arial"/>
              </w:rPr>
              <w:t xml:space="preserve">e </w:t>
            </w:r>
            <w:r w:rsidRPr="00E161B2">
              <w:rPr>
                <w:rFonts w:ascii="Arial Narrow" w:eastAsia="Arial Narrow" w:hAnsi="Arial Narrow" w:cs="Arial"/>
                <w:spacing w:val="-1"/>
              </w:rPr>
              <w:t>fro</w:t>
            </w:r>
            <w:r w:rsidRPr="00E161B2">
              <w:rPr>
                <w:rFonts w:ascii="Arial Narrow" w:eastAsia="Arial Narrow" w:hAnsi="Arial Narrow" w:cs="Arial"/>
              </w:rPr>
              <w:t xml:space="preserve">m </w:t>
            </w:r>
            <w:r w:rsidRPr="00E161B2">
              <w:rPr>
                <w:rFonts w:ascii="Arial Narrow" w:eastAsia="Arial Narrow" w:hAnsi="Arial Narrow" w:cs="Arial"/>
                <w:spacing w:val="-1"/>
              </w:rPr>
              <w:t>str</w:t>
            </w:r>
            <w:r w:rsidRPr="00E161B2">
              <w:rPr>
                <w:rFonts w:ascii="Arial Narrow" w:eastAsia="Arial Narrow" w:hAnsi="Arial Narrow" w:cs="Arial"/>
                <w:spacing w:val="1"/>
              </w:rPr>
              <w:t>e</w:t>
            </w:r>
            <w:r w:rsidRPr="00E161B2">
              <w:rPr>
                <w:rFonts w:ascii="Arial Narrow" w:eastAsia="Arial Narrow" w:hAnsi="Arial Narrow" w:cs="Arial"/>
                <w:spacing w:val="-1"/>
              </w:rPr>
              <w:t>ss</w:t>
            </w:r>
            <w:r w:rsidRPr="00E161B2">
              <w:rPr>
                <w:rFonts w:ascii="Arial Narrow" w:eastAsia="Arial Narrow" w:hAnsi="Arial Narrow" w:cs="Arial"/>
              </w:rPr>
              <w:t>.</w:t>
            </w:r>
            <w:r w:rsidRPr="00E161B2">
              <w:rPr>
                <w:rFonts w:ascii="Arial Narrow" w:eastAsia="Arial Narrow" w:hAnsi="Arial Narrow" w:cs="Arial"/>
                <w:spacing w:val="-1"/>
              </w:rPr>
              <w:t xml:space="preserve"> </w:t>
            </w:r>
          </w:p>
          <w:p w14:paraId="27E3F345" w14:textId="77777777" w:rsidR="004631F2" w:rsidRPr="00E161B2" w:rsidRDefault="004631F2" w:rsidP="00F142B9">
            <w:pPr>
              <w:spacing w:line="276" w:lineRule="auto"/>
              <w:ind w:left="90" w:right="121"/>
              <w:rPr>
                <w:rFonts w:ascii="Arial Narrow" w:eastAsia="Arial Narrow" w:hAnsi="Arial Narrow" w:cs="Arial"/>
                <w:spacing w:val="-1"/>
              </w:rPr>
            </w:pPr>
          </w:p>
          <w:p w14:paraId="6EF878A7" w14:textId="77777777" w:rsidR="004631F2" w:rsidRPr="00E161B2" w:rsidRDefault="004631F2" w:rsidP="00F142B9">
            <w:pPr>
              <w:spacing w:line="276" w:lineRule="auto"/>
              <w:ind w:left="90" w:right="121"/>
              <w:rPr>
                <w:rFonts w:ascii="Arial Narrow" w:eastAsia="Arial Narrow" w:hAnsi="Arial Narrow" w:cs="Arial"/>
                <w:b/>
                <w:spacing w:val="-1"/>
              </w:rPr>
            </w:pPr>
            <w:r w:rsidRPr="00E161B2">
              <w:rPr>
                <w:rFonts w:ascii="Arial Narrow" w:eastAsia="Arial Narrow" w:hAnsi="Arial Narrow" w:cs="Arial"/>
                <w:b/>
                <w:spacing w:val="1"/>
              </w:rPr>
              <w:t>A</w:t>
            </w:r>
            <w:r w:rsidRPr="00E161B2">
              <w:rPr>
                <w:rFonts w:ascii="Arial Narrow" w:eastAsia="Arial Narrow" w:hAnsi="Arial Narrow" w:cs="Arial"/>
                <w:b/>
                <w:spacing w:val="-1"/>
              </w:rPr>
              <w:t>p</w:t>
            </w:r>
            <w:r w:rsidRPr="00E161B2">
              <w:rPr>
                <w:rFonts w:ascii="Arial Narrow" w:eastAsia="Arial Narrow" w:hAnsi="Arial Narrow" w:cs="Arial"/>
                <w:b/>
                <w:spacing w:val="1"/>
              </w:rPr>
              <w:t>p</w:t>
            </w:r>
            <w:r w:rsidRPr="00E161B2">
              <w:rPr>
                <w:rFonts w:ascii="Arial Narrow" w:eastAsia="Arial Narrow" w:hAnsi="Arial Narrow" w:cs="Arial"/>
                <w:b/>
              </w:rPr>
              <w:t>ly</w:t>
            </w:r>
            <w:r w:rsidRPr="00E161B2">
              <w:rPr>
                <w:rFonts w:ascii="Arial Narrow" w:eastAsia="Arial Narrow" w:hAnsi="Arial Narrow" w:cs="Arial"/>
                <w:b/>
                <w:spacing w:val="33"/>
              </w:rPr>
              <w:t xml:space="preserve"> </w:t>
            </w:r>
            <w:r w:rsidRPr="00E161B2">
              <w:rPr>
                <w:rFonts w:ascii="Arial Narrow" w:eastAsia="Arial Narrow" w:hAnsi="Arial Narrow" w:cs="Arial"/>
                <w:b/>
                <w:spacing w:val="-1"/>
              </w:rPr>
              <w:t>t</w:t>
            </w:r>
            <w:r w:rsidRPr="00E161B2">
              <w:rPr>
                <w:rFonts w:ascii="Arial Narrow" w:eastAsia="Arial Narrow" w:hAnsi="Arial Narrow" w:cs="Arial"/>
                <w:b/>
              </w:rPr>
              <w:t xml:space="preserve">o </w:t>
            </w:r>
            <w:r w:rsidRPr="00E161B2">
              <w:rPr>
                <w:rFonts w:ascii="Arial Narrow" w:eastAsia="Arial Narrow" w:hAnsi="Arial Narrow" w:cs="Arial"/>
                <w:b/>
                <w:spacing w:val="-1"/>
              </w:rPr>
              <w:t>cr</w:t>
            </w:r>
            <w:r w:rsidRPr="00E161B2">
              <w:rPr>
                <w:rFonts w:ascii="Arial Narrow" w:eastAsia="Arial Narrow" w:hAnsi="Arial Narrow" w:cs="Arial"/>
                <w:b/>
                <w:spacing w:val="1"/>
              </w:rPr>
              <w:t>op</w:t>
            </w:r>
            <w:r w:rsidRPr="00E161B2">
              <w:rPr>
                <w:rFonts w:ascii="Arial Narrow" w:eastAsia="Arial Narrow" w:hAnsi="Arial Narrow" w:cs="Arial"/>
                <w:b/>
              </w:rPr>
              <w:t>s</w:t>
            </w:r>
            <w:r w:rsidRPr="00E161B2">
              <w:rPr>
                <w:rFonts w:ascii="Arial Narrow" w:eastAsia="Arial Narrow" w:hAnsi="Arial Narrow" w:cs="Arial"/>
                <w:b/>
                <w:spacing w:val="-2"/>
              </w:rPr>
              <w:t xml:space="preserve"> </w:t>
            </w:r>
            <w:r w:rsidRPr="00E161B2">
              <w:rPr>
                <w:rFonts w:ascii="Arial Narrow" w:eastAsia="Arial Narrow" w:hAnsi="Arial Narrow" w:cs="Arial"/>
                <w:b/>
                <w:spacing w:val="-1"/>
              </w:rPr>
              <w:t>fr</w:t>
            </w:r>
            <w:r w:rsidRPr="00E161B2">
              <w:rPr>
                <w:rFonts w:ascii="Arial Narrow" w:eastAsia="Arial Narrow" w:hAnsi="Arial Narrow" w:cs="Arial"/>
                <w:b/>
                <w:spacing w:val="1"/>
              </w:rPr>
              <w:t>o</w:t>
            </w:r>
            <w:r w:rsidRPr="00E161B2">
              <w:rPr>
                <w:rFonts w:ascii="Arial Narrow" w:eastAsia="Arial Narrow" w:hAnsi="Arial Narrow" w:cs="Arial"/>
                <w:b/>
              </w:rPr>
              <w:t xml:space="preserve">m </w:t>
            </w:r>
            <w:r w:rsidRPr="00E161B2">
              <w:rPr>
                <w:rFonts w:ascii="Arial Narrow" w:eastAsia="Arial Narrow" w:hAnsi="Arial Narrow" w:cs="Arial"/>
                <w:b/>
                <w:spacing w:val="-1"/>
              </w:rPr>
              <w:t>th</w:t>
            </w:r>
            <w:r w:rsidRPr="00E161B2">
              <w:rPr>
                <w:rFonts w:ascii="Arial Narrow" w:eastAsia="Arial Narrow" w:hAnsi="Arial Narrow" w:cs="Arial"/>
                <w:b/>
              </w:rPr>
              <w:t>e 2-leaf</w:t>
            </w:r>
            <w:r w:rsidRPr="00E161B2">
              <w:rPr>
                <w:rFonts w:ascii="Arial Narrow" w:eastAsia="Arial Narrow" w:hAnsi="Arial Narrow" w:cs="Arial"/>
                <w:b/>
                <w:spacing w:val="-1"/>
              </w:rPr>
              <w:t xml:space="preserve"> st</w:t>
            </w:r>
            <w:r w:rsidRPr="00E161B2">
              <w:rPr>
                <w:rFonts w:ascii="Arial Narrow" w:eastAsia="Arial Narrow" w:hAnsi="Arial Narrow" w:cs="Arial"/>
                <w:b/>
                <w:spacing w:val="1"/>
              </w:rPr>
              <w:t>a</w:t>
            </w:r>
            <w:r w:rsidRPr="00E161B2">
              <w:rPr>
                <w:rFonts w:ascii="Arial Narrow" w:eastAsia="Arial Narrow" w:hAnsi="Arial Narrow" w:cs="Arial"/>
                <w:b/>
                <w:spacing w:val="-1"/>
              </w:rPr>
              <w:t>g</w:t>
            </w:r>
            <w:r w:rsidRPr="00E161B2">
              <w:rPr>
                <w:rFonts w:ascii="Arial Narrow" w:eastAsia="Arial Narrow" w:hAnsi="Arial Narrow" w:cs="Arial"/>
                <w:b/>
              </w:rPr>
              <w:t xml:space="preserve">e </w:t>
            </w:r>
            <w:r w:rsidRPr="00E161B2">
              <w:rPr>
                <w:rFonts w:ascii="Arial Narrow" w:eastAsia="Arial Narrow" w:hAnsi="Arial Narrow" w:cs="Arial"/>
                <w:b/>
                <w:spacing w:val="-1"/>
              </w:rPr>
              <w:t>(</w:t>
            </w:r>
            <w:r w:rsidRPr="00E161B2">
              <w:rPr>
                <w:rFonts w:ascii="Arial Narrow" w:eastAsia="Arial Narrow" w:hAnsi="Arial Narrow" w:cs="Arial"/>
                <w:b/>
                <w:spacing w:val="1"/>
              </w:rPr>
              <w:t>Z</w:t>
            </w:r>
            <w:r w:rsidRPr="00E161B2">
              <w:rPr>
                <w:rFonts w:ascii="Arial Narrow" w:eastAsia="Arial Narrow" w:hAnsi="Arial Narrow" w:cs="Arial"/>
                <w:b/>
                <w:spacing w:val="-1"/>
              </w:rPr>
              <w:t>12</w:t>
            </w:r>
            <w:r w:rsidRPr="00E161B2">
              <w:rPr>
                <w:rFonts w:ascii="Arial Narrow" w:eastAsia="Arial Narrow" w:hAnsi="Arial Narrow" w:cs="Arial"/>
                <w:b/>
              </w:rPr>
              <w:t>)</w:t>
            </w:r>
            <w:r w:rsidRPr="00E161B2">
              <w:rPr>
                <w:rFonts w:ascii="Arial Narrow" w:eastAsia="Arial Narrow" w:hAnsi="Arial Narrow" w:cs="Arial"/>
                <w:b/>
                <w:spacing w:val="-4"/>
              </w:rPr>
              <w:t xml:space="preserve"> </w:t>
            </w:r>
            <w:r w:rsidRPr="00E161B2">
              <w:rPr>
                <w:rFonts w:ascii="Arial Narrow" w:eastAsia="Arial Narrow" w:hAnsi="Arial Narrow" w:cs="Arial"/>
                <w:b/>
                <w:spacing w:val="1"/>
              </w:rPr>
              <w:t>bu</w:t>
            </w:r>
            <w:r w:rsidRPr="00E161B2">
              <w:rPr>
                <w:rFonts w:ascii="Arial Narrow" w:eastAsia="Arial Narrow" w:hAnsi="Arial Narrow" w:cs="Arial"/>
                <w:b/>
              </w:rPr>
              <w:t>t</w:t>
            </w:r>
            <w:r w:rsidRPr="00E161B2">
              <w:rPr>
                <w:rFonts w:ascii="Arial Narrow" w:eastAsia="Arial Narrow" w:hAnsi="Arial Narrow" w:cs="Arial"/>
                <w:b/>
                <w:spacing w:val="-1"/>
              </w:rPr>
              <w:t xml:space="preserve"> </w:t>
            </w:r>
            <w:r w:rsidRPr="00E161B2">
              <w:rPr>
                <w:rFonts w:ascii="Arial Narrow" w:eastAsia="Arial Narrow" w:hAnsi="Arial Narrow" w:cs="Arial"/>
                <w:b/>
                <w:spacing w:val="1"/>
              </w:rPr>
              <w:t>p</w:t>
            </w:r>
            <w:r w:rsidRPr="00E161B2">
              <w:rPr>
                <w:rFonts w:ascii="Arial Narrow" w:eastAsia="Arial Narrow" w:hAnsi="Arial Narrow" w:cs="Arial"/>
                <w:b/>
                <w:spacing w:val="-1"/>
              </w:rPr>
              <w:t>r</w:t>
            </w:r>
            <w:r w:rsidRPr="00E161B2">
              <w:rPr>
                <w:rFonts w:ascii="Arial Narrow" w:eastAsia="Arial Narrow" w:hAnsi="Arial Narrow" w:cs="Arial"/>
                <w:b/>
              </w:rPr>
              <w:t>ior</w:t>
            </w:r>
            <w:r w:rsidRPr="00E161B2">
              <w:rPr>
                <w:rFonts w:ascii="Arial Narrow" w:eastAsia="Arial Narrow" w:hAnsi="Arial Narrow" w:cs="Arial"/>
                <w:b/>
                <w:spacing w:val="-1"/>
              </w:rPr>
              <w:t xml:space="preserve"> to the 2-node stage</w:t>
            </w:r>
            <w:r w:rsidRPr="00E161B2">
              <w:rPr>
                <w:rFonts w:ascii="Arial Narrow" w:eastAsia="Arial Narrow" w:hAnsi="Arial Narrow" w:cs="Arial"/>
                <w:b/>
              </w:rPr>
              <w:t xml:space="preserve"> </w:t>
            </w:r>
            <w:r w:rsidRPr="00E161B2">
              <w:rPr>
                <w:rFonts w:ascii="Arial Narrow" w:eastAsia="Arial Narrow" w:hAnsi="Arial Narrow" w:cs="Arial"/>
                <w:b/>
                <w:spacing w:val="-3"/>
              </w:rPr>
              <w:t>(</w:t>
            </w:r>
            <w:r w:rsidRPr="00E161B2">
              <w:rPr>
                <w:rFonts w:ascii="Arial Narrow" w:eastAsia="Arial Narrow" w:hAnsi="Arial Narrow" w:cs="Arial"/>
                <w:b/>
                <w:spacing w:val="1"/>
              </w:rPr>
              <w:t>Z</w:t>
            </w:r>
            <w:r w:rsidRPr="00E161B2">
              <w:rPr>
                <w:rFonts w:ascii="Arial Narrow" w:eastAsia="Arial Narrow" w:hAnsi="Arial Narrow" w:cs="Arial"/>
                <w:b/>
                <w:spacing w:val="-1"/>
              </w:rPr>
              <w:t>32)</w:t>
            </w:r>
            <w:r w:rsidRPr="00E161B2">
              <w:rPr>
                <w:rFonts w:ascii="Arial Narrow" w:eastAsia="Arial Narrow" w:hAnsi="Arial Narrow" w:cs="Arial"/>
                <w:b/>
              </w:rPr>
              <w:t>.</w:t>
            </w:r>
            <w:r w:rsidRPr="00E161B2">
              <w:rPr>
                <w:rFonts w:ascii="Arial Narrow" w:eastAsia="Arial Narrow" w:hAnsi="Arial Narrow" w:cs="Arial"/>
                <w:b/>
                <w:spacing w:val="-1"/>
              </w:rPr>
              <w:t xml:space="preserve"> </w:t>
            </w:r>
          </w:p>
          <w:p w14:paraId="4D398FA9" w14:textId="77777777" w:rsidR="004631F2" w:rsidRPr="00E161B2" w:rsidRDefault="004631F2" w:rsidP="00F142B9">
            <w:pPr>
              <w:spacing w:line="276" w:lineRule="auto"/>
              <w:ind w:left="90" w:right="121"/>
              <w:rPr>
                <w:rFonts w:ascii="Arial Narrow" w:eastAsia="Arial Narrow" w:hAnsi="Arial Narrow" w:cs="Arial"/>
                <w:spacing w:val="-1"/>
              </w:rPr>
            </w:pPr>
          </w:p>
          <w:p w14:paraId="34491CF0" w14:textId="77777777" w:rsidR="004631F2" w:rsidRPr="00E161B2" w:rsidRDefault="004631F2" w:rsidP="00F142B9">
            <w:pPr>
              <w:spacing w:line="276" w:lineRule="auto"/>
              <w:ind w:left="102" w:right="-20"/>
              <w:rPr>
                <w:rFonts w:ascii="Arial Narrow" w:hAnsi="Arial Narrow" w:cs="Arial"/>
              </w:rPr>
            </w:pPr>
            <w:r w:rsidRPr="00E161B2">
              <w:rPr>
                <w:rFonts w:ascii="Arial Narrow" w:eastAsia="Arial Narrow" w:hAnsi="Arial Narrow" w:cs="Arial"/>
                <w:spacing w:val="1"/>
              </w:rPr>
              <w:t>Transient bleaching of the crop may occur, particularly under cold or frosty conditions and can be exacerbated in northern areas where frost/cold starts followed by warm bright sunlight days follow. Trial data has shown that under these conditions final yield will not be impacted.</w:t>
            </w:r>
          </w:p>
        </w:tc>
      </w:tr>
    </w:tbl>
    <w:p w14:paraId="7A7EDFAC" w14:textId="77777777" w:rsidR="00276C28" w:rsidRDefault="00276C28" w:rsidP="005A7B49">
      <w:pPr>
        <w:spacing w:after="600"/>
      </w:pPr>
    </w:p>
    <w:tbl>
      <w:tblPr>
        <w:tblW w:w="5227" w:type="pct"/>
        <w:tblInd w:w="-289" w:type="dxa"/>
        <w:tblCellMar>
          <w:left w:w="0" w:type="dxa"/>
          <w:right w:w="0" w:type="dxa"/>
        </w:tblCellMar>
        <w:tblLook w:val="01E0" w:firstRow="1" w:lastRow="1" w:firstColumn="1" w:lastColumn="1" w:noHBand="0" w:noVBand="0"/>
      </w:tblPr>
      <w:tblGrid>
        <w:gridCol w:w="993"/>
        <w:gridCol w:w="2126"/>
        <w:gridCol w:w="992"/>
        <w:gridCol w:w="1703"/>
        <w:gridCol w:w="4251"/>
      </w:tblGrid>
      <w:tr w:rsidR="004631F2" w:rsidRPr="00E161B2" w14:paraId="730E2B83" w14:textId="77777777" w:rsidTr="00F142B9">
        <w:tc>
          <w:tcPr>
            <w:tcW w:w="493" w:type="pct"/>
            <w:tcBorders>
              <w:top w:val="single" w:sz="4" w:space="0" w:color="000000"/>
              <w:left w:val="single" w:sz="4" w:space="0" w:color="000000"/>
              <w:bottom w:val="single" w:sz="4" w:space="0" w:color="000000"/>
              <w:right w:val="single" w:sz="4" w:space="0" w:color="000000"/>
            </w:tcBorders>
          </w:tcPr>
          <w:bookmarkEnd w:id="63"/>
          <w:p w14:paraId="0FD6D50B"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b/>
                <w:bCs/>
                <w:spacing w:val="1"/>
              </w:rPr>
              <w:lastRenderedPageBreak/>
              <w:t>C</w:t>
            </w:r>
            <w:r w:rsidRPr="00E161B2">
              <w:rPr>
                <w:rFonts w:ascii="Arial Narrow" w:eastAsia="Arial Narrow" w:hAnsi="Arial Narrow" w:cs="Arial"/>
                <w:b/>
                <w:bCs/>
                <w:spacing w:val="-2"/>
              </w:rPr>
              <w:t>R</w:t>
            </w:r>
            <w:r w:rsidRPr="00E161B2">
              <w:rPr>
                <w:rFonts w:ascii="Arial Narrow" w:eastAsia="Arial Narrow" w:hAnsi="Arial Narrow" w:cs="Arial"/>
                <w:b/>
                <w:bCs/>
              </w:rPr>
              <w:t>OP</w:t>
            </w:r>
          </w:p>
        </w:tc>
        <w:tc>
          <w:tcPr>
            <w:tcW w:w="1056" w:type="pct"/>
            <w:tcBorders>
              <w:top w:val="single" w:sz="4" w:space="0" w:color="000000"/>
              <w:left w:val="single" w:sz="4" w:space="0" w:color="000000"/>
              <w:bottom w:val="single" w:sz="4" w:space="0" w:color="000000"/>
              <w:right w:val="single" w:sz="4" w:space="0" w:color="000000"/>
            </w:tcBorders>
          </w:tcPr>
          <w:p w14:paraId="3FB7D30C"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b/>
                <w:bCs/>
              </w:rPr>
              <w:t>W</w:t>
            </w:r>
            <w:r w:rsidRPr="00E161B2">
              <w:rPr>
                <w:rFonts w:ascii="Arial Narrow" w:eastAsia="Arial Narrow" w:hAnsi="Arial Narrow" w:cs="Arial"/>
                <w:b/>
                <w:bCs/>
                <w:spacing w:val="1"/>
              </w:rPr>
              <w:t>E</w:t>
            </w:r>
            <w:r w:rsidRPr="00E161B2">
              <w:rPr>
                <w:rFonts w:ascii="Arial Narrow" w:eastAsia="Arial Narrow" w:hAnsi="Arial Narrow" w:cs="Arial"/>
                <w:b/>
                <w:bCs/>
                <w:spacing w:val="-2"/>
              </w:rPr>
              <w:t>ED</w:t>
            </w:r>
            <w:r w:rsidRPr="00E161B2">
              <w:rPr>
                <w:rFonts w:ascii="Arial Narrow" w:eastAsia="Arial Narrow" w:hAnsi="Arial Narrow" w:cs="Arial"/>
                <w:b/>
                <w:bCs/>
              </w:rPr>
              <w:t>S</w:t>
            </w:r>
          </w:p>
        </w:tc>
        <w:tc>
          <w:tcPr>
            <w:tcW w:w="493" w:type="pct"/>
            <w:tcBorders>
              <w:top w:val="single" w:sz="4" w:space="0" w:color="000000"/>
              <w:left w:val="single" w:sz="4" w:space="0" w:color="000000"/>
              <w:bottom w:val="single" w:sz="4" w:space="0" w:color="000000"/>
              <w:right w:val="single" w:sz="4" w:space="0" w:color="000000"/>
            </w:tcBorders>
          </w:tcPr>
          <w:p w14:paraId="0A285B37"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b/>
                <w:bCs/>
              </w:rPr>
              <w:t>W</w:t>
            </w:r>
            <w:r w:rsidRPr="00E161B2">
              <w:rPr>
                <w:rFonts w:ascii="Arial Narrow" w:eastAsia="Arial Narrow" w:hAnsi="Arial Narrow" w:cs="Arial"/>
                <w:b/>
                <w:bCs/>
                <w:spacing w:val="1"/>
              </w:rPr>
              <w:t>E</w:t>
            </w:r>
            <w:r w:rsidRPr="00E161B2">
              <w:rPr>
                <w:rFonts w:ascii="Arial Narrow" w:eastAsia="Arial Narrow" w:hAnsi="Arial Narrow" w:cs="Arial"/>
                <w:b/>
                <w:bCs/>
                <w:spacing w:val="-2"/>
              </w:rPr>
              <w:t>E</w:t>
            </w:r>
            <w:r w:rsidRPr="00E161B2">
              <w:rPr>
                <w:rFonts w:ascii="Arial Narrow" w:eastAsia="Arial Narrow" w:hAnsi="Arial Narrow" w:cs="Arial"/>
                <w:b/>
                <w:bCs/>
              </w:rPr>
              <w:t xml:space="preserve">D </w:t>
            </w:r>
            <w:r w:rsidRPr="00E161B2">
              <w:rPr>
                <w:rFonts w:ascii="Arial Narrow" w:eastAsia="Arial Narrow" w:hAnsi="Arial Narrow" w:cs="Arial"/>
                <w:b/>
                <w:bCs/>
                <w:spacing w:val="-2"/>
              </w:rPr>
              <w:t>S</w:t>
            </w:r>
            <w:r w:rsidRPr="00E161B2">
              <w:rPr>
                <w:rFonts w:ascii="Arial Narrow" w:eastAsia="Arial Narrow" w:hAnsi="Arial Narrow" w:cs="Arial"/>
                <w:b/>
                <w:bCs/>
                <w:spacing w:val="-1"/>
              </w:rPr>
              <w:t>T</w:t>
            </w:r>
            <w:r w:rsidRPr="00E161B2">
              <w:rPr>
                <w:rFonts w:ascii="Arial Narrow" w:eastAsia="Arial Narrow" w:hAnsi="Arial Narrow" w:cs="Arial"/>
                <w:b/>
                <w:bCs/>
                <w:spacing w:val="1"/>
              </w:rPr>
              <w:t>A</w:t>
            </w:r>
            <w:r w:rsidRPr="00E161B2">
              <w:rPr>
                <w:rFonts w:ascii="Arial Narrow" w:eastAsia="Arial Narrow" w:hAnsi="Arial Narrow" w:cs="Arial"/>
                <w:b/>
                <w:bCs/>
              </w:rPr>
              <w:t>GE</w:t>
            </w:r>
          </w:p>
        </w:tc>
        <w:tc>
          <w:tcPr>
            <w:tcW w:w="846" w:type="pct"/>
            <w:tcBorders>
              <w:top w:val="single" w:sz="4" w:space="0" w:color="000000"/>
              <w:left w:val="single" w:sz="4" w:space="0" w:color="000000"/>
              <w:bottom w:val="single" w:sz="4" w:space="0" w:color="000000"/>
              <w:right w:val="single" w:sz="4" w:space="0" w:color="000000"/>
            </w:tcBorders>
          </w:tcPr>
          <w:p w14:paraId="493FF704" w14:textId="77777777" w:rsidR="004631F2" w:rsidRPr="00E161B2" w:rsidRDefault="004631F2" w:rsidP="00F142B9">
            <w:pPr>
              <w:spacing w:line="276" w:lineRule="auto"/>
              <w:ind w:left="102" w:right="90"/>
              <w:jc w:val="both"/>
              <w:rPr>
                <w:rFonts w:ascii="Arial Narrow" w:eastAsia="Arial Narrow" w:hAnsi="Arial Narrow" w:cs="Arial"/>
              </w:rPr>
            </w:pPr>
            <w:r w:rsidRPr="00E161B2">
              <w:rPr>
                <w:rFonts w:ascii="Arial Narrow" w:eastAsia="Arial Narrow" w:hAnsi="Arial Narrow" w:cs="Arial"/>
                <w:b/>
                <w:bCs/>
                <w:spacing w:val="1"/>
              </w:rPr>
              <w:t>R</w:t>
            </w:r>
            <w:r w:rsidRPr="00E161B2">
              <w:rPr>
                <w:rFonts w:ascii="Arial Narrow" w:eastAsia="Arial Narrow" w:hAnsi="Arial Narrow" w:cs="Arial"/>
                <w:b/>
                <w:bCs/>
                <w:spacing w:val="-2"/>
              </w:rPr>
              <w:t>A</w:t>
            </w:r>
            <w:r w:rsidRPr="00E161B2">
              <w:rPr>
                <w:rFonts w:ascii="Arial Narrow" w:eastAsia="Arial Narrow" w:hAnsi="Arial Narrow" w:cs="Arial"/>
                <w:b/>
                <w:bCs/>
                <w:spacing w:val="1"/>
              </w:rPr>
              <w:t>T</w:t>
            </w:r>
            <w:r w:rsidRPr="00E161B2">
              <w:rPr>
                <w:rFonts w:ascii="Arial Narrow" w:eastAsia="Arial Narrow" w:hAnsi="Arial Narrow" w:cs="Arial"/>
                <w:b/>
                <w:bCs/>
              </w:rPr>
              <w:t>E</w:t>
            </w:r>
          </w:p>
        </w:tc>
        <w:tc>
          <w:tcPr>
            <w:tcW w:w="2112" w:type="pct"/>
            <w:tcBorders>
              <w:top w:val="single" w:sz="4" w:space="0" w:color="000000"/>
              <w:left w:val="single" w:sz="4" w:space="0" w:color="000000"/>
              <w:bottom w:val="single" w:sz="4" w:space="0" w:color="000000"/>
              <w:right w:val="single" w:sz="4" w:space="0" w:color="000000"/>
            </w:tcBorders>
          </w:tcPr>
          <w:p w14:paraId="35F42A79"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b/>
                <w:bCs/>
                <w:spacing w:val="1"/>
              </w:rPr>
              <w:t>CR</w:t>
            </w:r>
            <w:r w:rsidRPr="00E161B2">
              <w:rPr>
                <w:rFonts w:ascii="Arial Narrow" w:eastAsia="Arial Narrow" w:hAnsi="Arial Narrow" w:cs="Arial"/>
                <w:b/>
                <w:bCs/>
                <w:spacing w:val="-1"/>
              </w:rPr>
              <w:t>I</w:t>
            </w:r>
            <w:r w:rsidRPr="00E161B2">
              <w:rPr>
                <w:rFonts w:ascii="Arial Narrow" w:eastAsia="Arial Narrow" w:hAnsi="Arial Narrow" w:cs="Arial"/>
                <w:b/>
                <w:bCs/>
                <w:spacing w:val="1"/>
              </w:rPr>
              <w:t>T</w:t>
            </w:r>
            <w:r w:rsidRPr="00E161B2">
              <w:rPr>
                <w:rFonts w:ascii="Arial Narrow" w:eastAsia="Arial Narrow" w:hAnsi="Arial Narrow" w:cs="Arial"/>
                <w:b/>
                <w:bCs/>
                <w:spacing w:val="-3"/>
              </w:rPr>
              <w:t>I</w:t>
            </w:r>
            <w:r w:rsidRPr="00E161B2">
              <w:rPr>
                <w:rFonts w:ascii="Arial Narrow" w:eastAsia="Arial Narrow" w:hAnsi="Arial Narrow" w:cs="Arial"/>
                <w:b/>
                <w:bCs/>
                <w:spacing w:val="1"/>
              </w:rPr>
              <w:t>C</w:t>
            </w:r>
            <w:r w:rsidRPr="00E161B2">
              <w:rPr>
                <w:rFonts w:ascii="Arial Narrow" w:eastAsia="Arial Narrow" w:hAnsi="Arial Narrow" w:cs="Arial"/>
                <w:b/>
                <w:bCs/>
                <w:spacing w:val="-2"/>
              </w:rPr>
              <w:t>A</w:t>
            </w:r>
            <w:r w:rsidRPr="00E161B2">
              <w:rPr>
                <w:rFonts w:ascii="Arial Narrow" w:eastAsia="Arial Narrow" w:hAnsi="Arial Narrow" w:cs="Arial"/>
                <w:b/>
                <w:bCs/>
              </w:rPr>
              <w:t xml:space="preserve">L </w:t>
            </w:r>
            <w:r w:rsidRPr="00E161B2">
              <w:rPr>
                <w:rFonts w:ascii="Arial Narrow" w:eastAsia="Arial Narrow" w:hAnsi="Arial Narrow" w:cs="Arial"/>
                <w:b/>
                <w:bCs/>
                <w:spacing w:val="-2"/>
              </w:rPr>
              <w:t>C</w:t>
            </w:r>
            <w:r w:rsidRPr="00E161B2">
              <w:rPr>
                <w:rFonts w:ascii="Arial Narrow" w:eastAsia="Arial Narrow" w:hAnsi="Arial Narrow" w:cs="Arial"/>
                <w:b/>
                <w:bCs/>
              </w:rPr>
              <w:t>O</w:t>
            </w:r>
            <w:r w:rsidRPr="00E161B2">
              <w:rPr>
                <w:rFonts w:ascii="Arial Narrow" w:eastAsia="Arial Narrow" w:hAnsi="Arial Narrow" w:cs="Arial"/>
                <w:b/>
                <w:bCs/>
                <w:spacing w:val="-2"/>
              </w:rPr>
              <w:t>M</w:t>
            </w:r>
            <w:r w:rsidRPr="00E161B2">
              <w:rPr>
                <w:rFonts w:ascii="Arial Narrow" w:eastAsia="Arial Narrow" w:hAnsi="Arial Narrow" w:cs="Arial"/>
                <w:b/>
                <w:bCs/>
              </w:rPr>
              <w:t>M</w:t>
            </w:r>
            <w:r w:rsidRPr="00E161B2">
              <w:rPr>
                <w:rFonts w:ascii="Arial Narrow" w:eastAsia="Arial Narrow" w:hAnsi="Arial Narrow" w:cs="Arial"/>
                <w:b/>
                <w:bCs/>
                <w:spacing w:val="-2"/>
              </w:rPr>
              <w:t>E</w:t>
            </w:r>
            <w:r w:rsidRPr="00E161B2">
              <w:rPr>
                <w:rFonts w:ascii="Arial Narrow" w:eastAsia="Arial Narrow" w:hAnsi="Arial Narrow" w:cs="Arial"/>
                <w:b/>
                <w:bCs/>
                <w:spacing w:val="1"/>
              </w:rPr>
              <w:t>N</w:t>
            </w:r>
            <w:r w:rsidRPr="00E161B2">
              <w:rPr>
                <w:rFonts w:ascii="Arial Narrow" w:eastAsia="Arial Narrow" w:hAnsi="Arial Narrow" w:cs="Arial"/>
                <w:b/>
                <w:bCs/>
                <w:spacing w:val="-1"/>
              </w:rPr>
              <w:t>T</w:t>
            </w:r>
            <w:r w:rsidRPr="00E161B2">
              <w:rPr>
                <w:rFonts w:ascii="Arial Narrow" w:eastAsia="Arial Narrow" w:hAnsi="Arial Narrow" w:cs="Arial"/>
                <w:b/>
                <w:bCs/>
              </w:rPr>
              <w:t>S</w:t>
            </w:r>
          </w:p>
        </w:tc>
      </w:tr>
      <w:tr w:rsidR="004631F2" w:rsidRPr="00E161B2" w14:paraId="4626197D" w14:textId="77777777" w:rsidTr="00F142B9">
        <w:trPr>
          <w:trHeight w:val="565"/>
        </w:trPr>
        <w:tc>
          <w:tcPr>
            <w:tcW w:w="493" w:type="pct"/>
            <w:tcBorders>
              <w:left w:val="single" w:sz="4" w:space="0" w:color="000000"/>
              <w:bottom w:val="single" w:sz="4" w:space="0" w:color="auto"/>
              <w:right w:val="single" w:sz="4" w:space="0" w:color="000000"/>
            </w:tcBorders>
          </w:tcPr>
          <w:p w14:paraId="01A82C57" w14:textId="77777777" w:rsidR="004631F2" w:rsidRPr="00E161B2" w:rsidRDefault="004631F2" w:rsidP="00F142B9">
            <w:pPr>
              <w:spacing w:line="276" w:lineRule="auto"/>
              <w:ind w:left="102" w:right="-20"/>
              <w:jc w:val="both"/>
              <w:rPr>
                <w:rFonts w:ascii="Arial Narrow" w:eastAsia="Arial Narrow" w:hAnsi="Arial Narrow" w:cs="Arial"/>
                <w:spacing w:val="-1"/>
              </w:rPr>
            </w:pPr>
            <w:r w:rsidRPr="00E161B2">
              <w:rPr>
                <w:rFonts w:ascii="Arial Narrow" w:eastAsia="Arial Narrow" w:hAnsi="Arial Narrow" w:cs="Arial"/>
              </w:rPr>
              <w:t>W</w:t>
            </w:r>
            <w:r w:rsidRPr="00E161B2">
              <w:rPr>
                <w:rFonts w:ascii="Arial Narrow" w:eastAsia="Arial Narrow" w:hAnsi="Arial Narrow" w:cs="Arial"/>
                <w:spacing w:val="-1"/>
              </w:rPr>
              <w:t>h</w:t>
            </w:r>
            <w:r w:rsidRPr="00E161B2">
              <w:rPr>
                <w:rFonts w:ascii="Arial Narrow" w:eastAsia="Arial Narrow" w:hAnsi="Arial Narrow" w:cs="Arial"/>
                <w:spacing w:val="1"/>
              </w:rPr>
              <w:t>ea</w:t>
            </w:r>
            <w:r w:rsidRPr="00E161B2">
              <w:rPr>
                <w:rFonts w:ascii="Arial Narrow" w:eastAsia="Arial Narrow" w:hAnsi="Arial Narrow" w:cs="Arial"/>
                <w:spacing w:val="-1"/>
              </w:rPr>
              <w:t>t</w:t>
            </w:r>
          </w:p>
          <w:p w14:paraId="2BB9C0E0"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spacing w:val="-2"/>
              </w:rPr>
              <w:t>B</w:t>
            </w:r>
            <w:r w:rsidRPr="00E161B2">
              <w:rPr>
                <w:rFonts w:ascii="Arial Narrow" w:eastAsia="Arial Narrow" w:hAnsi="Arial Narrow" w:cs="Arial"/>
                <w:spacing w:val="1"/>
              </w:rPr>
              <w:t>a</w:t>
            </w:r>
            <w:r w:rsidRPr="00E161B2">
              <w:rPr>
                <w:rFonts w:ascii="Arial Narrow" w:eastAsia="Arial Narrow" w:hAnsi="Arial Narrow" w:cs="Arial"/>
                <w:spacing w:val="-1"/>
              </w:rPr>
              <w:t>r</w:t>
            </w:r>
            <w:r w:rsidRPr="00E161B2">
              <w:rPr>
                <w:rFonts w:ascii="Arial Narrow" w:eastAsia="Arial Narrow" w:hAnsi="Arial Narrow" w:cs="Arial"/>
              </w:rPr>
              <w:t>le</w:t>
            </w:r>
            <w:r w:rsidRPr="00E161B2">
              <w:rPr>
                <w:rFonts w:ascii="Arial Narrow" w:eastAsia="Arial Narrow" w:hAnsi="Arial Narrow" w:cs="Arial"/>
                <w:spacing w:val="-1"/>
              </w:rPr>
              <w:t>y</w:t>
            </w:r>
          </w:p>
          <w:p w14:paraId="10291EDB" w14:textId="77777777" w:rsidR="004631F2" w:rsidRPr="00E161B2" w:rsidRDefault="004631F2" w:rsidP="00F142B9">
            <w:pPr>
              <w:spacing w:before="27" w:line="276" w:lineRule="auto"/>
              <w:ind w:left="102" w:right="-20"/>
              <w:jc w:val="both"/>
              <w:rPr>
                <w:rFonts w:ascii="Arial Narrow" w:eastAsia="Arial Narrow" w:hAnsi="Arial Narrow" w:cs="Arial"/>
                <w:spacing w:val="1"/>
              </w:rPr>
            </w:pPr>
            <w:r w:rsidRPr="00E161B2">
              <w:rPr>
                <w:rFonts w:ascii="Arial Narrow" w:eastAsia="Arial Narrow" w:hAnsi="Arial Narrow" w:cs="Arial"/>
                <w:spacing w:val="1"/>
              </w:rPr>
              <w:t xml:space="preserve">Durum </w:t>
            </w:r>
          </w:p>
          <w:p w14:paraId="14916F7F" w14:textId="77777777" w:rsidR="004631F2" w:rsidRPr="00E161B2" w:rsidRDefault="004631F2" w:rsidP="00F142B9">
            <w:pPr>
              <w:spacing w:line="276" w:lineRule="auto"/>
              <w:jc w:val="both"/>
              <w:rPr>
                <w:rFonts w:ascii="Arial Narrow" w:hAnsi="Arial Narrow" w:cs="Arial"/>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tcPr>
          <w:p w14:paraId="2A6F1240" w14:textId="77777777" w:rsidR="004631F2" w:rsidRPr="00353939" w:rsidRDefault="004631F2" w:rsidP="00F142B9">
            <w:pPr>
              <w:pStyle w:val="NoSpacing"/>
              <w:spacing w:line="276" w:lineRule="auto"/>
              <w:rPr>
                <w:rFonts w:ascii="Arial Narrow" w:hAnsi="Arial Narrow"/>
                <w:lang w:val="en-AU"/>
              </w:rPr>
            </w:pPr>
            <w:r w:rsidRPr="00353939">
              <w:rPr>
                <w:rFonts w:ascii="Arial Narrow" w:hAnsi="Arial Narrow"/>
                <w:lang w:val="en-AU"/>
              </w:rPr>
              <w:t>Deadnettle (</w:t>
            </w:r>
            <w:proofErr w:type="spellStart"/>
            <w:r w:rsidRPr="00353939">
              <w:rPr>
                <w:rFonts w:ascii="Arial Narrow" w:hAnsi="Arial Narrow"/>
                <w:lang w:val="en-AU"/>
              </w:rPr>
              <w:t>Lamium</w:t>
            </w:r>
            <w:proofErr w:type="spellEnd"/>
            <w:r w:rsidRPr="00353939">
              <w:rPr>
                <w:rFonts w:ascii="Arial Narrow" w:hAnsi="Arial Narrow"/>
                <w:lang w:val="en-AU"/>
              </w:rPr>
              <w:t xml:space="preserve"> </w:t>
            </w:r>
            <w:proofErr w:type="spellStart"/>
            <w:r w:rsidRPr="00353939">
              <w:rPr>
                <w:rFonts w:ascii="Arial Narrow" w:hAnsi="Arial Narrow"/>
                <w:lang w:val="en-AU"/>
              </w:rPr>
              <w:t>amplexicale</w:t>
            </w:r>
            <w:proofErr w:type="spellEnd"/>
            <w:r w:rsidRPr="00353939">
              <w:rPr>
                <w:rFonts w:ascii="Arial Narrow" w:hAnsi="Arial Narrow"/>
                <w:lang w:val="en-AU"/>
              </w:rPr>
              <w:t>),</w:t>
            </w:r>
          </w:p>
          <w:p w14:paraId="021BD870" w14:textId="77777777" w:rsidR="004631F2" w:rsidRPr="00353939" w:rsidRDefault="004631F2" w:rsidP="00F142B9">
            <w:pPr>
              <w:pStyle w:val="NoSpacing"/>
              <w:spacing w:line="276" w:lineRule="auto"/>
              <w:rPr>
                <w:rFonts w:ascii="Arial Narrow" w:hAnsi="Arial Narrow"/>
                <w:lang w:val="en-AU"/>
              </w:rPr>
            </w:pPr>
            <w:r w:rsidRPr="00353939">
              <w:rPr>
                <w:rFonts w:ascii="Arial Narrow" w:hAnsi="Arial Narrow"/>
                <w:lang w:val="en-AU"/>
              </w:rPr>
              <w:t>Fumitory (</w:t>
            </w:r>
            <w:proofErr w:type="spellStart"/>
            <w:r w:rsidRPr="00353939">
              <w:rPr>
                <w:rFonts w:ascii="Arial Narrow" w:hAnsi="Arial Narrow"/>
                <w:i/>
                <w:lang w:val="en-AU"/>
              </w:rPr>
              <w:t>Fumaria</w:t>
            </w:r>
            <w:proofErr w:type="spellEnd"/>
            <w:r w:rsidRPr="00353939">
              <w:rPr>
                <w:rFonts w:ascii="Arial Narrow" w:hAnsi="Arial Narrow"/>
                <w:lang w:val="en-AU"/>
              </w:rPr>
              <w:t xml:space="preserve"> spp.),</w:t>
            </w:r>
          </w:p>
          <w:p w14:paraId="014AFED8" w14:textId="77777777" w:rsidR="004631F2" w:rsidRPr="00353939" w:rsidRDefault="004631F2" w:rsidP="00F142B9">
            <w:pPr>
              <w:pStyle w:val="NoSpacing"/>
              <w:spacing w:line="276" w:lineRule="auto"/>
              <w:rPr>
                <w:rFonts w:ascii="Arial Narrow" w:hAnsi="Arial Narrow"/>
                <w:lang w:val="en-AU"/>
              </w:rPr>
            </w:pPr>
            <w:r w:rsidRPr="00353939">
              <w:rPr>
                <w:rFonts w:ascii="Arial Narrow" w:hAnsi="Arial Narrow"/>
                <w:lang w:val="en-AU"/>
              </w:rPr>
              <w:t>Shepherd’s purse (</w:t>
            </w:r>
            <w:proofErr w:type="spellStart"/>
            <w:r w:rsidRPr="00353939">
              <w:rPr>
                <w:rFonts w:ascii="Arial Narrow" w:hAnsi="Arial Narrow"/>
                <w:i/>
                <w:lang w:val="en-AU"/>
              </w:rPr>
              <w:t>Capsella</w:t>
            </w:r>
            <w:proofErr w:type="spellEnd"/>
            <w:r w:rsidRPr="00353939">
              <w:rPr>
                <w:rFonts w:ascii="Arial Narrow" w:hAnsi="Arial Narrow"/>
                <w:i/>
                <w:lang w:val="en-AU"/>
              </w:rPr>
              <w:t xml:space="preserve"> bursa-pastoris</w:t>
            </w:r>
            <w:r w:rsidRPr="00353939">
              <w:rPr>
                <w:rFonts w:ascii="Arial Narrow" w:hAnsi="Arial Narrow"/>
                <w:lang w:val="en-AU"/>
              </w:rPr>
              <w:t>),</w:t>
            </w:r>
          </w:p>
          <w:p w14:paraId="351F5E81" w14:textId="77777777" w:rsidR="004631F2" w:rsidRPr="00353939" w:rsidRDefault="004631F2" w:rsidP="00F142B9">
            <w:pPr>
              <w:pStyle w:val="NoSpacing"/>
              <w:spacing w:line="276" w:lineRule="auto"/>
              <w:rPr>
                <w:rFonts w:ascii="Arial Narrow" w:hAnsi="Arial Narrow"/>
                <w:lang w:val="en-AU"/>
              </w:rPr>
            </w:pPr>
            <w:r w:rsidRPr="00353939">
              <w:rPr>
                <w:rFonts w:ascii="Arial Narrow" w:hAnsi="Arial Narrow"/>
                <w:lang w:val="en-AU"/>
              </w:rPr>
              <w:t>Sow thistle/</w:t>
            </w:r>
            <w:proofErr w:type="spellStart"/>
            <w:r w:rsidRPr="00353939">
              <w:rPr>
                <w:rFonts w:ascii="Arial Narrow" w:hAnsi="Arial Narrow"/>
                <w:lang w:val="en-AU"/>
              </w:rPr>
              <w:t>milkthistle</w:t>
            </w:r>
            <w:proofErr w:type="spellEnd"/>
            <w:r w:rsidRPr="00353939">
              <w:rPr>
                <w:rFonts w:ascii="Arial Narrow" w:hAnsi="Arial Narrow"/>
                <w:lang w:val="en-AU"/>
              </w:rPr>
              <w:t xml:space="preserve"> (</w:t>
            </w:r>
            <w:proofErr w:type="spellStart"/>
            <w:r w:rsidRPr="00353939">
              <w:rPr>
                <w:rFonts w:ascii="Arial Narrow" w:hAnsi="Arial Narrow"/>
                <w:i/>
                <w:lang w:val="en-AU"/>
              </w:rPr>
              <w:t>Sonchus</w:t>
            </w:r>
            <w:proofErr w:type="spellEnd"/>
            <w:r w:rsidRPr="00353939">
              <w:rPr>
                <w:rFonts w:ascii="Arial Narrow" w:hAnsi="Arial Narrow"/>
                <w:i/>
                <w:lang w:val="en-AU"/>
              </w:rPr>
              <w:t xml:space="preserve"> </w:t>
            </w:r>
            <w:proofErr w:type="spellStart"/>
            <w:r w:rsidRPr="00353939">
              <w:rPr>
                <w:rFonts w:ascii="Arial Narrow" w:hAnsi="Arial Narrow"/>
                <w:i/>
                <w:lang w:val="en-AU"/>
              </w:rPr>
              <w:t>oleracheus</w:t>
            </w:r>
            <w:proofErr w:type="spellEnd"/>
            <w:r w:rsidRPr="00353939">
              <w:rPr>
                <w:rFonts w:ascii="Arial Narrow" w:hAnsi="Arial Narrow"/>
                <w:lang w:val="en-AU"/>
              </w:rPr>
              <w:t>),</w:t>
            </w:r>
          </w:p>
          <w:p w14:paraId="0F794C45" w14:textId="77777777" w:rsidR="004631F2" w:rsidRPr="00353939" w:rsidRDefault="004631F2" w:rsidP="00F142B9">
            <w:pPr>
              <w:pStyle w:val="NoSpacing"/>
              <w:spacing w:line="276" w:lineRule="auto"/>
              <w:rPr>
                <w:rFonts w:ascii="Arial Narrow" w:hAnsi="Arial Narrow"/>
                <w:lang w:val="en-AU"/>
              </w:rPr>
            </w:pPr>
            <w:r w:rsidRPr="00353939">
              <w:rPr>
                <w:rFonts w:ascii="Arial Narrow" w:hAnsi="Arial Narrow"/>
                <w:lang w:val="en-AU"/>
              </w:rPr>
              <w:t>Stinging nettle (</w:t>
            </w:r>
            <w:proofErr w:type="spellStart"/>
            <w:r w:rsidRPr="00353939">
              <w:rPr>
                <w:rFonts w:ascii="Arial Narrow" w:hAnsi="Arial Narrow"/>
                <w:i/>
                <w:lang w:val="en-AU"/>
              </w:rPr>
              <w:t>Urtica</w:t>
            </w:r>
            <w:proofErr w:type="spellEnd"/>
            <w:r w:rsidRPr="00353939">
              <w:rPr>
                <w:rFonts w:ascii="Arial Narrow" w:hAnsi="Arial Narrow"/>
                <w:i/>
                <w:lang w:val="en-AU"/>
              </w:rPr>
              <w:t xml:space="preserve"> </w:t>
            </w:r>
            <w:proofErr w:type="spellStart"/>
            <w:r w:rsidRPr="00353939">
              <w:rPr>
                <w:rFonts w:ascii="Arial Narrow" w:hAnsi="Arial Narrow"/>
                <w:i/>
                <w:lang w:val="en-AU"/>
              </w:rPr>
              <w:t>urens</w:t>
            </w:r>
            <w:proofErr w:type="spellEnd"/>
            <w:r w:rsidRPr="00353939">
              <w:rPr>
                <w:rFonts w:ascii="Arial Narrow" w:hAnsi="Arial Narrow"/>
                <w:lang w:val="en-AU"/>
              </w:rPr>
              <w:t xml:space="preserve">), Turnip weed </w:t>
            </w:r>
          </w:p>
          <w:p w14:paraId="3B6FB41B" w14:textId="77777777" w:rsidR="004631F2" w:rsidRPr="00353939" w:rsidRDefault="004631F2" w:rsidP="00F142B9">
            <w:pPr>
              <w:pStyle w:val="NoSpacing"/>
              <w:spacing w:line="276" w:lineRule="auto"/>
              <w:rPr>
                <w:rFonts w:ascii="Arial Narrow" w:hAnsi="Arial Narrow"/>
                <w:lang w:val="en-AU"/>
              </w:rPr>
            </w:pPr>
            <w:r w:rsidRPr="00353939">
              <w:rPr>
                <w:rFonts w:ascii="Arial Narrow" w:hAnsi="Arial Narrow"/>
                <w:lang w:val="en-AU"/>
              </w:rPr>
              <w:t>(</w:t>
            </w:r>
            <w:proofErr w:type="spellStart"/>
            <w:r w:rsidRPr="00353939">
              <w:rPr>
                <w:rFonts w:ascii="Arial Narrow" w:hAnsi="Arial Narrow"/>
                <w:i/>
                <w:lang w:val="en-AU"/>
              </w:rPr>
              <w:t>Rapistrum</w:t>
            </w:r>
            <w:proofErr w:type="spellEnd"/>
            <w:r w:rsidRPr="00353939">
              <w:rPr>
                <w:rFonts w:ascii="Arial Narrow" w:hAnsi="Arial Narrow"/>
                <w:i/>
                <w:lang w:val="en-AU"/>
              </w:rPr>
              <w:t xml:space="preserve"> </w:t>
            </w:r>
            <w:proofErr w:type="spellStart"/>
            <w:r w:rsidRPr="00353939">
              <w:rPr>
                <w:rFonts w:ascii="Arial Narrow" w:hAnsi="Arial Narrow"/>
                <w:i/>
                <w:lang w:val="en-AU"/>
              </w:rPr>
              <w:t>rogosum</w:t>
            </w:r>
            <w:proofErr w:type="spellEnd"/>
            <w:r w:rsidRPr="00353939">
              <w:rPr>
                <w:rFonts w:ascii="Arial Narrow" w:hAnsi="Arial Narrow"/>
                <w:lang w:val="en-AU"/>
              </w:rPr>
              <w:t>),</w:t>
            </w:r>
          </w:p>
          <w:p w14:paraId="475D3CC3" w14:textId="77777777" w:rsidR="004631F2" w:rsidRPr="00353939" w:rsidRDefault="004631F2" w:rsidP="00F142B9">
            <w:pPr>
              <w:pStyle w:val="NoSpacing"/>
              <w:spacing w:line="276" w:lineRule="auto"/>
              <w:rPr>
                <w:rFonts w:ascii="Arial Narrow" w:hAnsi="Arial Narrow"/>
                <w:lang w:val="en-AU"/>
              </w:rPr>
            </w:pPr>
            <w:r w:rsidRPr="00353939">
              <w:rPr>
                <w:rFonts w:ascii="Arial Narrow" w:hAnsi="Arial Narrow"/>
                <w:lang w:val="en-AU"/>
              </w:rPr>
              <w:t>Wild radish (</w:t>
            </w:r>
            <w:proofErr w:type="spellStart"/>
            <w:r w:rsidRPr="00353939">
              <w:rPr>
                <w:rFonts w:ascii="Arial Narrow" w:hAnsi="Arial Narrow"/>
                <w:i/>
                <w:lang w:val="en-AU"/>
              </w:rPr>
              <w:t>Raphanus</w:t>
            </w:r>
            <w:proofErr w:type="spellEnd"/>
            <w:r w:rsidRPr="00353939">
              <w:rPr>
                <w:rFonts w:ascii="Arial Narrow" w:hAnsi="Arial Narrow"/>
                <w:i/>
                <w:lang w:val="en-AU"/>
              </w:rPr>
              <w:t xml:space="preserve"> </w:t>
            </w:r>
            <w:proofErr w:type="spellStart"/>
            <w:r w:rsidRPr="00353939">
              <w:rPr>
                <w:rFonts w:ascii="Arial Narrow" w:hAnsi="Arial Narrow"/>
                <w:i/>
                <w:lang w:val="en-AU"/>
              </w:rPr>
              <w:t>raphanistrum</w:t>
            </w:r>
            <w:proofErr w:type="spellEnd"/>
            <w:r w:rsidRPr="00353939">
              <w:rPr>
                <w:rFonts w:ascii="Arial Narrow" w:hAnsi="Arial Narrow"/>
                <w:lang w:val="en-AU"/>
              </w:rPr>
              <w:t>),</w:t>
            </w:r>
          </w:p>
          <w:p w14:paraId="5EF0CD38" w14:textId="77777777" w:rsidR="004631F2" w:rsidRPr="00353939" w:rsidRDefault="004631F2" w:rsidP="00F142B9">
            <w:pPr>
              <w:pStyle w:val="NoSpacing"/>
              <w:spacing w:line="276" w:lineRule="auto"/>
              <w:rPr>
                <w:rFonts w:ascii="Arial Narrow" w:hAnsi="Arial Narrow"/>
                <w:lang w:val="en-AU"/>
              </w:rPr>
            </w:pPr>
            <w:r w:rsidRPr="00353939">
              <w:rPr>
                <w:rFonts w:ascii="Arial Narrow" w:hAnsi="Arial Narrow"/>
                <w:lang w:val="en-AU"/>
              </w:rPr>
              <w:t>Wireweed (</w:t>
            </w:r>
            <w:proofErr w:type="spellStart"/>
            <w:r w:rsidRPr="00353939">
              <w:rPr>
                <w:rFonts w:ascii="Arial Narrow" w:hAnsi="Arial Narrow"/>
                <w:i/>
                <w:lang w:val="en-AU"/>
              </w:rPr>
              <w:t>Polygonum</w:t>
            </w:r>
            <w:proofErr w:type="spellEnd"/>
            <w:r w:rsidRPr="00353939">
              <w:rPr>
                <w:rFonts w:ascii="Arial Narrow" w:hAnsi="Arial Narrow"/>
                <w:i/>
                <w:lang w:val="en-AU"/>
              </w:rPr>
              <w:t xml:space="preserve"> </w:t>
            </w:r>
            <w:proofErr w:type="spellStart"/>
            <w:r w:rsidRPr="00353939">
              <w:rPr>
                <w:rFonts w:ascii="Arial Narrow" w:hAnsi="Arial Narrow"/>
                <w:i/>
                <w:lang w:val="en-AU"/>
              </w:rPr>
              <w:t>avicluare</w:t>
            </w:r>
            <w:proofErr w:type="spellEnd"/>
            <w:r w:rsidRPr="00353939">
              <w:rPr>
                <w:rFonts w:ascii="Arial Narrow" w:hAnsi="Arial Narrow"/>
                <w:lang w:val="en-AU"/>
              </w:rPr>
              <w:t>)</w:t>
            </w:r>
          </w:p>
        </w:tc>
        <w:tc>
          <w:tcPr>
            <w:tcW w:w="493" w:type="pct"/>
            <w:tcBorders>
              <w:top w:val="single" w:sz="4" w:space="0" w:color="auto"/>
              <w:left w:val="single" w:sz="4" w:space="0" w:color="000000"/>
              <w:bottom w:val="single" w:sz="4" w:space="0" w:color="000000"/>
              <w:right w:val="single" w:sz="4" w:space="0" w:color="000000"/>
            </w:tcBorders>
          </w:tcPr>
          <w:p w14:paraId="56FDC904" w14:textId="77777777" w:rsidR="004631F2" w:rsidRPr="00E161B2" w:rsidRDefault="004631F2" w:rsidP="00F142B9">
            <w:pPr>
              <w:rPr>
                <w:rFonts w:ascii="Arial Narrow" w:eastAsia="Arial Narrow" w:hAnsi="Arial Narrow" w:cs="Arial"/>
                <w:snapToGrid w:val="0"/>
              </w:rPr>
            </w:pPr>
            <w:r w:rsidRPr="00E161B2">
              <w:rPr>
                <w:rFonts w:ascii="Arial Narrow" w:eastAsia="Arial Narrow" w:hAnsi="Arial Narrow" w:cs="Arial"/>
                <w:snapToGrid w:val="0"/>
                <w:spacing w:val="1"/>
              </w:rPr>
              <w:t>U</w:t>
            </w:r>
            <w:r w:rsidRPr="00E161B2">
              <w:rPr>
                <w:rFonts w:ascii="Arial Narrow" w:eastAsia="Arial Narrow" w:hAnsi="Arial Narrow" w:cs="Arial"/>
                <w:snapToGrid w:val="0"/>
              </w:rPr>
              <w:t xml:space="preserve">p </w:t>
            </w:r>
            <w:r w:rsidRPr="00E161B2">
              <w:rPr>
                <w:rFonts w:ascii="Arial Narrow" w:eastAsia="Arial Narrow" w:hAnsi="Arial Narrow" w:cs="Arial"/>
                <w:snapToGrid w:val="0"/>
                <w:spacing w:val="-1"/>
              </w:rPr>
              <w:t>t</w:t>
            </w:r>
            <w:r w:rsidRPr="00E161B2">
              <w:rPr>
                <w:rFonts w:ascii="Arial Narrow" w:eastAsia="Arial Narrow" w:hAnsi="Arial Narrow" w:cs="Arial"/>
                <w:snapToGrid w:val="0"/>
              </w:rPr>
              <w:t xml:space="preserve">o </w:t>
            </w:r>
            <w:r w:rsidRPr="00E161B2">
              <w:rPr>
                <w:rFonts w:ascii="Arial Narrow" w:eastAsia="Arial Narrow" w:hAnsi="Arial Narrow" w:cs="Arial"/>
                <w:snapToGrid w:val="0"/>
                <w:spacing w:val="-3"/>
              </w:rPr>
              <w:t>t</w:t>
            </w:r>
            <w:r w:rsidRPr="00E161B2">
              <w:rPr>
                <w:rFonts w:ascii="Arial Narrow" w:eastAsia="Arial Narrow" w:hAnsi="Arial Narrow" w:cs="Arial"/>
                <w:snapToGrid w:val="0"/>
                <w:spacing w:val="1"/>
              </w:rPr>
              <w:t>h</w:t>
            </w:r>
            <w:r w:rsidRPr="00E161B2">
              <w:rPr>
                <w:rFonts w:ascii="Arial Narrow" w:eastAsia="Arial Narrow" w:hAnsi="Arial Narrow" w:cs="Arial"/>
                <w:snapToGrid w:val="0"/>
              </w:rPr>
              <w:t>e 6</w:t>
            </w:r>
            <w:r w:rsidRPr="00E161B2">
              <w:rPr>
                <w:rFonts w:ascii="Arial Narrow" w:eastAsia="Arial Narrow" w:hAnsi="Arial Narrow" w:cs="Arial"/>
                <w:snapToGrid w:val="0"/>
                <w:spacing w:val="1"/>
              </w:rPr>
              <w:t>-leaf</w:t>
            </w:r>
            <w:r w:rsidRPr="00E161B2">
              <w:rPr>
                <w:rFonts w:ascii="Arial Narrow" w:eastAsia="Arial Narrow" w:hAnsi="Arial Narrow" w:cs="Arial"/>
                <w:snapToGrid w:val="0"/>
                <w:spacing w:val="-1"/>
              </w:rPr>
              <w:t xml:space="preserve"> sta</w:t>
            </w:r>
            <w:r w:rsidRPr="00E161B2">
              <w:rPr>
                <w:rFonts w:ascii="Arial Narrow" w:eastAsia="Arial Narrow" w:hAnsi="Arial Narrow" w:cs="Arial"/>
                <w:snapToGrid w:val="0"/>
                <w:spacing w:val="1"/>
              </w:rPr>
              <w:t>g</w:t>
            </w:r>
            <w:r w:rsidRPr="00E161B2">
              <w:rPr>
                <w:rFonts w:ascii="Arial Narrow" w:eastAsia="Arial Narrow" w:hAnsi="Arial Narrow" w:cs="Arial"/>
                <w:snapToGrid w:val="0"/>
              </w:rPr>
              <w:t>e</w:t>
            </w:r>
            <w:r w:rsidRPr="00E161B2">
              <w:rPr>
                <w:rFonts w:ascii="Arial Narrow" w:eastAsia="Arial Narrow" w:hAnsi="Arial Narrow" w:cs="Arial"/>
                <w:snapToGrid w:val="0"/>
                <w:spacing w:val="-2"/>
              </w:rPr>
              <w:t xml:space="preserve"> </w:t>
            </w:r>
          </w:p>
          <w:p w14:paraId="611578F7" w14:textId="77777777" w:rsidR="004631F2" w:rsidRPr="00E161B2" w:rsidRDefault="004631F2" w:rsidP="00F142B9">
            <w:pPr>
              <w:rPr>
                <w:rFonts w:ascii="Arial Narrow" w:eastAsia="Arial Narrow" w:hAnsi="Arial Narrow" w:cs="Arial"/>
                <w:snapToGrid w:val="0"/>
              </w:rPr>
            </w:pPr>
          </w:p>
        </w:tc>
        <w:tc>
          <w:tcPr>
            <w:tcW w:w="846" w:type="pct"/>
            <w:tcBorders>
              <w:top w:val="single" w:sz="4" w:space="0" w:color="auto"/>
              <w:left w:val="single" w:sz="4" w:space="0" w:color="000000"/>
              <w:bottom w:val="single" w:sz="4" w:space="0" w:color="000000"/>
              <w:right w:val="single" w:sz="4" w:space="0" w:color="000000"/>
            </w:tcBorders>
          </w:tcPr>
          <w:p w14:paraId="0FCE85C2"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spacing w:val="-2"/>
              </w:rPr>
              <w:t>200 m</w:t>
            </w:r>
            <w:r w:rsidRPr="00E161B2">
              <w:rPr>
                <w:rFonts w:ascii="Arial Narrow" w:eastAsia="Arial Narrow" w:hAnsi="Arial Narrow" w:cs="Arial"/>
                <w:spacing w:val="2"/>
              </w:rPr>
              <w:t>L</w:t>
            </w:r>
            <w:r w:rsidRPr="00E161B2">
              <w:rPr>
                <w:rFonts w:ascii="Arial Narrow" w:eastAsia="Arial Narrow" w:hAnsi="Arial Narrow" w:cs="Arial"/>
                <w:spacing w:val="-1"/>
              </w:rPr>
              <w:t>/h</w:t>
            </w:r>
            <w:r w:rsidRPr="00E161B2">
              <w:rPr>
                <w:rFonts w:ascii="Arial Narrow" w:eastAsia="Arial Narrow" w:hAnsi="Arial Narrow" w:cs="Arial"/>
              </w:rPr>
              <w:t xml:space="preserve">a </w:t>
            </w:r>
          </w:p>
          <w:p w14:paraId="00EE17C8"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 </w:t>
            </w:r>
          </w:p>
          <w:p w14:paraId="4912FEE4" w14:textId="77777777" w:rsidR="004631F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440 mL to </w:t>
            </w:r>
          </w:p>
          <w:p w14:paraId="78C9433F" w14:textId="77777777" w:rsidR="004631F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600 mL/ha </w:t>
            </w:r>
          </w:p>
          <w:p w14:paraId="5C25CC0F" w14:textId="77777777" w:rsidR="004631F2" w:rsidRDefault="004631F2" w:rsidP="00F142B9">
            <w:pPr>
              <w:spacing w:line="276" w:lineRule="auto"/>
              <w:ind w:left="102" w:right="90"/>
              <w:rPr>
                <w:rFonts w:ascii="Arial Narrow" w:hAnsi="Arial Narrow"/>
              </w:rPr>
            </w:pPr>
            <w:r w:rsidRPr="00E161B2">
              <w:rPr>
                <w:rFonts w:ascii="Arial Narrow" w:hAnsi="Arial Narrow"/>
              </w:rPr>
              <w:t>Polo</w:t>
            </w:r>
            <w:r w:rsidRPr="00E161B2">
              <w:rPr>
                <w:rFonts w:ascii="Arial Narrow" w:eastAsia="SimSun" w:hAnsi="Arial Narrow"/>
                <w:vertAlign w:val="superscript"/>
              </w:rPr>
              <w:t>®</w:t>
            </w:r>
            <w:r w:rsidRPr="00E161B2">
              <w:rPr>
                <w:rFonts w:ascii="Arial Narrow" w:eastAsia="SimSun" w:hAnsi="Arial Narrow"/>
              </w:rPr>
              <w:t>*</w:t>
            </w:r>
            <w:r w:rsidRPr="00E161B2">
              <w:rPr>
                <w:rFonts w:ascii="Arial Narrow" w:hAnsi="Arial Narrow"/>
              </w:rPr>
              <w:t xml:space="preserve"> 570 LVE Herbicide </w:t>
            </w:r>
          </w:p>
          <w:p w14:paraId="3112452D"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hAnsi="Arial Narrow"/>
              </w:rPr>
              <w:t>(</w:t>
            </w:r>
            <w:r w:rsidRPr="00E161B2">
              <w:rPr>
                <w:rFonts w:ascii="Arial Narrow" w:eastAsia="Arial Narrow" w:hAnsi="Arial Narrow" w:cs="Arial"/>
              </w:rPr>
              <w:t>570 g/L L.V.E MCPA product</w:t>
            </w:r>
            <w:r w:rsidRPr="00E161B2">
              <w:rPr>
                <w:rFonts w:ascii="Arial Narrow" w:hAnsi="Arial Narrow"/>
              </w:rPr>
              <w:t>)</w:t>
            </w:r>
          </w:p>
          <w:p w14:paraId="24F48E24"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 +</w:t>
            </w:r>
          </w:p>
          <w:p w14:paraId="54FDB6CC" w14:textId="77777777" w:rsidR="004631F2" w:rsidRPr="00E161B2" w:rsidRDefault="004631F2" w:rsidP="00F142B9">
            <w:pPr>
              <w:spacing w:line="276" w:lineRule="auto"/>
              <w:ind w:left="102" w:right="-20"/>
              <w:rPr>
                <w:rFonts w:ascii="Arial Narrow" w:eastAsia="Arial Narrow" w:hAnsi="Arial Narrow" w:cs="Arial"/>
                <w:spacing w:val="1"/>
              </w:rPr>
            </w:pPr>
            <w:r w:rsidRPr="00E161B2">
              <w:rPr>
                <w:rFonts w:ascii="Arial Narrow" w:eastAsia="Arial Narrow" w:hAnsi="Arial Narrow" w:cs="Arial"/>
              </w:rPr>
              <w:t>1% Hasten or similar MSO adjuvant</w:t>
            </w:r>
          </w:p>
        </w:tc>
        <w:tc>
          <w:tcPr>
            <w:tcW w:w="2112" w:type="pct"/>
            <w:tcBorders>
              <w:top w:val="single" w:sz="4" w:space="0" w:color="auto"/>
              <w:left w:val="single" w:sz="4" w:space="0" w:color="000000"/>
              <w:bottom w:val="single" w:sz="4" w:space="0" w:color="auto"/>
              <w:right w:val="single" w:sz="4" w:space="0" w:color="000000"/>
            </w:tcBorders>
          </w:tcPr>
          <w:p w14:paraId="245A8109" w14:textId="77777777" w:rsidR="004631F2" w:rsidRPr="00E161B2" w:rsidRDefault="004631F2" w:rsidP="00F142B9">
            <w:pPr>
              <w:spacing w:line="276" w:lineRule="auto"/>
              <w:ind w:left="90" w:right="121"/>
              <w:jc w:val="both"/>
              <w:rPr>
                <w:rFonts w:ascii="Arial Narrow" w:eastAsia="Arial Narrow" w:hAnsi="Arial Narrow" w:cs="Arial"/>
              </w:rPr>
            </w:pPr>
            <w:r w:rsidRPr="00E161B2">
              <w:rPr>
                <w:rFonts w:ascii="Arial Narrow" w:eastAsia="Arial Narrow" w:hAnsi="Arial Narrow" w:cs="Arial"/>
                <w:spacing w:val="1"/>
              </w:rPr>
              <w:t>A</w:t>
            </w:r>
            <w:r w:rsidRPr="00E161B2">
              <w:rPr>
                <w:rFonts w:ascii="Arial Narrow" w:eastAsia="Arial Narrow" w:hAnsi="Arial Narrow" w:cs="Arial"/>
                <w:spacing w:val="-1"/>
              </w:rPr>
              <w:t>p</w:t>
            </w:r>
            <w:r w:rsidRPr="00E161B2">
              <w:rPr>
                <w:rFonts w:ascii="Arial Narrow" w:eastAsia="Arial Narrow" w:hAnsi="Arial Narrow" w:cs="Arial"/>
                <w:spacing w:val="1"/>
              </w:rPr>
              <w:t>p</w:t>
            </w:r>
            <w:r w:rsidRPr="00E161B2">
              <w:rPr>
                <w:rFonts w:ascii="Arial Narrow" w:eastAsia="Arial Narrow" w:hAnsi="Arial Narrow" w:cs="Arial"/>
              </w:rPr>
              <w:t>ly</w:t>
            </w:r>
            <w:r w:rsidRPr="00E161B2">
              <w:rPr>
                <w:rFonts w:ascii="Arial Narrow" w:eastAsia="Arial Narrow" w:hAnsi="Arial Narrow" w:cs="Arial"/>
                <w:spacing w:val="-2"/>
              </w:rPr>
              <w:t xml:space="preserve"> </w:t>
            </w:r>
            <w:r w:rsidRPr="00E161B2">
              <w:rPr>
                <w:rFonts w:ascii="Arial Narrow" w:eastAsia="Arial Narrow" w:hAnsi="Arial Narrow" w:cs="Arial"/>
                <w:spacing w:val="-1"/>
              </w:rPr>
              <w:t>t</w:t>
            </w:r>
            <w:r w:rsidRPr="00E161B2">
              <w:rPr>
                <w:rFonts w:ascii="Arial Narrow" w:eastAsia="Arial Narrow" w:hAnsi="Arial Narrow" w:cs="Arial"/>
              </w:rPr>
              <w:t xml:space="preserve">o </w:t>
            </w:r>
            <w:r w:rsidRPr="00E161B2">
              <w:rPr>
                <w:rFonts w:ascii="Arial Narrow" w:eastAsia="Arial Narrow" w:hAnsi="Arial Narrow" w:cs="Arial"/>
                <w:spacing w:val="1"/>
              </w:rPr>
              <w:t>a</w:t>
            </w:r>
            <w:r w:rsidRPr="00E161B2">
              <w:rPr>
                <w:rFonts w:ascii="Arial Narrow" w:eastAsia="Arial Narrow" w:hAnsi="Arial Narrow" w:cs="Arial"/>
                <w:spacing w:val="-1"/>
              </w:rPr>
              <w:t>ct</w:t>
            </w:r>
            <w:r w:rsidRPr="00E161B2">
              <w:rPr>
                <w:rFonts w:ascii="Arial Narrow" w:eastAsia="Arial Narrow" w:hAnsi="Arial Narrow" w:cs="Arial"/>
              </w:rPr>
              <w:t>i</w:t>
            </w:r>
            <w:r w:rsidRPr="00E161B2">
              <w:rPr>
                <w:rFonts w:ascii="Arial Narrow" w:eastAsia="Arial Narrow" w:hAnsi="Arial Narrow" w:cs="Arial"/>
                <w:spacing w:val="-2"/>
              </w:rPr>
              <w:t>v</w:t>
            </w:r>
            <w:r w:rsidRPr="00E161B2">
              <w:rPr>
                <w:rFonts w:ascii="Arial Narrow" w:eastAsia="Arial Narrow" w:hAnsi="Arial Narrow" w:cs="Arial"/>
                <w:spacing w:val="1"/>
              </w:rPr>
              <w:t>e</w:t>
            </w:r>
            <w:r w:rsidRPr="00E161B2">
              <w:rPr>
                <w:rFonts w:ascii="Arial Narrow" w:eastAsia="Arial Narrow" w:hAnsi="Arial Narrow" w:cs="Arial"/>
              </w:rPr>
              <w:t>ly</w:t>
            </w:r>
            <w:r w:rsidRPr="00E161B2">
              <w:rPr>
                <w:rFonts w:ascii="Arial Narrow" w:eastAsia="Arial Narrow" w:hAnsi="Arial Narrow" w:cs="Arial"/>
                <w:spacing w:val="-2"/>
              </w:rPr>
              <w:t xml:space="preserve"> </w:t>
            </w:r>
            <w:r w:rsidRPr="00E161B2">
              <w:rPr>
                <w:rFonts w:ascii="Arial Narrow" w:eastAsia="Arial Narrow" w:hAnsi="Arial Narrow" w:cs="Arial"/>
                <w:spacing w:val="1"/>
              </w:rPr>
              <w:t>g</w:t>
            </w:r>
            <w:r w:rsidRPr="00E161B2">
              <w:rPr>
                <w:rFonts w:ascii="Arial Narrow" w:eastAsia="Arial Narrow" w:hAnsi="Arial Narrow" w:cs="Arial"/>
                <w:spacing w:val="-1"/>
              </w:rPr>
              <w:t>r</w:t>
            </w:r>
            <w:r w:rsidRPr="00E161B2">
              <w:rPr>
                <w:rFonts w:ascii="Arial Narrow" w:eastAsia="Arial Narrow" w:hAnsi="Arial Narrow" w:cs="Arial"/>
                <w:spacing w:val="1"/>
              </w:rPr>
              <w:t>ow</w:t>
            </w:r>
            <w:r w:rsidRPr="00E161B2">
              <w:rPr>
                <w:rFonts w:ascii="Arial Narrow" w:eastAsia="Arial Narrow" w:hAnsi="Arial Narrow" w:cs="Arial"/>
                <w:spacing w:val="-3"/>
              </w:rPr>
              <w:t>i</w:t>
            </w:r>
            <w:r w:rsidRPr="00E161B2">
              <w:rPr>
                <w:rFonts w:ascii="Arial Narrow" w:eastAsia="Arial Narrow" w:hAnsi="Arial Narrow" w:cs="Arial"/>
                <w:spacing w:val="1"/>
              </w:rPr>
              <w:t>n</w:t>
            </w:r>
            <w:r w:rsidRPr="00E161B2">
              <w:rPr>
                <w:rFonts w:ascii="Arial Narrow" w:eastAsia="Arial Narrow" w:hAnsi="Arial Narrow" w:cs="Arial"/>
              </w:rPr>
              <w:t>g</w:t>
            </w:r>
            <w:r w:rsidRPr="00E161B2">
              <w:rPr>
                <w:rFonts w:ascii="Arial Narrow" w:eastAsia="Arial Narrow" w:hAnsi="Arial Narrow" w:cs="Arial"/>
                <w:spacing w:val="-2"/>
              </w:rPr>
              <w:t xml:space="preserve"> </w:t>
            </w:r>
            <w:r w:rsidRPr="00E161B2">
              <w:rPr>
                <w:rFonts w:ascii="Arial Narrow" w:eastAsia="Arial Narrow" w:hAnsi="Arial Narrow" w:cs="Arial"/>
                <w:spacing w:val="1"/>
              </w:rPr>
              <w:t>w</w:t>
            </w:r>
            <w:r w:rsidRPr="00E161B2">
              <w:rPr>
                <w:rFonts w:ascii="Arial Narrow" w:eastAsia="Arial Narrow" w:hAnsi="Arial Narrow" w:cs="Arial"/>
                <w:spacing w:val="-1"/>
              </w:rPr>
              <w:t>e</w:t>
            </w:r>
            <w:r w:rsidRPr="00E161B2">
              <w:rPr>
                <w:rFonts w:ascii="Arial Narrow" w:eastAsia="Arial Narrow" w:hAnsi="Arial Narrow" w:cs="Arial"/>
                <w:spacing w:val="1"/>
              </w:rPr>
              <w:t>ed</w:t>
            </w:r>
            <w:r w:rsidRPr="00E161B2">
              <w:rPr>
                <w:rFonts w:ascii="Arial Narrow" w:eastAsia="Arial Narrow" w:hAnsi="Arial Narrow" w:cs="Arial"/>
                <w:spacing w:val="-1"/>
              </w:rPr>
              <w:t>s</w:t>
            </w:r>
            <w:r w:rsidRPr="00E161B2">
              <w:rPr>
                <w:rFonts w:ascii="Arial Narrow" w:eastAsia="Arial Narrow" w:hAnsi="Arial Narrow" w:cs="Arial"/>
              </w:rPr>
              <w:t>,</w:t>
            </w:r>
            <w:r w:rsidRPr="00E161B2">
              <w:rPr>
                <w:rFonts w:ascii="Arial Narrow" w:eastAsia="Arial Narrow" w:hAnsi="Arial Narrow" w:cs="Arial"/>
                <w:spacing w:val="-1"/>
              </w:rPr>
              <w:t xml:space="preserve"> fr</w:t>
            </w:r>
            <w:r w:rsidRPr="00E161B2">
              <w:rPr>
                <w:rFonts w:ascii="Arial Narrow" w:eastAsia="Arial Narrow" w:hAnsi="Arial Narrow" w:cs="Arial"/>
                <w:spacing w:val="1"/>
              </w:rPr>
              <w:t>e</w:t>
            </w:r>
            <w:r w:rsidRPr="00E161B2">
              <w:rPr>
                <w:rFonts w:ascii="Arial Narrow" w:eastAsia="Arial Narrow" w:hAnsi="Arial Narrow" w:cs="Arial"/>
              </w:rPr>
              <w:t xml:space="preserve">e </w:t>
            </w:r>
            <w:r w:rsidRPr="00E161B2">
              <w:rPr>
                <w:rFonts w:ascii="Arial Narrow" w:eastAsia="Arial Narrow" w:hAnsi="Arial Narrow" w:cs="Arial"/>
                <w:spacing w:val="-1"/>
              </w:rPr>
              <w:t>fro</w:t>
            </w:r>
            <w:r w:rsidRPr="00E161B2">
              <w:rPr>
                <w:rFonts w:ascii="Arial Narrow" w:eastAsia="Arial Narrow" w:hAnsi="Arial Narrow" w:cs="Arial"/>
              </w:rPr>
              <w:t xml:space="preserve">m </w:t>
            </w:r>
            <w:r w:rsidRPr="00E161B2">
              <w:rPr>
                <w:rFonts w:ascii="Arial Narrow" w:eastAsia="Arial Narrow" w:hAnsi="Arial Narrow" w:cs="Arial"/>
                <w:spacing w:val="-1"/>
              </w:rPr>
              <w:t>str</w:t>
            </w:r>
            <w:r w:rsidRPr="00E161B2">
              <w:rPr>
                <w:rFonts w:ascii="Arial Narrow" w:eastAsia="Arial Narrow" w:hAnsi="Arial Narrow" w:cs="Arial"/>
                <w:spacing w:val="1"/>
              </w:rPr>
              <w:t>e</w:t>
            </w:r>
            <w:r w:rsidRPr="00E161B2">
              <w:rPr>
                <w:rFonts w:ascii="Arial Narrow" w:eastAsia="Arial Narrow" w:hAnsi="Arial Narrow" w:cs="Arial"/>
                <w:spacing w:val="-1"/>
              </w:rPr>
              <w:t>ss</w:t>
            </w:r>
            <w:r w:rsidRPr="00E161B2">
              <w:rPr>
                <w:rFonts w:ascii="Arial Narrow" w:eastAsia="Arial Narrow" w:hAnsi="Arial Narrow" w:cs="Arial"/>
              </w:rPr>
              <w:t>.</w:t>
            </w:r>
          </w:p>
          <w:p w14:paraId="3F14F057" w14:textId="77777777" w:rsidR="004631F2" w:rsidRPr="00E161B2" w:rsidRDefault="004631F2" w:rsidP="00F142B9">
            <w:pPr>
              <w:spacing w:line="276" w:lineRule="auto"/>
              <w:ind w:left="90" w:right="121"/>
              <w:jc w:val="both"/>
              <w:rPr>
                <w:rFonts w:ascii="Arial Narrow" w:eastAsia="Arial Narrow" w:hAnsi="Arial Narrow" w:cs="Arial"/>
                <w:spacing w:val="-1"/>
              </w:rPr>
            </w:pPr>
          </w:p>
          <w:p w14:paraId="21550AAE" w14:textId="77777777" w:rsidR="004631F2" w:rsidRPr="00E161B2" w:rsidRDefault="004631F2" w:rsidP="00F142B9">
            <w:pPr>
              <w:spacing w:line="276" w:lineRule="auto"/>
              <w:ind w:left="90" w:right="121"/>
              <w:jc w:val="both"/>
              <w:rPr>
                <w:rFonts w:ascii="Arial Narrow" w:eastAsia="Arial Narrow" w:hAnsi="Arial Narrow" w:cs="Arial"/>
                <w:spacing w:val="1"/>
              </w:rPr>
            </w:pPr>
            <w:r w:rsidRPr="00E161B2">
              <w:rPr>
                <w:rFonts w:ascii="Arial Narrow" w:eastAsia="Arial Narrow" w:hAnsi="Arial Narrow" w:cs="Arial"/>
                <w:spacing w:val="1"/>
              </w:rPr>
              <w:t>Use the higher rate of MCPA LVE under high populations and where conditions are less than ideal such as climatic stress or plant shading.</w:t>
            </w:r>
          </w:p>
          <w:p w14:paraId="56877D37" w14:textId="77777777" w:rsidR="004631F2" w:rsidRPr="00E161B2" w:rsidRDefault="004631F2" w:rsidP="00F142B9">
            <w:pPr>
              <w:spacing w:line="276" w:lineRule="auto"/>
              <w:ind w:left="90" w:right="121"/>
              <w:jc w:val="both"/>
              <w:rPr>
                <w:rFonts w:ascii="Arial Narrow" w:eastAsia="Arial Narrow" w:hAnsi="Arial Narrow" w:cs="Arial"/>
                <w:spacing w:val="1"/>
              </w:rPr>
            </w:pPr>
          </w:p>
          <w:p w14:paraId="26DB962D" w14:textId="77777777" w:rsidR="004631F2" w:rsidRPr="00E161B2" w:rsidRDefault="004631F2" w:rsidP="00F142B9">
            <w:pPr>
              <w:spacing w:line="276" w:lineRule="auto"/>
              <w:ind w:left="90" w:right="121"/>
              <w:jc w:val="both"/>
              <w:rPr>
                <w:rFonts w:ascii="Arial Narrow" w:eastAsia="Arial Narrow" w:hAnsi="Arial Narrow" w:cs="Arial"/>
                <w:b/>
                <w:spacing w:val="-1"/>
              </w:rPr>
            </w:pPr>
            <w:r w:rsidRPr="00E161B2">
              <w:rPr>
                <w:rFonts w:ascii="Arial Narrow" w:eastAsia="Arial Narrow" w:hAnsi="Arial Narrow" w:cs="Arial"/>
                <w:b/>
                <w:spacing w:val="1"/>
              </w:rPr>
              <w:t>A</w:t>
            </w:r>
            <w:r w:rsidRPr="00E161B2">
              <w:rPr>
                <w:rFonts w:ascii="Arial Narrow" w:eastAsia="Arial Narrow" w:hAnsi="Arial Narrow" w:cs="Arial"/>
                <w:b/>
                <w:spacing w:val="-1"/>
              </w:rPr>
              <w:t>p</w:t>
            </w:r>
            <w:r w:rsidRPr="00E161B2">
              <w:rPr>
                <w:rFonts w:ascii="Arial Narrow" w:eastAsia="Arial Narrow" w:hAnsi="Arial Narrow" w:cs="Arial"/>
                <w:b/>
                <w:spacing w:val="1"/>
              </w:rPr>
              <w:t>p</w:t>
            </w:r>
            <w:r w:rsidRPr="00E161B2">
              <w:rPr>
                <w:rFonts w:ascii="Arial Narrow" w:eastAsia="Arial Narrow" w:hAnsi="Arial Narrow" w:cs="Arial"/>
                <w:b/>
              </w:rPr>
              <w:t>ly</w:t>
            </w:r>
            <w:r w:rsidRPr="00E161B2">
              <w:rPr>
                <w:rFonts w:ascii="Arial Narrow" w:eastAsia="Arial Narrow" w:hAnsi="Arial Narrow" w:cs="Arial"/>
                <w:b/>
                <w:spacing w:val="33"/>
              </w:rPr>
              <w:t xml:space="preserve"> </w:t>
            </w:r>
            <w:r w:rsidRPr="00E161B2">
              <w:rPr>
                <w:rFonts w:ascii="Arial Narrow" w:eastAsia="Arial Narrow" w:hAnsi="Arial Narrow" w:cs="Arial"/>
                <w:b/>
                <w:spacing w:val="-1"/>
              </w:rPr>
              <w:t>t</w:t>
            </w:r>
            <w:r w:rsidRPr="00E161B2">
              <w:rPr>
                <w:rFonts w:ascii="Arial Narrow" w:eastAsia="Arial Narrow" w:hAnsi="Arial Narrow" w:cs="Arial"/>
                <w:b/>
              </w:rPr>
              <w:t xml:space="preserve">o </w:t>
            </w:r>
            <w:r w:rsidRPr="00E161B2">
              <w:rPr>
                <w:rFonts w:ascii="Arial Narrow" w:eastAsia="Arial Narrow" w:hAnsi="Arial Narrow" w:cs="Arial"/>
                <w:b/>
                <w:spacing w:val="-1"/>
              </w:rPr>
              <w:t>cr</w:t>
            </w:r>
            <w:r w:rsidRPr="00E161B2">
              <w:rPr>
                <w:rFonts w:ascii="Arial Narrow" w:eastAsia="Arial Narrow" w:hAnsi="Arial Narrow" w:cs="Arial"/>
                <w:b/>
                <w:spacing w:val="1"/>
              </w:rPr>
              <w:t>op</w:t>
            </w:r>
            <w:r w:rsidRPr="00E161B2">
              <w:rPr>
                <w:rFonts w:ascii="Arial Narrow" w:eastAsia="Arial Narrow" w:hAnsi="Arial Narrow" w:cs="Arial"/>
                <w:b/>
              </w:rPr>
              <w:t>s</w:t>
            </w:r>
            <w:r w:rsidRPr="00E161B2">
              <w:rPr>
                <w:rFonts w:ascii="Arial Narrow" w:eastAsia="Arial Narrow" w:hAnsi="Arial Narrow" w:cs="Arial"/>
                <w:b/>
                <w:spacing w:val="-2"/>
              </w:rPr>
              <w:t xml:space="preserve"> </w:t>
            </w:r>
            <w:r w:rsidRPr="00E161B2">
              <w:rPr>
                <w:rFonts w:ascii="Arial Narrow" w:eastAsia="Arial Narrow" w:hAnsi="Arial Narrow" w:cs="Arial"/>
                <w:b/>
                <w:spacing w:val="-1"/>
              </w:rPr>
              <w:t>fr</w:t>
            </w:r>
            <w:r w:rsidRPr="00E161B2">
              <w:rPr>
                <w:rFonts w:ascii="Arial Narrow" w:eastAsia="Arial Narrow" w:hAnsi="Arial Narrow" w:cs="Arial"/>
                <w:b/>
                <w:spacing w:val="1"/>
              </w:rPr>
              <w:t>o</w:t>
            </w:r>
            <w:r w:rsidRPr="00E161B2">
              <w:rPr>
                <w:rFonts w:ascii="Arial Narrow" w:eastAsia="Arial Narrow" w:hAnsi="Arial Narrow" w:cs="Arial"/>
                <w:b/>
              </w:rPr>
              <w:t xml:space="preserve">m </w:t>
            </w:r>
            <w:r w:rsidRPr="00E161B2">
              <w:rPr>
                <w:rFonts w:ascii="Arial Narrow" w:eastAsia="Arial Narrow" w:hAnsi="Arial Narrow" w:cs="Arial"/>
                <w:b/>
                <w:spacing w:val="-1"/>
              </w:rPr>
              <w:t>th</w:t>
            </w:r>
            <w:r w:rsidRPr="00E161B2">
              <w:rPr>
                <w:rFonts w:ascii="Arial Narrow" w:eastAsia="Arial Narrow" w:hAnsi="Arial Narrow" w:cs="Arial"/>
                <w:b/>
              </w:rPr>
              <w:t>e 3-leaf</w:t>
            </w:r>
            <w:r w:rsidRPr="00E161B2">
              <w:rPr>
                <w:rFonts w:ascii="Arial Narrow" w:eastAsia="Arial Narrow" w:hAnsi="Arial Narrow" w:cs="Arial"/>
                <w:b/>
                <w:spacing w:val="-1"/>
              </w:rPr>
              <w:t xml:space="preserve"> st</w:t>
            </w:r>
            <w:r w:rsidRPr="00E161B2">
              <w:rPr>
                <w:rFonts w:ascii="Arial Narrow" w:eastAsia="Arial Narrow" w:hAnsi="Arial Narrow" w:cs="Arial"/>
                <w:b/>
                <w:spacing w:val="1"/>
              </w:rPr>
              <w:t>a</w:t>
            </w:r>
            <w:r w:rsidRPr="00E161B2">
              <w:rPr>
                <w:rFonts w:ascii="Arial Narrow" w:eastAsia="Arial Narrow" w:hAnsi="Arial Narrow" w:cs="Arial"/>
                <w:b/>
                <w:spacing w:val="-1"/>
              </w:rPr>
              <w:t>g</w:t>
            </w:r>
            <w:r w:rsidRPr="00E161B2">
              <w:rPr>
                <w:rFonts w:ascii="Arial Narrow" w:eastAsia="Arial Narrow" w:hAnsi="Arial Narrow" w:cs="Arial"/>
                <w:b/>
              </w:rPr>
              <w:t xml:space="preserve">e </w:t>
            </w:r>
            <w:r w:rsidRPr="00E161B2">
              <w:rPr>
                <w:rFonts w:ascii="Arial Narrow" w:eastAsia="Arial Narrow" w:hAnsi="Arial Narrow" w:cs="Arial"/>
                <w:b/>
                <w:spacing w:val="-1"/>
              </w:rPr>
              <w:t>(</w:t>
            </w:r>
            <w:r w:rsidRPr="00E161B2">
              <w:rPr>
                <w:rFonts w:ascii="Arial Narrow" w:eastAsia="Arial Narrow" w:hAnsi="Arial Narrow" w:cs="Arial"/>
                <w:b/>
                <w:spacing w:val="1"/>
              </w:rPr>
              <w:t>Z</w:t>
            </w:r>
            <w:r w:rsidRPr="00E161B2">
              <w:rPr>
                <w:rFonts w:ascii="Arial Narrow" w:eastAsia="Arial Narrow" w:hAnsi="Arial Narrow" w:cs="Arial"/>
                <w:b/>
                <w:spacing w:val="-1"/>
              </w:rPr>
              <w:t>13</w:t>
            </w:r>
            <w:r w:rsidRPr="00E161B2">
              <w:rPr>
                <w:rFonts w:ascii="Arial Narrow" w:eastAsia="Arial Narrow" w:hAnsi="Arial Narrow" w:cs="Arial"/>
                <w:b/>
              </w:rPr>
              <w:t>)</w:t>
            </w:r>
            <w:r w:rsidRPr="00E161B2">
              <w:rPr>
                <w:rFonts w:ascii="Arial Narrow" w:eastAsia="Arial Narrow" w:hAnsi="Arial Narrow" w:cs="Arial"/>
                <w:b/>
                <w:spacing w:val="-4"/>
              </w:rPr>
              <w:t xml:space="preserve"> </w:t>
            </w:r>
            <w:r w:rsidRPr="00E161B2">
              <w:rPr>
                <w:rFonts w:ascii="Arial Narrow" w:eastAsia="Arial Narrow" w:hAnsi="Arial Narrow" w:cs="Arial"/>
                <w:b/>
                <w:spacing w:val="1"/>
              </w:rPr>
              <w:t>bu</w:t>
            </w:r>
            <w:r w:rsidRPr="00E161B2">
              <w:rPr>
                <w:rFonts w:ascii="Arial Narrow" w:eastAsia="Arial Narrow" w:hAnsi="Arial Narrow" w:cs="Arial"/>
                <w:b/>
              </w:rPr>
              <w:t>t</w:t>
            </w:r>
            <w:r w:rsidRPr="00E161B2">
              <w:rPr>
                <w:rFonts w:ascii="Arial Narrow" w:eastAsia="Arial Narrow" w:hAnsi="Arial Narrow" w:cs="Arial"/>
                <w:b/>
                <w:spacing w:val="-1"/>
              </w:rPr>
              <w:t xml:space="preserve"> </w:t>
            </w:r>
            <w:r w:rsidRPr="00E161B2">
              <w:rPr>
                <w:rFonts w:ascii="Arial Narrow" w:eastAsia="Arial Narrow" w:hAnsi="Arial Narrow" w:cs="Arial"/>
                <w:b/>
                <w:spacing w:val="1"/>
              </w:rPr>
              <w:t>p</w:t>
            </w:r>
            <w:r w:rsidRPr="00E161B2">
              <w:rPr>
                <w:rFonts w:ascii="Arial Narrow" w:eastAsia="Arial Narrow" w:hAnsi="Arial Narrow" w:cs="Arial"/>
                <w:b/>
                <w:spacing w:val="-1"/>
              </w:rPr>
              <w:t>r</w:t>
            </w:r>
            <w:r w:rsidRPr="00E161B2">
              <w:rPr>
                <w:rFonts w:ascii="Arial Narrow" w:eastAsia="Arial Narrow" w:hAnsi="Arial Narrow" w:cs="Arial"/>
                <w:b/>
              </w:rPr>
              <w:t>ior to the 2</w:t>
            </w:r>
            <w:r w:rsidRPr="00E161B2">
              <w:rPr>
                <w:rFonts w:ascii="Arial Narrow" w:eastAsia="Arial Narrow" w:hAnsi="Arial Narrow" w:cs="Arial"/>
                <w:b/>
                <w:spacing w:val="-1"/>
              </w:rPr>
              <w:t>-node stage</w:t>
            </w:r>
            <w:r w:rsidRPr="00E161B2">
              <w:rPr>
                <w:rFonts w:ascii="Arial Narrow" w:eastAsia="Arial Narrow" w:hAnsi="Arial Narrow" w:cs="Arial"/>
                <w:b/>
              </w:rPr>
              <w:t xml:space="preserve"> </w:t>
            </w:r>
            <w:r w:rsidRPr="00E161B2">
              <w:rPr>
                <w:rFonts w:ascii="Arial Narrow" w:eastAsia="Arial Narrow" w:hAnsi="Arial Narrow" w:cs="Arial"/>
                <w:b/>
                <w:spacing w:val="-3"/>
              </w:rPr>
              <w:t>(</w:t>
            </w:r>
            <w:r w:rsidRPr="00E161B2">
              <w:rPr>
                <w:rFonts w:ascii="Arial Narrow" w:eastAsia="Arial Narrow" w:hAnsi="Arial Narrow" w:cs="Arial"/>
                <w:b/>
                <w:spacing w:val="1"/>
              </w:rPr>
              <w:t>Z</w:t>
            </w:r>
            <w:r w:rsidRPr="00E161B2">
              <w:rPr>
                <w:rFonts w:ascii="Arial Narrow" w:eastAsia="Arial Narrow" w:hAnsi="Arial Narrow" w:cs="Arial"/>
                <w:b/>
                <w:spacing w:val="-1"/>
              </w:rPr>
              <w:t>32)</w:t>
            </w:r>
            <w:r w:rsidRPr="00E161B2">
              <w:rPr>
                <w:rFonts w:ascii="Arial Narrow" w:eastAsia="Arial Narrow" w:hAnsi="Arial Narrow" w:cs="Arial"/>
                <w:b/>
              </w:rPr>
              <w:t>.</w:t>
            </w:r>
            <w:r w:rsidRPr="00E161B2">
              <w:rPr>
                <w:rFonts w:ascii="Arial Narrow" w:eastAsia="Arial Narrow" w:hAnsi="Arial Narrow" w:cs="Arial"/>
                <w:b/>
                <w:spacing w:val="-1"/>
              </w:rPr>
              <w:t xml:space="preserve"> </w:t>
            </w:r>
          </w:p>
          <w:p w14:paraId="511D051A" w14:textId="77777777" w:rsidR="004631F2" w:rsidRPr="00E161B2" w:rsidRDefault="004631F2" w:rsidP="00F142B9">
            <w:pPr>
              <w:spacing w:line="276" w:lineRule="auto"/>
              <w:ind w:left="90" w:right="121"/>
              <w:jc w:val="both"/>
              <w:rPr>
                <w:rFonts w:ascii="Arial Narrow" w:eastAsia="Arial Narrow" w:hAnsi="Arial Narrow" w:cs="Arial"/>
                <w:spacing w:val="-1"/>
              </w:rPr>
            </w:pPr>
          </w:p>
          <w:p w14:paraId="61599E98" w14:textId="77777777" w:rsidR="004631F2" w:rsidRPr="00E161B2" w:rsidRDefault="004631F2" w:rsidP="00F142B9">
            <w:pPr>
              <w:spacing w:line="276" w:lineRule="auto"/>
              <w:ind w:left="90" w:right="121"/>
              <w:jc w:val="both"/>
              <w:rPr>
                <w:rFonts w:ascii="Arial Narrow" w:eastAsia="Arial Narrow" w:hAnsi="Arial Narrow" w:cs="Arial"/>
              </w:rPr>
            </w:pPr>
            <w:r w:rsidRPr="00E161B2">
              <w:rPr>
                <w:rFonts w:ascii="Arial Narrow" w:eastAsia="Arial Narrow" w:hAnsi="Arial Narrow" w:cs="Arial"/>
                <w:spacing w:val="1"/>
              </w:rPr>
              <w:t>Transient bleaching of the crop may occur, particularly under cold or frosty conditions and can be exacerbated in northern areas where frost/cold starts followed by warm bright sunlight days follow. Trial data has shown that under these conditions final yield will not be impacted.</w:t>
            </w:r>
          </w:p>
        </w:tc>
      </w:tr>
      <w:tr w:rsidR="004631F2" w:rsidRPr="00E161B2" w14:paraId="58D1A00E" w14:textId="77777777" w:rsidTr="00F142B9">
        <w:trPr>
          <w:trHeight w:val="565"/>
        </w:trPr>
        <w:tc>
          <w:tcPr>
            <w:tcW w:w="493" w:type="pct"/>
            <w:tcBorders>
              <w:left w:val="single" w:sz="4" w:space="0" w:color="000000"/>
              <w:bottom w:val="single" w:sz="4" w:space="0" w:color="auto"/>
              <w:right w:val="single" w:sz="4" w:space="0" w:color="000000"/>
            </w:tcBorders>
          </w:tcPr>
          <w:p w14:paraId="3EACBC4F" w14:textId="77777777" w:rsidR="004631F2" w:rsidRPr="00E161B2" w:rsidRDefault="004631F2" w:rsidP="00F142B9">
            <w:pPr>
              <w:spacing w:line="276" w:lineRule="auto"/>
              <w:ind w:left="102" w:right="-20"/>
              <w:jc w:val="both"/>
              <w:rPr>
                <w:rFonts w:ascii="Arial Narrow" w:eastAsia="Arial Narrow" w:hAnsi="Arial Narrow" w:cs="Arial"/>
                <w:spacing w:val="-1"/>
              </w:rPr>
            </w:pPr>
            <w:r w:rsidRPr="00E161B2">
              <w:rPr>
                <w:rFonts w:ascii="Arial Narrow" w:eastAsia="Arial Narrow" w:hAnsi="Arial Narrow" w:cs="Arial"/>
                <w:spacing w:val="-1"/>
              </w:rPr>
              <w:t>Wh</w:t>
            </w:r>
            <w:r w:rsidRPr="00E161B2">
              <w:rPr>
                <w:rFonts w:ascii="Arial Narrow" w:eastAsia="Arial Narrow" w:hAnsi="Arial Narrow" w:cs="Arial"/>
                <w:spacing w:val="1"/>
              </w:rPr>
              <w:t>ea</w:t>
            </w:r>
            <w:r w:rsidRPr="00E161B2">
              <w:rPr>
                <w:rFonts w:ascii="Arial Narrow" w:eastAsia="Arial Narrow" w:hAnsi="Arial Narrow" w:cs="Arial"/>
                <w:spacing w:val="-1"/>
              </w:rPr>
              <w:t xml:space="preserve">t </w:t>
            </w:r>
          </w:p>
          <w:p w14:paraId="03C0EBC2" w14:textId="77777777" w:rsidR="004631F2" w:rsidRPr="00E161B2" w:rsidRDefault="004631F2" w:rsidP="00F142B9">
            <w:pPr>
              <w:spacing w:line="276" w:lineRule="auto"/>
              <w:ind w:left="102" w:right="-20"/>
              <w:jc w:val="both"/>
              <w:rPr>
                <w:rFonts w:ascii="Arial Narrow" w:eastAsia="Arial Narrow" w:hAnsi="Arial Narrow" w:cs="Arial"/>
              </w:rPr>
            </w:pPr>
            <w:r w:rsidRPr="00E161B2">
              <w:rPr>
                <w:rFonts w:ascii="Arial Narrow" w:eastAsia="Arial Narrow" w:hAnsi="Arial Narrow" w:cs="Arial"/>
                <w:spacing w:val="-2"/>
              </w:rPr>
              <w:t>B</w:t>
            </w:r>
            <w:r w:rsidRPr="00E161B2">
              <w:rPr>
                <w:rFonts w:ascii="Arial Narrow" w:eastAsia="Arial Narrow" w:hAnsi="Arial Narrow" w:cs="Arial"/>
                <w:spacing w:val="1"/>
              </w:rPr>
              <w:t>a</w:t>
            </w:r>
            <w:r w:rsidRPr="00E161B2">
              <w:rPr>
                <w:rFonts w:ascii="Arial Narrow" w:eastAsia="Arial Narrow" w:hAnsi="Arial Narrow" w:cs="Arial"/>
                <w:spacing w:val="-1"/>
              </w:rPr>
              <w:t>r</w:t>
            </w:r>
            <w:r w:rsidRPr="00E161B2">
              <w:rPr>
                <w:rFonts w:ascii="Arial Narrow" w:eastAsia="Arial Narrow" w:hAnsi="Arial Narrow" w:cs="Arial"/>
              </w:rPr>
              <w:t>le</w:t>
            </w:r>
            <w:r w:rsidRPr="00E161B2">
              <w:rPr>
                <w:rFonts w:ascii="Arial Narrow" w:eastAsia="Arial Narrow" w:hAnsi="Arial Narrow" w:cs="Arial"/>
                <w:spacing w:val="-1"/>
              </w:rPr>
              <w:t>y</w:t>
            </w:r>
          </w:p>
          <w:p w14:paraId="1B2128C7" w14:textId="77777777" w:rsidR="004631F2" w:rsidRPr="00E161B2" w:rsidRDefault="004631F2" w:rsidP="00F142B9">
            <w:pPr>
              <w:spacing w:before="27" w:line="276" w:lineRule="auto"/>
              <w:ind w:left="102" w:right="-20"/>
              <w:jc w:val="both"/>
              <w:rPr>
                <w:rFonts w:ascii="Arial Narrow" w:eastAsia="Arial Narrow" w:hAnsi="Arial Narrow" w:cs="Arial"/>
                <w:spacing w:val="1"/>
              </w:rPr>
            </w:pPr>
            <w:r w:rsidRPr="00E161B2">
              <w:rPr>
                <w:rFonts w:ascii="Arial Narrow" w:eastAsia="Arial Narrow" w:hAnsi="Arial Narrow" w:cs="Arial"/>
                <w:spacing w:val="1"/>
              </w:rPr>
              <w:t>Durum</w:t>
            </w:r>
          </w:p>
          <w:p w14:paraId="62260FB7" w14:textId="77777777" w:rsidR="004631F2" w:rsidRPr="00E161B2" w:rsidRDefault="004631F2" w:rsidP="00F142B9">
            <w:pPr>
              <w:spacing w:before="27" w:line="276" w:lineRule="auto"/>
              <w:ind w:left="102" w:right="-20"/>
              <w:jc w:val="both"/>
              <w:rPr>
                <w:rFonts w:ascii="Arial Narrow" w:eastAsia="Arial Narrow" w:hAnsi="Arial Narrow" w:cs="Arial"/>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tcPr>
          <w:p w14:paraId="6935CCE0" w14:textId="77777777" w:rsidR="004631F2" w:rsidRPr="00353939" w:rsidRDefault="004631F2" w:rsidP="00F142B9">
            <w:pPr>
              <w:pStyle w:val="NoSpacing"/>
              <w:spacing w:line="276" w:lineRule="auto"/>
              <w:rPr>
                <w:rFonts w:ascii="Arial Narrow" w:hAnsi="Arial Narrow"/>
                <w:spacing w:val="-1"/>
                <w:lang w:val="en-AU"/>
              </w:rPr>
            </w:pPr>
            <w:r w:rsidRPr="00353939">
              <w:rPr>
                <w:rFonts w:ascii="Arial Narrow" w:hAnsi="Arial Narrow"/>
                <w:spacing w:val="-1"/>
                <w:lang w:val="en-AU"/>
              </w:rPr>
              <w:t xml:space="preserve">Suppression of seed set in wild oats in northern NSW and Qld cropping zones where </w:t>
            </w:r>
            <w:proofErr w:type="spellStart"/>
            <w:r w:rsidRPr="00353939">
              <w:rPr>
                <w:rFonts w:ascii="Arial Narrow" w:hAnsi="Arial Narrow"/>
                <w:i/>
                <w:spacing w:val="-1"/>
                <w:lang w:val="en-AU"/>
              </w:rPr>
              <w:t>Avena</w:t>
            </w:r>
            <w:proofErr w:type="spellEnd"/>
            <w:r w:rsidRPr="00353939">
              <w:rPr>
                <w:rFonts w:ascii="Arial Narrow" w:hAnsi="Arial Narrow"/>
                <w:i/>
                <w:spacing w:val="-1"/>
                <w:lang w:val="en-AU"/>
              </w:rPr>
              <w:t xml:space="preserve"> </w:t>
            </w:r>
            <w:proofErr w:type="spellStart"/>
            <w:r w:rsidRPr="00353939">
              <w:rPr>
                <w:rFonts w:ascii="Arial Narrow" w:hAnsi="Arial Narrow"/>
                <w:i/>
                <w:spacing w:val="-1"/>
                <w:lang w:val="en-AU"/>
              </w:rPr>
              <w:t>sterilis</w:t>
            </w:r>
            <w:proofErr w:type="spellEnd"/>
            <w:r w:rsidRPr="00353939">
              <w:rPr>
                <w:rFonts w:ascii="Arial Narrow" w:hAnsi="Arial Narrow"/>
                <w:spacing w:val="-1"/>
                <w:lang w:val="en-AU"/>
              </w:rPr>
              <w:t xml:space="preserve"> is dominant in targeted population</w:t>
            </w:r>
          </w:p>
          <w:p w14:paraId="50018EB5" w14:textId="77777777" w:rsidR="004631F2" w:rsidRPr="00353939" w:rsidRDefault="004631F2" w:rsidP="00F142B9">
            <w:pPr>
              <w:pStyle w:val="NoSpacing"/>
              <w:spacing w:line="276" w:lineRule="auto"/>
              <w:rPr>
                <w:rFonts w:ascii="Arial Narrow" w:hAnsi="Arial Narrow"/>
                <w:spacing w:val="-1"/>
                <w:lang w:val="en-AU"/>
              </w:rPr>
            </w:pPr>
          </w:p>
        </w:tc>
        <w:tc>
          <w:tcPr>
            <w:tcW w:w="493" w:type="pct"/>
            <w:tcBorders>
              <w:top w:val="single" w:sz="4" w:space="0" w:color="auto"/>
              <w:left w:val="single" w:sz="4" w:space="0" w:color="000000"/>
              <w:bottom w:val="single" w:sz="4" w:space="0" w:color="000000"/>
              <w:right w:val="single" w:sz="4" w:space="0" w:color="000000"/>
            </w:tcBorders>
          </w:tcPr>
          <w:p w14:paraId="66CC8DB8" w14:textId="77777777" w:rsidR="004631F2" w:rsidRPr="00E161B2" w:rsidRDefault="004631F2" w:rsidP="00F142B9">
            <w:pPr>
              <w:rPr>
                <w:rFonts w:ascii="Arial Narrow" w:eastAsia="Arial Narrow" w:hAnsi="Arial Narrow" w:cs="Arial"/>
                <w:snapToGrid w:val="0"/>
              </w:rPr>
            </w:pPr>
            <w:r w:rsidRPr="00E161B2">
              <w:rPr>
                <w:rFonts w:ascii="Arial Narrow" w:eastAsia="Arial Narrow" w:hAnsi="Arial Narrow" w:cs="Arial"/>
                <w:snapToGrid w:val="0"/>
              </w:rPr>
              <w:t xml:space="preserve">From 2 leaf to 2 tillers </w:t>
            </w:r>
          </w:p>
          <w:p w14:paraId="5065AF20" w14:textId="77777777" w:rsidR="004631F2" w:rsidRPr="00E161B2" w:rsidRDefault="004631F2" w:rsidP="00F142B9">
            <w:pPr>
              <w:rPr>
                <w:rFonts w:ascii="Arial Narrow" w:eastAsia="Arial Narrow" w:hAnsi="Arial Narrow" w:cs="Arial"/>
                <w:snapToGrid w:val="0"/>
              </w:rPr>
            </w:pPr>
            <w:r w:rsidRPr="00E161B2">
              <w:rPr>
                <w:rFonts w:ascii="Arial Narrow" w:eastAsia="Arial Narrow" w:hAnsi="Arial Narrow" w:cs="Arial"/>
                <w:snapToGrid w:val="0"/>
              </w:rPr>
              <w:t xml:space="preserve">(GS 12- 22) </w:t>
            </w:r>
          </w:p>
        </w:tc>
        <w:tc>
          <w:tcPr>
            <w:tcW w:w="846" w:type="pct"/>
            <w:tcBorders>
              <w:top w:val="single" w:sz="4" w:space="0" w:color="auto"/>
              <w:left w:val="single" w:sz="4" w:space="0" w:color="000000"/>
              <w:bottom w:val="single" w:sz="4" w:space="0" w:color="000000"/>
              <w:right w:val="single" w:sz="4" w:space="0" w:color="000000"/>
            </w:tcBorders>
          </w:tcPr>
          <w:p w14:paraId="67FC2BF3"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spacing w:val="-2"/>
              </w:rPr>
              <w:t>200 m</w:t>
            </w:r>
            <w:r w:rsidRPr="00E161B2">
              <w:rPr>
                <w:rFonts w:ascii="Arial Narrow" w:eastAsia="Arial Narrow" w:hAnsi="Arial Narrow" w:cs="Arial"/>
                <w:spacing w:val="2"/>
              </w:rPr>
              <w:t>L</w:t>
            </w:r>
            <w:r w:rsidRPr="00E161B2">
              <w:rPr>
                <w:rFonts w:ascii="Arial Narrow" w:eastAsia="Arial Narrow" w:hAnsi="Arial Narrow" w:cs="Arial"/>
                <w:spacing w:val="-1"/>
              </w:rPr>
              <w:t>/h</w:t>
            </w:r>
            <w:r w:rsidRPr="00E161B2">
              <w:rPr>
                <w:rFonts w:ascii="Arial Narrow" w:eastAsia="Arial Narrow" w:hAnsi="Arial Narrow" w:cs="Arial"/>
              </w:rPr>
              <w:t>a</w:t>
            </w:r>
          </w:p>
          <w:p w14:paraId="502EF480"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 </w:t>
            </w:r>
          </w:p>
          <w:p w14:paraId="3466A991" w14:textId="77777777" w:rsidR="004631F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900 mL/ha to </w:t>
            </w:r>
          </w:p>
          <w:p w14:paraId="6183FC10"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 xml:space="preserve">1.2 L/ha </w:t>
            </w:r>
            <w:proofErr w:type="spellStart"/>
            <w:r w:rsidRPr="00E161B2">
              <w:rPr>
                <w:rFonts w:ascii="Arial Narrow" w:eastAsia="Arial Narrow" w:hAnsi="Arial Narrow" w:cs="Arial"/>
              </w:rPr>
              <w:t>B</w:t>
            </w:r>
            <w:r w:rsidRPr="00E161B2">
              <w:rPr>
                <w:rFonts w:ascii="Arial Narrow" w:hAnsi="Arial Narrow" w:cs="Helvetica-Bold"/>
                <w:bCs/>
              </w:rPr>
              <w:t>romicide</w:t>
            </w:r>
            <w:proofErr w:type="spellEnd"/>
            <w:r w:rsidRPr="00E161B2">
              <w:rPr>
                <w:rFonts w:ascii="Arial Narrow" w:eastAsia="SimSun" w:hAnsi="Arial Narrow"/>
                <w:vertAlign w:val="superscript"/>
              </w:rPr>
              <w:t>®</w:t>
            </w:r>
            <w:r w:rsidRPr="00E161B2">
              <w:rPr>
                <w:rFonts w:ascii="Arial Narrow" w:eastAsia="SimSun" w:hAnsi="Arial Narrow"/>
              </w:rPr>
              <w:t xml:space="preserve">* </w:t>
            </w:r>
            <w:r w:rsidRPr="00E161B2">
              <w:rPr>
                <w:rFonts w:ascii="Arial Narrow" w:hAnsi="Arial Narrow" w:cs="Helvetica-Bold"/>
                <w:bCs/>
              </w:rPr>
              <w:t>200 Selective Herbicide (</w:t>
            </w:r>
            <w:r w:rsidRPr="00E161B2">
              <w:rPr>
                <w:rFonts w:ascii="Arial Narrow" w:eastAsia="Arial Narrow" w:hAnsi="Arial Narrow" w:cs="Arial"/>
              </w:rPr>
              <w:t xml:space="preserve">200 g/L </w:t>
            </w:r>
            <w:proofErr w:type="spellStart"/>
            <w:r w:rsidRPr="00E161B2">
              <w:rPr>
                <w:rFonts w:ascii="Arial Narrow" w:eastAsia="Arial Narrow" w:hAnsi="Arial Narrow" w:cs="Arial"/>
              </w:rPr>
              <w:t>bromoxynil</w:t>
            </w:r>
            <w:proofErr w:type="spellEnd"/>
            <w:r w:rsidRPr="00E161B2">
              <w:rPr>
                <w:rFonts w:ascii="Arial Narrow" w:eastAsia="Arial Narrow" w:hAnsi="Arial Narrow" w:cs="Arial"/>
              </w:rPr>
              <w:t xml:space="preserve"> product</w:t>
            </w:r>
            <w:r w:rsidRPr="00E161B2">
              <w:rPr>
                <w:rFonts w:ascii="Arial Narrow" w:hAnsi="Arial Narrow" w:cs="Helvetica-Bold"/>
                <w:bCs/>
              </w:rPr>
              <w:t>)</w:t>
            </w:r>
          </w:p>
          <w:p w14:paraId="1F69CA3B" w14:textId="77777777" w:rsidR="004631F2" w:rsidRPr="00E161B2" w:rsidRDefault="004631F2" w:rsidP="00F142B9">
            <w:pPr>
              <w:spacing w:line="276" w:lineRule="auto"/>
              <w:ind w:left="102" w:right="90"/>
              <w:rPr>
                <w:rFonts w:ascii="Arial Narrow" w:eastAsia="Arial Narrow" w:hAnsi="Arial Narrow" w:cs="Arial"/>
              </w:rPr>
            </w:pPr>
            <w:r w:rsidRPr="00E161B2">
              <w:rPr>
                <w:rFonts w:ascii="Arial Narrow" w:eastAsia="Arial Narrow" w:hAnsi="Arial Narrow" w:cs="Arial"/>
              </w:rPr>
              <w:t>+</w:t>
            </w:r>
          </w:p>
          <w:p w14:paraId="387FF9CC" w14:textId="77777777" w:rsidR="004631F2" w:rsidRPr="00E161B2" w:rsidRDefault="004631F2" w:rsidP="00F142B9">
            <w:pPr>
              <w:spacing w:line="276" w:lineRule="auto"/>
              <w:ind w:left="102" w:right="-20"/>
              <w:rPr>
                <w:rFonts w:ascii="Arial Narrow" w:eastAsia="Arial Narrow" w:hAnsi="Arial Narrow" w:cs="Arial"/>
                <w:spacing w:val="1"/>
              </w:rPr>
            </w:pPr>
            <w:r w:rsidRPr="00E161B2">
              <w:rPr>
                <w:rFonts w:ascii="Arial Narrow" w:eastAsia="Arial Narrow" w:hAnsi="Arial Narrow" w:cs="Arial"/>
              </w:rPr>
              <w:t>1% Hasten or similar MSO adjuvant</w:t>
            </w:r>
          </w:p>
        </w:tc>
        <w:tc>
          <w:tcPr>
            <w:tcW w:w="2112" w:type="pct"/>
            <w:tcBorders>
              <w:top w:val="single" w:sz="4" w:space="0" w:color="auto"/>
              <w:left w:val="single" w:sz="4" w:space="0" w:color="000000"/>
              <w:bottom w:val="single" w:sz="4" w:space="0" w:color="auto"/>
              <w:right w:val="single" w:sz="4" w:space="0" w:color="000000"/>
            </w:tcBorders>
          </w:tcPr>
          <w:p w14:paraId="209EE213" w14:textId="77777777" w:rsidR="004631F2" w:rsidRPr="00E161B2" w:rsidRDefault="004631F2" w:rsidP="00F142B9">
            <w:pPr>
              <w:spacing w:line="276" w:lineRule="auto"/>
              <w:ind w:left="102" w:right="90"/>
              <w:jc w:val="both"/>
              <w:rPr>
                <w:rFonts w:ascii="Arial Narrow" w:eastAsia="Arial Narrow" w:hAnsi="Arial Narrow" w:cs="Arial"/>
                <w:spacing w:val="-2"/>
              </w:rPr>
            </w:pPr>
            <w:r w:rsidRPr="00E161B2">
              <w:rPr>
                <w:rFonts w:ascii="Arial Narrow" w:eastAsia="Arial Narrow" w:hAnsi="Arial Narrow" w:cs="Arial"/>
                <w:spacing w:val="-2"/>
              </w:rPr>
              <w:t>Frequency</w:t>
            </w:r>
            <w:r w:rsidRPr="00E161B2">
              <w:rPr>
                <w:rFonts w:ascii="Arial Narrow" w:eastAsia="Arial Narrow" w:hAnsi="Arial Narrow" w:cs="Arial"/>
                <w:spacing w:val="-2"/>
                <w:vertAlign w:val="superscript"/>
              </w:rPr>
              <w:t>®</w:t>
            </w:r>
            <w:r w:rsidRPr="00E161B2">
              <w:rPr>
                <w:rFonts w:ascii="Arial Narrow" w:eastAsia="Arial Narrow" w:hAnsi="Arial Narrow" w:cs="Arial"/>
                <w:spacing w:val="-2"/>
              </w:rPr>
              <w:t xml:space="preserve"> Herbicide will provide useful suppression of seed set in wild oats. </w:t>
            </w:r>
          </w:p>
          <w:p w14:paraId="0A53BA03" w14:textId="77777777" w:rsidR="004631F2" w:rsidRPr="00E161B2" w:rsidRDefault="004631F2" w:rsidP="00F142B9">
            <w:pPr>
              <w:spacing w:line="276" w:lineRule="auto"/>
              <w:ind w:left="102" w:right="90"/>
              <w:jc w:val="both"/>
              <w:rPr>
                <w:rFonts w:ascii="Arial Narrow" w:eastAsia="Arial Narrow" w:hAnsi="Arial Narrow" w:cs="Arial"/>
                <w:spacing w:val="-2"/>
              </w:rPr>
            </w:pPr>
            <w:r w:rsidRPr="00E161B2">
              <w:rPr>
                <w:rFonts w:ascii="Arial Narrow" w:eastAsia="Arial Narrow" w:hAnsi="Arial Narrow" w:cs="Arial"/>
                <w:spacing w:val="-2"/>
              </w:rPr>
              <w:t xml:space="preserve">Apply to actively growing weeds, free from stress. </w:t>
            </w:r>
          </w:p>
          <w:p w14:paraId="4913C707" w14:textId="77777777" w:rsidR="004631F2" w:rsidRPr="00E161B2" w:rsidRDefault="004631F2" w:rsidP="00F142B9">
            <w:pPr>
              <w:spacing w:line="276" w:lineRule="auto"/>
              <w:ind w:left="102" w:right="90"/>
              <w:jc w:val="both"/>
              <w:rPr>
                <w:rFonts w:ascii="Arial Narrow" w:eastAsia="Arial Narrow" w:hAnsi="Arial Narrow" w:cs="Arial"/>
                <w:b/>
                <w:spacing w:val="-2"/>
              </w:rPr>
            </w:pPr>
            <w:r w:rsidRPr="00E161B2">
              <w:rPr>
                <w:rFonts w:ascii="Arial Narrow" w:eastAsia="Arial Narrow" w:hAnsi="Arial Narrow" w:cs="Arial"/>
                <w:b/>
                <w:spacing w:val="-2"/>
              </w:rPr>
              <w:t xml:space="preserve">Apply to crops from the 2-leaf stage (Z12) but prior to the 2-node stage (Z32). </w:t>
            </w:r>
          </w:p>
          <w:p w14:paraId="16C72B64" w14:textId="53B1B574" w:rsidR="004631F2" w:rsidRPr="00E161B2" w:rsidRDefault="004631F2" w:rsidP="00F142B9">
            <w:pPr>
              <w:spacing w:line="276" w:lineRule="auto"/>
              <w:ind w:left="102" w:right="90"/>
              <w:jc w:val="both"/>
              <w:rPr>
                <w:rFonts w:ascii="Arial Narrow" w:eastAsia="Arial Narrow" w:hAnsi="Arial Narrow" w:cs="Arial"/>
                <w:spacing w:val="-2"/>
              </w:rPr>
            </w:pPr>
            <w:r w:rsidRPr="00E161B2">
              <w:rPr>
                <w:rFonts w:ascii="Arial Narrow" w:eastAsia="Arial Narrow" w:hAnsi="Arial Narrow" w:cs="Arial"/>
                <w:spacing w:val="-2"/>
              </w:rPr>
              <w:t>Significant bleaching and reduction of growth of wild oats will occur, resulting in death of some plants and a significant reduction in flowering and seed set of surviving plants, however complete contro</w:t>
            </w:r>
            <w:r w:rsidR="00276C28">
              <w:rPr>
                <w:rFonts w:ascii="Arial Narrow" w:eastAsia="Arial Narrow" w:hAnsi="Arial Narrow" w:cs="Arial"/>
                <w:spacing w:val="-2"/>
              </w:rPr>
              <w:t>l of wild oats may not be seen.</w:t>
            </w:r>
          </w:p>
          <w:p w14:paraId="71D8589E" w14:textId="77777777" w:rsidR="004631F2" w:rsidRPr="00E161B2" w:rsidRDefault="004631F2" w:rsidP="00F142B9">
            <w:pPr>
              <w:spacing w:line="276" w:lineRule="auto"/>
              <w:ind w:left="102" w:right="90"/>
              <w:jc w:val="both"/>
              <w:rPr>
                <w:rFonts w:ascii="Arial Narrow" w:eastAsia="Arial Narrow" w:hAnsi="Arial Narrow" w:cs="Arial"/>
                <w:spacing w:val="-2"/>
              </w:rPr>
            </w:pPr>
            <w:r w:rsidRPr="00E161B2">
              <w:rPr>
                <w:rFonts w:ascii="Arial Narrow" w:eastAsia="Arial Narrow" w:hAnsi="Arial Narrow" w:cs="Arial"/>
                <w:spacing w:val="-2"/>
              </w:rPr>
              <w:t xml:space="preserve">Trials have shown that consistency of seed set reduction on wild oats in southern regions where </w:t>
            </w:r>
            <w:proofErr w:type="spellStart"/>
            <w:r w:rsidRPr="00E161B2">
              <w:rPr>
                <w:rFonts w:ascii="Arial Narrow" w:eastAsia="Arial Narrow" w:hAnsi="Arial Narrow" w:cs="Arial"/>
                <w:i/>
                <w:spacing w:val="-2"/>
              </w:rPr>
              <w:t>Avena</w:t>
            </w:r>
            <w:proofErr w:type="spellEnd"/>
            <w:r w:rsidRPr="00E161B2">
              <w:rPr>
                <w:rFonts w:ascii="Arial Narrow" w:eastAsia="Arial Narrow" w:hAnsi="Arial Narrow" w:cs="Arial"/>
                <w:i/>
                <w:spacing w:val="-2"/>
              </w:rPr>
              <w:t xml:space="preserve"> </w:t>
            </w:r>
            <w:proofErr w:type="spellStart"/>
            <w:r w:rsidRPr="00E161B2">
              <w:rPr>
                <w:rFonts w:ascii="Arial Narrow" w:eastAsia="Arial Narrow" w:hAnsi="Arial Narrow" w:cs="Arial"/>
                <w:i/>
                <w:spacing w:val="-2"/>
              </w:rPr>
              <w:t>Fatua</w:t>
            </w:r>
            <w:proofErr w:type="spellEnd"/>
            <w:r w:rsidRPr="00E161B2">
              <w:rPr>
                <w:rFonts w:ascii="Arial Narrow" w:eastAsia="Arial Narrow" w:hAnsi="Arial Narrow" w:cs="Arial"/>
                <w:spacing w:val="-2"/>
              </w:rPr>
              <w:t xml:space="preserve"> is dominant have has been greatly reduced compared to fields in the northern cropping area where </w:t>
            </w:r>
            <w:proofErr w:type="spellStart"/>
            <w:r w:rsidRPr="00E161B2">
              <w:rPr>
                <w:rFonts w:ascii="Arial Narrow" w:eastAsia="Arial Narrow" w:hAnsi="Arial Narrow" w:cs="Arial"/>
                <w:i/>
                <w:spacing w:val="-2"/>
              </w:rPr>
              <w:t>Avena</w:t>
            </w:r>
            <w:proofErr w:type="spellEnd"/>
            <w:r w:rsidRPr="00E161B2">
              <w:rPr>
                <w:rFonts w:ascii="Arial Narrow" w:eastAsia="Arial Narrow" w:hAnsi="Arial Narrow" w:cs="Arial"/>
                <w:i/>
                <w:spacing w:val="-2"/>
              </w:rPr>
              <w:t xml:space="preserve"> </w:t>
            </w:r>
            <w:proofErr w:type="spellStart"/>
            <w:r w:rsidRPr="00E161B2">
              <w:rPr>
                <w:rFonts w:ascii="Arial Narrow" w:eastAsia="Arial Narrow" w:hAnsi="Arial Narrow" w:cs="Arial"/>
                <w:i/>
                <w:spacing w:val="-2"/>
              </w:rPr>
              <w:t>sterilis</w:t>
            </w:r>
            <w:proofErr w:type="spellEnd"/>
            <w:r w:rsidRPr="00E161B2">
              <w:rPr>
                <w:rFonts w:ascii="Arial Narrow" w:eastAsia="Arial Narrow" w:hAnsi="Arial Narrow" w:cs="Arial"/>
                <w:spacing w:val="-2"/>
              </w:rPr>
              <w:t xml:space="preserve"> is dominant.</w:t>
            </w:r>
          </w:p>
          <w:p w14:paraId="13CC9592" w14:textId="77777777" w:rsidR="004631F2" w:rsidRPr="00E161B2" w:rsidRDefault="004631F2" w:rsidP="00F142B9">
            <w:pPr>
              <w:spacing w:line="276" w:lineRule="auto"/>
              <w:ind w:left="102" w:right="90"/>
              <w:jc w:val="both"/>
              <w:rPr>
                <w:rFonts w:ascii="Arial Narrow" w:eastAsia="Arial Narrow" w:hAnsi="Arial Narrow" w:cs="Arial"/>
                <w:spacing w:val="-2"/>
              </w:rPr>
            </w:pPr>
            <w:r w:rsidRPr="00E161B2">
              <w:rPr>
                <w:rFonts w:ascii="Arial Narrow" w:eastAsia="Arial Narrow" w:hAnsi="Arial Narrow" w:cs="Arial"/>
                <w:spacing w:val="-2"/>
              </w:rPr>
              <w:t>Where wild oats are a major target either a split application or tank mix with a compatible wild oat control product is recommended</w:t>
            </w:r>
          </w:p>
          <w:p w14:paraId="2A92B25F" w14:textId="77777777" w:rsidR="004631F2" w:rsidRPr="00E161B2" w:rsidRDefault="004631F2" w:rsidP="00F142B9">
            <w:pPr>
              <w:spacing w:line="276" w:lineRule="auto"/>
              <w:ind w:left="102" w:right="90"/>
              <w:jc w:val="both"/>
              <w:rPr>
                <w:rFonts w:ascii="Arial Narrow" w:eastAsia="Arial Narrow" w:hAnsi="Arial Narrow" w:cs="Arial"/>
                <w:spacing w:val="-2"/>
              </w:rPr>
            </w:pPr>
            <w:r w:rsidRPr="00E161B2">
              <w:rPr>
                <w:rFonts w:ascii="Arial Narrow" w:eastAsia="Arial Narrow" w:hAnsi="Arial Narrow" w:cs="Arial"/>
                <w:spacing w:val="-2"/>
              </w:rPr>
              <w:t>Transient bleaching of the crop may occur, particularly under cold or frosty conditions and can be exacerbated in northern areas where frost/cold starts followed by warm bright sunlight days follow. Trial data has shown that under these conditions final yield will not be impacted.</w:t>
            </w:r>
          </w:p>
        </w:tc>
      </w:tr>
    </w:tbl>
    <w:p w14:paraId="2ACBD04E" w14:textId="77777777" w:rsidR="004631F2" w:rsidRDefault="004631F2" w:rsidP="00276C28">
      <w:pPr>
        <w:spacing w:before="240"/>
        <w:jc w:val="both"/>
        <w:rPr>
          <w:rFonts w:ascii="Arial Narrow" w:hAnsi="Arial Narrow"/>
          <w:b/>
          <w:sz w:val="24"/>
          <w:szCs w:val="20"/>
        </w:rPr>
      </w:pPr>
      <w:r w:rsidRPr="00E161B2">
        <w:rPr>
          <w:rFonts w:ascii="Arial Narrow" w:hAnsi="Arial Narrow"/>
          <w:b/>
          <w:sz w:val="24"/>
          <w:szCs w:val="20"/>
        </w:rPr>
        <w:t>NOT TO BE USED FOR ANY PURPOSE, OR IN ANY MANNER, CONTRARY TO THIS LABEL UNLESS AUTHORISED UNDER APPROPRIATE LEGISLATION.</w:t>
      </w:r>
    </w:p>
    <w:p w14:paraId="680304E5" w14:textId="77777777" w:rsidR="004631F2" w:rsidRDefault="004631F2" w:rsidP="004631F2">
      <w:pPr>
        <w:jc w:val="both"/>
        <w:rPr>
          <w:rFonts w:ascii="Arial Narrow" w:hAnsi="Arial Narrow"/>
          <w:b/>
          <w:sz w:val="24"/>
          <w:szCs w:val="20"/>
        </w:rPr>
      </w:pPr>
    </w:p>
    <w:p w14:paraId="56DFA6BF" w14:textId="77777777" w:rsidR="004631F2" w:rsidRPr="00F364E5" w:rsidRDefault="004631F2" w:rsidP="004631F2">
      <w:pPr>
        <w:jc w:val="both"/>
        <w:rPr>
          <w:rFonts w:ascii="Arial Narrow" w:hAnsi="Arial Narrow"/>
          <w:b/>
          <w:sz w:val="24"/>
          <w:szCs w:val="20"/>
        </w:rPr>
      </w:pPr>
      <w:r w:rsidRPr="00E161B2">
        <w:rPr>
          <w:rFonts w:ascii="Arial Narrow" w:hAnsi="Arial Narrow"/>
          <w:b/>
          <w:sz w:val="24"/>
          <w:szCs w:val="20"/>
        </w:rPr>
        <w:t>WITHHOLDING PERIOD</w:t>
      </w:r>
    </w:p>
    <w:p w14:paraId="5D0CDA42" w14:textId="77777777" w:rsidR="004631F2" w:rsidRPr="00E161B2" w:rsidRDefault="004631F2" w:rsidP="004631F2">
      <w:pPr>
        <w:pStyle w:val="NoSpacing"/>
        <w:rPr>
          <w:rFonts w:ascii="Arial Narrow" w:hAnsi="Arial Narrow"/>
          <w:sz w:val="24"/>
          <w:szCs w:val="24"/>
          <w:lang w:val="en-AU"/>
        </w:rPr>
      </w:pPr>
      <w:r w:rsidRPr="00E161B2">
        <w:rPr>
          <w:rFonts w:ascii="Arial Narrow" w:hAnsi="Arial Narrow"/>
          <w:b/>
          <w:sz w:val="24"/>
          <w:szCs w:val="24"/>
          <w:lang w:val="en-AU"/>
        </w:rPr>
        <w:t>HARVEST</w:t>
      </w:r>
      <w:r w:rsidRPr="00E161B2">
        <w:rPr>
          <w:rFonts w:ascii="Arial Narrow" w:hAnsi="Arial Narrow"/>
          <w:sz w:val="24"/>
          <w:szCs w:val="24"/>
          <w:lang w:val="en-AU"/>
        </w:rPr>
        <w:t>: NOT REQUIRED WHEN USED AS DIRECTED</w:t>
      </w:r>
    </w:p>
    <w:p w14:paraId="511DECE5" w14:textId="77777777" w:rsidR="004631F2" w:rsidRPr="00E161B2" w:rsidRDefault="004631F2" w:rsidP="004631F2">
      <w:pPr>
        <w:pStyle w:val="NoSpacing"/>
        <w:rPr>
          <w:rFonts w:ascii="Arial Narrow" w:hAnsi="Arial Narrow"/>
          <w:sz w:val="24"/>
          <w:szCs w:val="24"/>
          <w:lang w:val="en-AU"/>
        </w:rPr>
      </w:pPr>
      <w:r w:rsidRPr="00E161B2">
        <w:rPr>
          <w:rFonts w:ascii="Arial Narrow" w:hAnsi="Arial Narrow"/>
          <w:b/>
          <w:sz w:val="24"/>
          <w:szCs w:val="24"/>
          <w:lang w:val="en-AU"/>
        </w:rPr>
        <w:lastRenderedPageBreak/>
        <w:t>GRAZING</w:t>
      </w:r>
      <w:r w:rsidRPr="00E161B2">
        <w:rPr>
          <w:rFonts w:ascii="Arial Narrow" w:hAnsi="Arial Narrow"/>
          <w:sz w:val="24"/>
          <w:szCs w:val="24"/>
          <w:lang w:val="en-AU"/>
        </w:rPr>
        <w:t xml:space="preserve">: </w:t>
      </w:r>
      <w:r w:rsidRPr="00E161B2">
        <w:rPr>
          <w:rFonts w:ascii="Arial Narrow" w:hAnsi="Arial Narrow"/>
          <w:sz w:val="24"/>
          <w:szCs w:val="24"/>
        </w:rPr>
        <w:t>DO NOT GRAZE OR CUT FOR STOCK FOOD FOR 6 WEEKS AFTER APPLICATION. WHEN APPLYING WITH A TANK MIX PRODUCT, OBSERVE THE GRAZING WITHHOLDING PERIOD FOR THE TANK MIX PRODUCT IF THIS IS LONGER THAN 6 WEEKS</w:t>
      </w:r>
    </w:p>
    <w:p w14:paraId="7BF04E1C" w14:textId="77777777" w:rsidR="004631F2" w:rsidRDefault="004631F2" w:rsidP="004631F2">
      <w:pPr>
        <w:pStyle w:val="NoSpacing"/>
        <w:rPr>
          <w:rFonts w:ascii="Arial Narrow" w:hAnsi="Arial Narrow"/>
          <w:bCs/>
          <w:sz w:val="24"/>
          <w:szCs w:val="24"/>
        </w:rPr>
      </w:pPr>
      <w:r w:rsidRPr="00E161B2">
        <w:rPr>
          <w:rFonts w:ascii="Arial Narrow" w:hAnsi="Arial Narrow"/>
          <w:b/>
          <w:bCs/>
          <w:sz w:val="24"/>
          <w:szCs w:val="24"/>
        </w:rPr>
        <w:t>EXPORT SLAUGHTER INTERVAL (ESI) 14 DAYS</w:t>
      </w:r>
      <w:r w:rsidRPr="00E161B2">
        <w:rPr>
          <w:rFonts w:ascii="Arial Narrow" w:hAnsi="Arial Narrow"/>
          <w:bCs/>
          <w:sz w:val="24"/>
          <w:szCs w:val="24"/>
        </w:rPr>
        <w:t xml:space="preserve"> </w:t>
      </w:r>
    </w:p>
    <w:p w14:paraId="4CF17CD6" w14:textId="77777777" w:rsidR="004631F2" w:rsidRPr="00F364E5" w:rsidRDefault="004631F2" w:rsidP="004631F2">
      <w:pPr>
        <w:pStyle w:val="NoSpacing"/>
        <w:rPr>
          <w:rFonts w:ascii="Arial Narrow" w:hAnsi="Arial Narrow"/>
          <w:bCs/>
          <w:sz w:val="24"/>
          <w:szCs w:val="24"/>
        </w:rPr>
      </w:pPr>
      <w:r w:rsidRPr="00E161B2">
        <w:rPr>
          <w:rFonts w:ascii="Arial Narrow" w:hAnsi="Arial Narrow"/>
          <w:sz w:val="24"/>
          <w:szCs w:val="24"/>
        </w:rPr>
        <w:t xml:space="preserve">Livestock that has grazed on or been fed treated crops should be placed on clean feed for 14 days prior to slaughter. </w:t>
      </w:r>
    </w:p>
    <w:p w14:paraId="674EF089" w14:textId="77777777" w:rsidR="004631F2" w:rsidRPr="00E161B2" w:rsidRDefault="004631F2" w:rsidP="004631F2">
      <w:pPr>
        <w:spacing w:before="240"/>
        <w:ind w:right="-20"/>
        <w:jc w:val="both"/>
        <w:rPr>
          <w:rFonts w:ascii="Arial Narrow" w:eastAsia="Arial Narrow" w:hAnsi="Arial Narrow" w:cs="Arial Narrow"/>
          <w:sz w:val="24"/>
          <w:lang w:val="en-US"/>
        </w:rPr>
      </w:pPr>
      <w:r w:rsidRPr="00E161B2">
        <w:rPr>
          <w:rFonts w:ascii="Arial Narrow" w:eastAsia="Arial Narrow" w:hAnsi="Arial Narrow" w:cs="Arial Narrow"/>
          <w:b/>
          <w:bCs/>
          <w:sz w:val="24"/>
          <w:lang w:val="en-US"/>
        </w:rPr>
        <w:t>GE</w:t>
      </w:r>
      <w:r w:rsidRPr="00E161B2">
        <w:rPr>
          <w:rFonts w:ascii="Arial Narrow" w:eastAsia="Arial Narrow" w:hAnsi="Arial Narrow" w:cs="Arial Narrow"/>
          <w:b/>
          <w:bCs/>
          <w:spacing w:val="-1"/>
          <w:sz w:val="24"/>
          <w:lang w:val="en-US"/>
        </w:rPr>
        <w:t>N</w:t>
      </w:r>
      <w:r w:rsidRPr="00E161B2">
        <w:rPr>
          <w:rFonts w:ascii="Arial Narrow" w:eastAsia="Arial Narrow" w:hAnsi="Arial Narrow" w:cs="Arial Narrow"/>
          <w:b/>
          <w:bCs/>
          <w:sz w:val="24"/>
          <w:lang w:val="en-US"/>
        </w:rPr>
        <w:t>E</w:t>
      </w:r>
      <w:r w:rsidRPr="00E161B2">
        <w:rPr>
          <w:rFonts w:ascii="Arial Narrow" w:eastAsia="Arial Narrow" w:hAnsi="Arial Narrow" w:cs="Arial Narrow"/>
          <w:b/>
          <w:bCs/>
          <w:spacing w:val="-1"/>
          <w:sz w:val="24"/>
          <w:lang w:val="en-US"/>
        </w:rPr>
        <w:t>RA</w:t>
      </w:r>
      <w:r w:rsidRPr="00E161B2">
        <w:rPr>
          <w:rFonts w:ascii="Arial Narrow" w:eastAsia="Arial Narrow" w:hAnsi="Arial Narrow" w:cs="Arial Narrow"/>
          <w:b/>
          <w:bCs/>
          <w:sz w:val="24"/>
          <w:lang w:val="en-US"/>
        </w:rPr>
        <w:t>L</w:t>
      </w:r>
      <w:r w:rsidRPr="00E161B2">
        <w:rPr>
          <w:rFonts w:ascii="Arial Narrow" w:eastAsia="Arial Narrow" w:hAnsi="Arial Narrow" w:cs="Arial Narrow"/>
          <w:b/>
          <w:bCs/>
          <w:spacing w:val="-6"/>
          <w:sz w:val="24"/>
          <w:lang w:val="en-US"/>
        </w:rPr>
        <w:t xml:space="preserve"> </w:t>
      </w:r>
      <w:r w:rsidRPr="00E161B2">
        <w:rPr>
          <w:rFonts w:ascii="Arial Narrow" w:eastAsia="Arial Narrow" w:hAnsi="Arial Narrow" w:cs="Arial Narrow"/>
          <w:b/>
          <w:bCs/>
          <w:sz w:val="24"/>
          <w:lang w:val="en-US"/>
        </w:rPr>
        <w:t>I</w:t>
      </w:r>
      <w:r w:rsidRPr="00E161B2">
        <w:rPr>
          <w:rFonts w:ascii="Arial Narrow" w:eastAsia="Arial Narrow" w:hAnsi="Arial Narrow" w:cs="Arial Narrow"/>
          <w:b/>
          <w:bCs/>
          <w:spacing w:val="-1"/>
          <w:sz w:val="24"/>
          <w:lang w:val="en-US"/>
        </w:rPr>
        <w:t>N</w:t>
      </w:r>
      <w:r w:rsidRPr="00E161B2">
        <w:rPr>
          <w:rFonts w:ascii="Arial Narrow" w:eastAsia="Arial Narrow" w:hAnsi="Arial Narrow" w:cs="Arial Narrow"/>
          <w:b/>
          <w:bCs/>
          <w:sz w:val="24"/>
          <w:lang w:val="en-US"/>
        </w:rPr>
        <w:t>S</w:t>
      </w:r>
      <w:r w:rsidRPr="00E161B2">
        <w:rPr>
          <w:rFonts w:ascii="Arial Narrow" w:eastAsia="Arial Narrow" w:hAnsi="Arial Narrow" w:cs="Arial Narrow"/>
          <w:b/>
          <w:bCs/>
          <w:spacing w:val="1"/>
          <w:sz w:val="24"/>
          <w:lang w:val="en-US"/>
        </w:rPr>
        <w:t>TR</w:t>
      </w:r>
      <w:r w:rsidRPr="00E161B2">
        <w:rPr>
          <w:rFonts w:ascii="Arial Narrow" w:eastAsia="Arial Narrow" w:hAnsi="Arial Narrow" w:cs="Arial Narrow"/>
          <w:b/>
          <w:bCs/>
          <w:spacing w:val="-1"/>
          <w:sz w:val="24"/>
          <w:lang w:val="en-US"/>
        </w:rPr>
        <w:t>UC</w:t>
      </w:r>
      <w:r w:rsidRPr="00E161B2">
        <w:rPr>
          <w:rFonts w:ascii="Arial Narrow" w:eastAsia="Arial Narrow" w:hAnsi="Arial Narrow" w:cs="Arial Narrow"/>
          <w:b/>
          <w:bCs/>
          <w:spacing w:val="1"/>
          <w:sz w:val="24"/>
          <w:lang w:val="en-US"/>
        </w:rPr>
        <w:t>T</w:t>
      </w:r>
      <w:r w:rsidRPr="00E161B2">
        <w:rPr>
          <w:rFonts w:ascii="Arial Narrow" w:eastAsia="Arial Narrow" w:hAnsi="Arial Narrow" w:cs="Arial Narrow"/>
          <w:b/>
          <w:bCs/>
          <w:sz w:val="24"/>
          <w:lang w:val="en-US"/>
        </w:rPr>
        <w:t>IO</w:t>
      </w:r>
      <w:r w:rsidRPr="00E161B2">
        <w:rPr>
          <w:rFonts w:ascii="Arial Narrow" w:eastAsia="Arial Narrow" w:hAnsi="Arial Narrow" w:cs="Arial Narrow"/>
          <w:b/>
          <w:bCs/>
          <w:spacing w:val="-1"/>
          <w:sz w:val="24"/>
          <w:lang w:val="en-US"/>
        </w:rPr>
        <w:t>N</w:t>
      </w:r>
      <w:r w:rsidRPr="00E161B2">
        <w:rPr>
          <w:rFonts w:ascii="Arial Narrow" w:eastAsia="Arial Narrow" w:hAnsi="Arial Narrow" w:cs="Arial Narrow"/>
          <w:b/>
          <w:bCs/>
          <w:sz w:val="24"/>
          <w:lang w:val="en-US"/>
        </w:rPr>
        <w:t>S</w:t>
      </w:r>
    </w:p>
    <w:p w14:paraId="5A6EACF5" w14:textId="77777777" w:rsidR="004631F2" w:rsidRPr="00E161B2" w:rsidRDefault="004631F2" w:rsidP="004631F2">
      <w:pPr>
        <w:widowControl w:val="0"/>
        <w:ind w:right="241"/>
        <w:jc w:val="both"/>
        <w:rPr>
          <w:rFonts w:ascii="Arial Narrow" w:eastAsia="Arial Narrow" w:hAnsi="Arial Narrow" w:cs="Arial Narrow"/>
          <w:sz w:val="24"/>
          <w:lang w:val="en-US"/>
        </w:rPr>
      </w:pPr>
      <w:r w:rsidRPr="00E161B2">
        <w:rPr>
          <w:rFonts w:ascii="Arial Narrow" w:eastAsia="Arial Narrow" w:hAnsi="Arial Narrow" w:cs="Arial Narrow"/>
          <w:spacing w:val="1"/>
          <w:sz w:val="24"/>
          <w:lang w:val="en-US"/>
        </w:rPr>
        <w:t>FREQUENCY</w:t>
      </w:r>
      <w:r w:rsidRPr="00E161B2">
        <w:rPr>
          <w:rFonts w:ascii="Arial Narrow" w:eastAsia="Arial Narrow" w:hAnsi="Arial Narrow" w:cs="Arial Narrow"/>
          <w:spacing w:val="1"/>
          <w:sz w:val="24"/>
          <w:vertAlign w:val="superscript"/>
          <w:lang w:val="en-US"/>
        </w:rPr>
        <w:t>®</w:t>
      </w:r>
      <w:r w:rsidRPr="00E161B2">
        <w:rPr>
          <w:rFonts w:ascii="Arial Narrow" w:eastAsia="Arial Narrow" w:hAnsi="Arial Narrow" w:cs="Arial Narrow"/>
          <w:spacing w:val="1"/>
          <w:sz w:val="24"/>
          <w:lang w:val="en-US"/>
        </w:rPr>
        <w:t xml:space="preserve"> </w:t>
      </w:r>
      <w:r w:rsidRPr="00E161B2">
        <w:rPr>
          <w:rFonts w:ascii="Arial Narrow" w:hAnsi="Arial Narrow"/>
          <w:sz w:val="24"/>
          <w:szCs w:val="20"/>
        </w:rPr>
        <w:t>Herbicide</w:t>
      </w:r>
      <w:r w:rsidRPr="00E161B2">
        <w:rPr>
          <w:rFonts w:ascii="Arial Narrow" w:eastAsia="Arial Narrow" w:hAnsi="Arial Narrow" w:cs="Arial Narrow"/>
          <w:spacing w:val="-3"/>
          <w:sz w:val="24"/>
          <w:lang w:val="en-US"/>
        </w:rPr>
        <w:t xml:space="preserve"> </w:t>
      </w:r>
      <w:r w:rsidRPr="00E161B2">
        <w:rPr>
          <w:rFonts w:ascii="Arial Narrow" w:eastAsia="Arial Narrow" w:hAnsi="Arial Narrow" w:cs="Arial Narrow"/>
          <w:sz w:val="24"/>
          <w:lang w:val="en-US"/>
        </w:rPr>
        <w:t>is a</w:t>
      </w:r>
      <w:r w:rsidRPr="00E161B2">
        <w:rPr>
          <w:rFonts w:ascii="Arial Narrow" w:eastAsia="Arial Narrow" w:hAnsi="Arial Narrow" w:cs="Arial Narrow"/>
          <w:spacing w:val="-1"/>
          <w:sz w:val="24"/>
          <w:lang w:val="en-US"/>
        </w:rPr>
        <w:t xml:space="preserve"> p</w:t>
      </w:r>
      <w:r w:rsidRPr="00E161B2">
        <w:rPr>
          <w:rFonts w:ascii="Arial Narrow" w:eastAsia="Arial Narrow" w:hAnsi="Arial Narrow" w:cs="Arial Narrow"/>
          <w:spacing w:val="2"/>
          <w:sz w:val="24"/>
          <w:lang w:val="en-US"/>
        </w:rPr>
        <w:t>o</w:t>
      </w:r>
      <w:r w:rsidRPr="00E161B2">
        <w:rPr>
          <w:rFonts w:ascii="Arial Narrow" w:eastAsia="Arial Narrow" w:hAnsi="Arial Narrow" w:cs="Arial Narrow"/>
          <w:sz w:val="24"/>
          <w:lang w:val="en-US"/>
        </w:rPr>
        <w:t>s</w:t>
      </w:r>
      <w:r w:rsidRPr="00E161B2">
        <w:rPr>
          <w:rFonts w:ascii="Arial Narrow" w:eastAsia="Arial Narrow" w:hAnsi="Arial Narrow" w:cs="Arial Narrow"/>
          <w:spacing w:val="2"/>
          <w:sz w:val="24"/>
          <w:lang w:val="en-US"/>
        </w:rPr>
        <w:t>t</w:t>
      </w:r>
      <w:r w:rsidRPr="00E161B2">
        <w:rPr>
          <w:rFonts w:ascii="Arial Narrow" w:eastAsia="Arial Narrow" w:hAnsi="Arial Narrow" w:cs="Arial Narrow"/>
          <w:spacing w:val="-1"/>
          <w:sz w:val="24"/>
          <w:lang w:val="en-US"/>
        </w:rPr>
        <w:t>-</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g</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nce,</w:t>
      </w:r>
      <w:r w:rsidRPr="00E161B2">
        <w:rPr>
          <w:rFonts w:ascii="Arial Narrow" w:eastAsia="Arial Narrow" w:hAnsi="Arial Narrow" w:cs="Arial Narrow"/>
          <w:spacing w:val="-1"/>
          <w:sz w:val="24"/>
          <w:lang w:val="en-US"/>
        </w:rPr>
        <w:t xml:space="preserve"> contact </w:t>
      </w:r>
      <w:r w:rsidRPr="00E161B2">
        <w:rPr>
          <w:rFonts w:ascii="Arial Narrow" w:eastAsia="Arial Narrow" w:hAnsi="Arial Narrow" w:cs="Arial Narrow"/>
          <w:spacing w:val="2"/>
          <w:sz w:val="24"/>
          <w:lang w:val="en-US"/>
        </w:rPr>
        <w:t>f</w:t>
      </w:r>
      <w:r w:rsidRPr="00E161B2">
        <w:rPr>
          <w:rFonts w:ascii="Arial Narrow" w:eastAsia="Arial Narrow" w:hAnsi="Arial Narrow" w:cs="Arial Narrow"/>
          <w:sz w:val="24"/>
          <w:lang w:val="en-US"/>
        </w:rPr>
        <w:t>ol</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b</w:t>
      </w:r>
      <w:r w:rsidRPr="00E161B2">
        <w:rPr>
          <w:rFonts w:ascii="Arial Narrow" w:eastAsia="Arial Narrow" w:hAnsi="Arial Narrow" w:cs="Arial Narrow"/>
          <w:sz w:val="24"/>
          <w:lang w:val="en-US"/>
        </w:rPr>
        <w:t>s</w:t>
      </w:r>
      <w:r w:rsidRPr="00E161B2">
        <w:rPr>
          <w:rFonts w:ascii="Arial Narrow" w:eastAsia="Arial Narrow" w:hAnsi="Arial Narrow" w:cs="Arial Narrow"/>
          <w:spacing w:val="2"/>
          <w:sz w:val="24"/>
          <w:lang w:val="en-US"/>
        </w:rPr>
        <w:t>o</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b</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d</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herbicide and will not control weeds which emerge after application. FREQUENCY</w:t>
      </w:r>
      <w:r w:rsidRPr="00E161B2">
        <w:rPr>
          <w:rFonts w:ascii="Arial Narrow" w:eastAsia="Arial Narrow" w:hAnsi="Arial Narrow" w:cs="Arial Narrow"/>
          <w:sz w:val="24"/>
          <w:vertAlign w:val="superscript"/>
          <w:lang w:val="en-US"/>
        </w:rPr>
        <w:t>®</w:t>
      </w:r>
      <w:r w:rsidRPr="00E161B2">
        <w:rPr>
          <w:rFonts w:ascii="Arial Narrow" w:eastAsia="Arial Narrow" w:hAnsi="Arial Narrow" w:cs="Arial Narrow"/>
          <w:sz w:val="24"/>
          <w:lang w:val="en-US"/>
        </w:rPr>
        <w:t xml:space="preserve"> Herbicide will provide rapid bleaching of the target weeds. When mixed with </w:t>
      </w:r>
      <w:proofErr w:type="spellStart"/>
      <w:r w:rsidRPr="00E161B2">
        <w:rPr>
          <w:rFonts w:ascii="Arial Narrow" w:eastAsia="Arial Narrow" w:hAnsi="Arial Narrow" w:cs="Arial Narrow"/>
          <w:sz w:val="24"/>
          <w:lang w:val="en-US"/>
        </w:rPr>
        <w:t>bromoxynil</w:t>
      </w:r>
      <w:proofErr w:type="spellEnd"/>
      <w:r w:rsidRPr="00E161B2">
        <w:rPr>
          <w:rFonts w:ascii="Arial Narrow" w:eastAsia="Arial Narrow" w:hAnsi="Arial Narrow" w:cs="Arial Narrow"/>
          <w:sz w:val="24"/>
          <w:lang w:val="en-US"/>
        </w:rPr>
        <w:t xml:space="preserve"> according to the label, this additional activity will lead to rapid burning of target weeds. Both FREQUENCY</w:t>
      </w:r>
      <w:r w:rsidRPr="00E161B2">
        <w:rPr>
          <w:rFonts w:ascii="Arial Narrow" w:eastAsia="Arial Narrow" w:hAnsi="Arial Narrow" w:cs="Arial Narrow"/>
          <w:sz w:val="24"/>
          <w:vertAlign w:val="superscript"/>
          <w:lang w:val="en-US"/>
        </w:rPr>
        <w:t>®</w:t>
      </w:r>
      <w:r w:rsidRPr="00E161B2">
        <w:rPr>
          <w:rFonts w:ascii="Arial Narrow" w:eastAsia="Arial Narrow" w:hAnsi="Arial Narrow" w:cs="Arial Narrow"/>
          <w:sz w:val="24"/>
          <w:lang w:val="en-US"/>
        </w:rPr>
        <w:t xml:space="preserve"> </w:t>
      </w:r>
      <w:r w:rsidRPr="00E161B2">
        <w:rPr>
          <w:rFonts w:ascii="Arial Narrow" w:hAnsi="Arial Narrow"/>
          <w:sz w:val="24"/>
          <w:szCs w:val="20"/>
        </w:rPr>
        <w:t>Herbicide</w:t>
      </w:r>
      <w:r w:rsidRPr="00E161B2">
        <w:rPr>
          <w:rFonts w:ascii="Arial Narrow" w:eastAsia="Arial Narrow" w:hAnsi="Arial Narrow" w:cs="Arial Narrow"/>
          <w:sz w:val="24"/>
          <w:lang w:val="en-US"/>
        </w:rPr>
        <w:t xml:space="preserve"> and </w:t>
      </w:r>
      <w:proofErr w:type="spellStart"/>
      <w:r w:rsidRPr="00E161B2">
        <w:rPr>
          <w:rFonts w:ascii="Arial Narrow" w:eastAsia="Arial Narrow" w:hAnsi="Arial Narrow" w:cs="Arial Narrow"/>
          <w:sz w:val="24"/>
          <w:lang w:val="en-US"/>
        </w:rPr>
        <w:t>bromoxynil</w:t>
      </w:r>
      <w:proofErr w:type="spellEnd"/>
      <w:r w:rsidRPr="00E161B2">
        <w:rPr>
          <w:rFonts w:ascii="Arial Narrow" w:eastAsia="Arial Narrow" w:hAnsi="Arial Narrow" w:cs="Arial Narrow"/>
          <w:sz w:val="24"/>
          <w:lang w:val="en-US"/>
        </w:rPr>
        <w:t xml:space="preserve"> are light activated herbicides. Faster and more completed activity will be seen in higher light conditions. Due to the contact nature of FREQUENCY</w:t>
      </w:r>
      <w:r w:rsidRPr="00E161B2">
        <w:rPr>
          <w:rFonts w:ascii="Arial Narrow" w:eastAsia="Arial Narrow" w:hAnsi="Arial Narrow" w:cs="Arial Narrow"/>
          <w:sz w:val="24"/>
          <w:vertAlign w:val="superscript"/>
          <w:lang w:val="en-US"/>
        </w:rPr>
        <w:t>®</w:t>
      </w:r>
      <w:r w:rsidRPr="00E161B2">
        <w:rPr>
          <w:rFonts w:ascii="Arial Narrow" w:eastAsia="Arial Narrow" w:hAnsi="Arial Narrow" w:cs="Arial Narrow"/>
          <w:sz w:val="24"/>
          <w:lang w:val="en-US"/>
        </w:rPr>
        <w:t xml:space="preserve"> Herbicide applications early in the season where better coverage is possible will result in better control. In some instances, complete control of weeds may not be seen, however a significant reduction in biomass will be observed and weeds will likely be uncompetitive with the crop. </w:t>
      </w:r>
    </w:p>
    <w:p w14:paraId="62EE1023" w14:textId="77777777" w:rsidR="004631F2" w:rsidRPr="00E161B2" w:rsidRDefault="004631F2" w:rsidP="004631F2">
      <w:pPr>
        <w:widowControl w:val="0"/>
        <w:ind w:right="241"/>
        <w:jc w:val="both"/>
        <w:rPr>
          <w:rFonts w:ascii="Arial Narrow" w:eastAsia="Arial Narrow" w:hAnsi="Arial Narrow" w:cs="Arial Narrow"/>
          <w:sz w:val="24"/>
          <w:lang w:val="en-US"/>
        </w:rPr>
      </w:pPr>
    </w:p>
    <w:p w14:paraId="61EE0673" w14:textId="77777777" w:rsidR="004631F2" w:rsidRPr="00E161B2" w:rsidRDefault="004631F2" w:rsidP="004631F2">
      <w:pPr>
        <w:widowControl w:val="0"/>
        <w:ind w:right="241"/>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To ensure thorough weed coverage, FREQUENCY</w:t>
      </w:r>
      <w:r w:rsidRPr="00E161B2">
        <w:rPr>
          <w:rFonts w:ascii="Arial Narrow" w:eastAsia="Arial Narrow" w:hAnsi="Arial Narrow" w:cs="Arial Narrow"/>
          <w:sz w:val="24"/>
          <w:vertAlign w:val="superscript"/>
          <w:lang w:val="en-US"/>
        </w:rPr>
        <w:t>®</w:t>
      </w:r>
      <w:r w:rsidRPr="00E161B2">
        <w:rPr>
          <w:rFonts w:ascii="Arial Narrow" w:eastAsia="Arial Narrow" w:hAnsi="Arial Narrow" w:cs="Arial Narrow"/>
          <w:sz w:val="24"/>
          <w:lang w:val="en-US"/>
        </w:rPr>
        <w:t xml:space="preserve"> Herbicide should be applied in a minimum of 80L/ha water. </w:t>
      </w:r>
    </w:p>
    <w:p w14:paraId="037A4DA9" w14:textId="77777777" w:rsidR="004631F2" w:rsidRPr="00E161B2" w:rsidRDefault="004631F2" w:rsidP="004631F2">
      <w:pPr>
        <w:widowControl w:val="0"/>
        <w:spacing w:before="240"/>
        <w:ind w:right="-20"/>
        <w:jc w:val="both"/>
        <w:rPr>
          <w:rFonts w:ascii="Arial Narrow" w:eastAsia="Arial Narrow" w:hAnsi="Arial Narrow" w:cs="Arial Narrow"/>
          <w:sz w:val="24"/>
          <w:lang w:val="en-US"/>
        </w:rPr>
      </w:pPr>
      <w:r w:rsidRPr="00E161B2">
        <w:rPr>
          <w:rFonts w:ascii="Arial Narrow" w:eastAsia="Arial Narrow" w:hAnsi="Arial Narrow" w:cs="Arial Narrow"/>
          <w:b/>
          <w:bCs/>
          <w:spacing w:val="-1"/>
          <w:sz w:val="24"/>
          <w:lang w:val="en-US"/>
        </w:rPr>
        <w:t>M</w:t>
      </w:r>
      <w:r w:rsidRPr="00E161B2">
        <w:rPr>
          <w:rFonts w:ascii="Arial Narrow" w:eastAsia="Arial Narrow" w:hAnsi="Arial Narrow" w:cs="Arial Narrow"/>
          <w:b/>
          <w:bCs/>
          <w:sz w:val="24"/>
          <w:lang w:val="en-US"/>
        </w:rPr>
        <w:t>IX</w:t>
      </w:r>
      <w:r w:rsidRPr="00E161B2">
        <w:rPr>
          <w:rFonts w:ascii="Arial Narrow" w:eastAsia="Arial Narrow" w:hAnsi="Arial Narrow" w:cs="Arial Narrow"/>
          <w:b/>
          <w:bCs/>
          <w:spacing w:val="-1"/>
          <w:sz w:val="24"/>
          <w:lang w:val="en-US"/>
        </w:rPr>
        <w:t>IN</w:t>
      </w:r>
      <w:r w:rsidRPr="00E161B2">
        <w:rPr>
          <w:rFonts w:ascii="Arial Narrow" w:eastAsia="Arial Narrow" w:hAnsi="Arial Narrow" w:cs="Arial Narrow"/>
          <w:b/>
          <w:bCs/>
          <w:sz w:val="24"/>
          <w:lang w:val="en-US"/>
        </w:rPr>
        <w:t>G</w:t>
      </w:r>
    </w:p>
    <w:p w14:paraId="060204BF" w14:textId="77777777" w:rsidR="004631F2" w:rsidRPr="00E161B2" w:rsidRDefault="004631F2" w:rsidP="004631F2">
      <w:pPr>
        <w:widowControl w:val="0"/>
        <w:spacing w:line="242" w:lineRule="auto"/>
        <w:ind w:right="117"/>
        <w:jc w:val="both"/>
        <w:rPr>
          <w:rFonts w:ascii="Arial Narrow" w:eastAsia="Arial Narrow" w:hAnsi="Arial Narrow" w:cs="Arial Narrow"/>
          <w:sz w:val="24"/>
          <w:lang w:val="en-US"/>
        </w:rPr>
      </w:pP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alf</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fi</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l</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sp</w:t>
      </w:r>
      <w:r w:rsidRPr="00E161B2">
        <w:rPr>
          <w:rFonts w:ascii="Arial Narrow" w:eastAsia="Arial Narrow" w:hAnsi="Arial Narrow" w:cs="Arial Narrow"/>
          <w:spacing w:val="-2"/>
          <w:sz w:val="24"/>
          <w:lang w:val="en-US"/>
        </w:rPr>
        <w:t>r</w:t>
      </w:r>
      <w:r w:rsidRPr="00E161B2">
        <w:rPr>
          <w:rFonts w:ascii="Arial Narrow" w:eastAsia="Arial Narrow" w:hAnsi="Arial Narrow" w:cs="Arial Narrow"/>
          <w:sz w:val="24"/>
          <w:lang w:val="en-US"/>
        </w:rPr>
        <w:t>ay</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nk</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th</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c</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 xml:space="preserve"> w</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z w:val="24"/>
          <w:lang w:val="en-US"/>
        </w:rPr>
        <w:t>e</w:t>
      </w:r>
      <w:r w:rsidRPr="00E161B2">
        <w:rPr>
          <w:rFonts w:ascii="Arial Narrow" w:eastAsia="Arial Narrow" w:hAnsi="Arial Narrow" w:cs="Arial Narrow"/>
          <w:spacing w:val="-2"/>
          <w:sz w:val="24"/>
          <w:lang w:val="en-US"/>
        </w:rPr>
        <w:t>r</w:t>
      </w:r>
      <w:r w:rsidRPr="00E161B2">
        <w:rPr>
          <w:rFonts w:ascii="Arial Narrow" w:eastAsia="Arial Narrow" w:hAnsi="Arial Narrow" w:cs="Arial Narrow"/>
          <w:sz w:val="24"/>
          <w:lang w:val="en-US"/>
        </w:rPr>
        <w:t>.</w:t>
      </w:r>
      <w:r w:rsidRPr="00E161B2">
        <w:rPr>
          <w:rFonts w:ascii="Arial Narrow" w:eastAsia="Arial Narrow" w:hAnsi="Arial Narrow" w:cs="Arial Narrow"/>
          <w:spacing w:val="-1"/>
          <w:sz w:val="24"/>
          <w:lang w:val="en-US"/>
        </w:rPr>
        <w:t xml:space="preserve"> C</w:t>
      </w:r>
      <w:r w:rsidRPr="00E161B2">
        <w:rPr>
          <w:rFonts w:ascii="Arial Narrow" w:eastAsia="Arial Narrow" w:hAnsi="Arial Narrow" w:cs="Arial Narrow"/>
          <w:spacing w:val="2"/>
          <w:sz w:val="24"/>
          <w:lang w:val="en-US"/>
        </w:rPr>
        <w:t>o</w:t>
      </w:r>
      <w:r w:rsidRPr="00E161B2">
        <w:rPr>
          <w:rFonts w:ascii="Arial Narrow" w:eastAsia="Arial Narrow" w:hAnsi="Arial Narrow" w:cs="Arial Narrow"/>
          <w:spacing w:val="-1"/>
          <w:sz w:val="24"/>
          <w:lang w:val="en-US"/>
        </w:rPr>
        <w:t>mm</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ce a</w:t>
      </w:r>
      <w:r w:rsidRPr="00E161B2">
        <w:rPr>
          <w:rFonts w:ascii="Arial Narrow" w:eastAsia="Arial Narrow" w:hAnsi="Arial Narrow" w:cs="Arial Narrow"/>
          <w:spacing w:val="-1"/>
          <w:sz w:val="24"/>
          <w:lang w:val="en-US"/>
        </w:rPr>
        <w:t>g</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tion</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nd</w:t>
      </w:r>
      <w:r w:rsidRPr="00E161B2">
        <w:rPr>
          <w:rFonts w:ascii="Arial Narrow" w:eastAsia="Arial Narrow" w:hAnsi="Arial Narrow" w:cs="Arial Narrow"/>
          <w:spacing w:val="-1"/>
          <w:sz w:val="24"/>
          <w:lang w:val="en-US"/>
        </w:rPr>
        <w:t xml:space="preserve"> a</w:t>
      </w:r>
      <w:r w:rsidRPr="00E161B2">
        <w:rPr>
          <w:rFonts w:ascii="Arial Narrow" w:eastAsia="Arial Narrow" w:hAnsi="Arial Narrow" w:cs="Arial Narrow"/>
          <w:sz w:val="24"/>
          <w:lang w:val="en-US"/>
        </w:rPr>
        <w:t>dd</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q</w:t>
      </w:r>
      <w:r w:rsidRPr="00E161B2">
        <w:rPr>
          <w:rFonts w:ascii="Arial Narrow" w:eastAsia="Arial Narrow" w:hAnsi="Arial Narrow" w:cs="Arial Narrow"/>
          <w:sz w:val="24"/>
          <w:lang w:val="en-US"/>
        </w:rPr>
        <w:t>ui</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pacing w:val="2"/>
          <w:sz w:val="24"/>
          <w:lang w:val="en-US"/>
        </w:rPr>
        <w:t>e</w:t>
      </w:r>
      <w:r w:rsidRPr="00E161B2">
        <w:rPr>
          <w:rFonts w:ascii="Arial Narrow" w:eastAsia="Arial Narrow" w:hAnsi="Arial Narrow" w:cs="Arial Narrow"/>
          <w:sz w:val="24"/>
          <w:lang w:val="en-US"/>
        </w:rPr>
        <w:t>d</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pacing w:val="2"/>
          <w:sz w:val="24"/>
          <w:lang w:val="en-US"/>
        </w:rPr>
        <w:t>o</w:t>
      </w:r>
      <w:r w:rsidRPr="00E161B2">
        <w:rPr>
          <w:rFonts w:ascii="Arial Narrow" w:eastAsia="Arial Narrow" w:hAnsi="Arial Narrow" w:cs="Arial Narrow"/>
          <w:sz w:val="24"/>
          <w:lang w:val="en-US"/>
        </w:rPr>
        <w:t>u</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 xml:space="preserve">t </w:t>
      </w:r>
      <w:r w:rsidRPr="00E161B2">
        <w:rPr>
          <w:rFonts w:ascii="Arial Narrow" w:eastAsia="Arial Narrow" w:hAnsi="Arial Narrow" w:cs="Arial Narrow"/>
          <w:spacing w:val="-1"/>
          <w:sz w:val="24"/>
          <w:lang w:val="en-US"/>
        </w:rPr>
        <w:t>o</w:t>
      </w:r>
      <w:r w:rsidRPr="00E161B2">
        <w:rPr>
          <w:rFonts w:ascii="Arial Narrow" w:eastAsia="Arial Narrow" w:hAnsi="Arial Narrow" w:cs="Arial Narrow"/>
          <w:sz w:val="24"/>
          <w:lang w:val="en-US"/>
        </w:rPr>
        <w:t>f</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p</w:t>
      </w:r>
      <w:r w:rsidRPr="00E161B2">
        <w:rPr>
          <w:rFonts w:ascii="Arial Narrow" w:eastAsia="Arial Narrow" w:hAnsi="Arial Narrow" w:cs="Arial Narrow"/>
          <w:spacing w:val="-2"/>
          <w:sz w:val="24"/>
          <w:lang w:val="en-US"/>
        </w:rPr>
        <w:t>r</w:t>
      </w:r>
      <w:r w:rsidRPr="00E161B2">
        <w:rPr>
          <w:rFonts w:ascii="Arial Narrow" w:eastAsia="Arial Narrow" w:hAnsi="Arial Narrow" w:cs="Arial Narrow"/>
          <w:spacing w:val="2"/>
          <w:sz w:val="24"/>
          <w:lang w:val="en-US"/>
        </w:rPr>
        <w:t>o</w:t>
      </w:r>
      <w:r w:rsidRPr="00E161B2">
        <w:rPr>
          <w:rFonts w:ascii="Arial Narrow" w:eastAsia="Arial Narrow" w:hAnsi="Arial Narrow" w:cs="Arial Narrow"/>
          <w:sz w:val="24"/>
          <w:lang w:val="en-US"/>
        </w:rPr>
        <w:t>d</w:t>
      </w:r>
      <w:r w:rsidRPr="00E161B2">
        <w:rPr>
          <w:rFonts w:ascii="Arial Narrow" w:eastAsia="Arial Narrow" w:hAnsi="Arial Narrow" w:cs="Arial Narrow"/>
          <w:spacing w:val="-1"/>
          <w:sz w:val="24"/>
          <w:lang w:val="en-US"/>
        </w:rPr>
        <w:t>u</w:t>
      </w:r>
      <w:r w:rsidRPr="00E161B2">
        <w:rPr>
          <w:rFonts w:ascii="Arial Narrow" w:eastAsia="Arial Narrow" w:hAnsi="Arial Narrow" w:cs="Arial Narrow"/>
          <w:sz w:val="24"/>
          <w:lang w:val="en-US"/>
        </w:rPr>
        <w:t xml:space="preserve">ct </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pacing w:val="2"/>
          <w:sz w:val="24"/>
          <w:lang w:val="en-US"/>
        </w:rPr>
        <w:t>n</w:t>
      </w:r>
      <w:r w:rsidRPr="00E161B2">
        <w:rPr>
          <w:rFonts w:ascii="Arial Narrow" w:eastAsia="Arial Narrow" w:hAnsi="Arial Narrow" w:cs="Arial Narrow"/>
          <w:sz w:val="24"/>
          <w:lang w:val="en-US"/>
        </w:rPr>
        <w:t xml:space="preserve">k. </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z w:val="24"/>
          <w:lang w:val="en-US"/>
        </w:rPr>
        <w:t>aint</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g</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tion</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z w:val="24"/>
          <w:lang w:val="en-US"/>
        </w:rPr>
        <w:t>hi</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st</w:t>
      </w:r>
      <w:r w:rsidRPr="00E161B2">
        <w:rPr>
          <w:rFonts w:ascii="Arial Narrow" w:eastAsia="Arial Narrow" w:hAnsi="Arial Narrow" w:cs="Arial Narrow"/>
          <w:spacing w:val="-1"/>
          <w:sz w:val="24"/>
          <w:lang w:val="en-US"/>
        </w:rPr>
        <w:t xml:space="preserve"> f</w:t>
      </w:r>
      <w:r w:rsidRPr="00E161B2">
        <w:rPr>
          <w:rFonts w:ascii="Arial Narrow" w:eastAsia="Arial Narrow" w:hAnsi="Arial Narrow" w:cs="Arial Narrow"/>
          <w:spacing w:val="1"/>
          <w:sz w:val="24"/>
          <w:lang w:val="en-US"/>
        </w:rPr>
        <w:t>ill</w:t>
      </w:r>
      <w:r w:rsidRPr="00E161B2">
        <w:rPr>
          <w:rFonts w:ascii="Arial Narrow" w:eastAsia="Arial Narrow" w:hAnsi="Arial Narrow" w:cs="Arial Narrow"/>
          <w:spacing w:val="6"/>
          <w:sz w:val="24"/>
          <w:lang w:val="en-US"/>
        </w:rPr>
        <w:t>i</w:t>
      </w:r>
      <w:r w:rsidRPr="00E161B2">
        <w:rPr>
          <w:rFonts w:ascii="Arial Narrow" w:eastAsia="Arial Narrow" w:hAnsi="Arial Narrow" w:cs="Arial Narrow"/>
          <w:sz w:val="24"/>
          <w:lang w:val="en-US"/>
        </w:rPr>
        <w:t>ng</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 t</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 xml:space="preserve">nk </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nd</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u</w:t>
      </w:r>
      <w:r w:rsidRPr="00E161B2">
        <w:rPr>
          <w:rFonts w:ascii="Arial Narrow" w:eastAsia="Arial Narrow" w:hAnsi="Arial Narrow" w:cs="Arial Narrow"/>
          <w:sz w:val="24"/>
          <w:lang w:val="en-US"/>
        </w:rPr>
        <w:t>g</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u</w:t>
      </w:r>
      <w:r w:rsidRPr="00E161B2">
        <w:rPr>
          <w:rFonts w:ascii="Arial Narrow" w:eastAsia="Arial Narrow" w:hAnsi="Arial Narrow" w:cs="Arial Narrow"/>
          <w:sz w:val="24"/>
          <w:lang w:val="en-US"/>
        </w:rPr>
        <w:t xml:space="preserve">t </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z w:val="24"/>
          <w:lang w:val="en-US"/>
        </w:rPr>
        <w:t>he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sp</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ay</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ng</w:t>
      </w:r>
      <w:r w:rsidRPr="00E161B2">
        <w:rPr>
          <w:rFonts w:ascii="Arial Narrow" w:eastAsia="Arial Narrow" w:hAnsi="Arial Narrow" w:cs="Arial Narrow"/>
          <w:spacing w:val="-1"/>
          <w:sz w:val="24"/>
          <w:lang w:val="en-US"/>
        </w:rPr>
        <w:t xml:space="preserve"> o</w:t>
      </w:r>
      <w:r w:rsidRPr="00E161B2">
        <w:rPr>
          <w:rFonts w:ascii="Arial Narrow" w:eastAsia="Arial Narrow" w:hAnsi="Arial Narrow" w:cs="Arial Narrow"/>
          <w:sz w:val="24"/>
          <w:lang w:val="en-US"/>
        </w:rPr>
        <w:t>p</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 xml:space="preserve">. </w:t>
      </w:r>
    </w:p>
    <w:p w14:paraId="167CB748" w14:textId="77777777" w:rsidR="004631F2" w:rsidRPr="00E161B2" w:rsidRDefault="004631F2" w:rsidP="004631F2">
      <w:pPr>
        <w:widowControl w:val="0"/>
        <w:spacing w:line="242" w:lineRule="auto"/>
        <w:ind w:right="117"/>
        <w:jc w:val="both"/>
        <w:rPr>
          <w:rFonts w:ascii="Arial Narrow" w:eastAsia="Arial Narrow" w:hAnsi="Arial Narrow" w:cs="Arial Narrow"/>
          <w:sz w:val="24"/>
          <w:lang w:val="en-US"/>
        </w:rPr>
      </w:pPr>
    </w:p>
    <w:p w14:paraId="498FF8DB" w14:textId="77777777" w:rsidR="004631F2" w:rsidRPr="00E161B2" w:rsidRDefault="004631F2" w:rsidP="004631F2">
      <w:pPr>
        <w:widowControl w:val="0"/>
        <w:spacing w:line="242" w:lineRule="auto"/>
        <w:ind w:right="117"/>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FREQUENCY</w:t>
      </w:r>
      <w:r w:rsidRPr="00E161B2">
        <w:rPr>
          <w:rFonts w:ascii="Arial Narrow" w:eastAsia="Arial Narrow" w:hAnsi="Arial Narrow" w:cs="Arial Narrow"/>
          <w:sz w:val="24"/>
          <w:vertAlign w:val="superscript"/>
          <w:lang w:val="en-US"/>
        </w:rPr>
        <w:t>®</w:t>
      </w:r>
      <w:r w:rsidRPr="00E161B2">
        <w:rPr>
          <w:rFonts w:ascii="Arial Narrow" w:eastAsia="Arial Narrow" w:hAnsi="Arial Narrow" w:cs="Arial Narrow"/>
          <w:sz w:val="24"/>
          <w:lang w:val="en-US"/>
        </w:rPr>
        <w:t xml:space="preserve"> </w:t>
      </w:r>
      <w:r w:rsidRPr="00E161B2">
        <w:rPr>
          <w:rFonts w:ascii="Arial Narrow" w:hAnsi="Arial Narrow"/>
          <w:sz w:val="24"/>
          <w:szCs w:val="20"/>
        </w:rPr>
        <w:t>Herbicide</w:t>
      </w:r>
      <w:r w:rsidRPr="00E161B2">
        <w:rPr>
          <w:rFonts w:ascii="Arial Narrow" w:eastAsia="Arial Narrow" w:hAnsi="Arial Narrow" w:cs="Arial Narrow"/>
          <w:sz w:val="24"/>
          <w:lang w:val="en-US"/>
        </w:rPr>
        <w:t xml:space="preserve"> is a </w:t>
      </w:r>
      <w:proofErr w:type="spellStart"/>
      <w:r w:rsidRPr="00E161B2">
        <w:rPr>
          <w:rFonts w:ascii="Arial Narrow" w:eastAsia="Arial Narrow" w:hAnsi="Arial Narrow" w:cs="Arial Narrow"/>
          <w:sz w:val="24"/>
          <w:lang w:val="en-US"/>
        </w:rPr>
        <w:t>suspo</w:t>
      </w:r>
      <w:proofErr w:type="spellEnd"/>
      <w:r w:rsidRPr="00E161B2">
        <w:rPr>
          <w:rFonts w:ascii="Arial Narrow" w:eastAsia="Arial Narrow" w:hAnsi="Arial Narrow" w:cs="Arial Narrow"/>
          <w:sz w:val="24"/>
          <w:lang w:val="en-US"/>
        </w:rPr>
        <w:t>-emulsion formulation. When using in a tank mix with other herbicides the following mix order should be observed;</w:t>
      </w:r>
    </w:p>
    <w:p w14:paraId="334AD023" w14:textId="77777777" w:rsidR="004631F2" w:rsidRPr="00E161B2" w:rsidRDefault="004631F2" w:rsidP="00EB427D">
      <w:pPr>
        <w:widowControl w:val="0"/>
        <w:numPr>
          <w:ilvl w:val="0"/>
          <w:numId w:val="12"/>
        </w:numPr>
        <w:spacing w:line="242" w:lineRule="auto"/>
        <w:ind w:right="117"/>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half fill the spray tank;</w:t>
      </w:r>
    </w:p>
    <w:p w14:paraId="581F9BBD" w14:textId="77777777" w:rsidR="004631F2" w:rsidRPr="00E161B2" w:rsidRDefault="004631F2" w:rsidP="00EB427D">
      <w:pPr>
        <w:widowControl w:val="0"/>
        <w:numPr>
          <w:ilvl w:val="0"/>
          <w:numId w:val="12"/>
        </w:numPr>
        <w:spacing w:line="242" w:lineRule="auto"/>
        <w:ind w:right="117"/>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add any granule (WG) formulated products first and allow dispersion, followed by any suspension concentrates (SC/</w:t>
      </w:r>
      <w:proofErr w:type="spellStart"/>
      <w:r w:rsidRPr="00E161B2">
        <w:rPr>
          <w:rFonts w:ascii="Arial Narrow" w:eastAsia="Arial Narrow" w:hAnsi="Arial Narrow" w:cs="Arial Narrow"/>
          <w:sz w:val="24"/>
          <w:lang w:val="en-US"/>
        </w:rPr>
        <w:t>flowable</w:t>
      </w:r>
      <w:proofErr w:type="spellEnd"/>
      <w:r w:rsidRPr="00E161B2">
        <w:rPr>
          <w:rFonts w:ascii="Arial Narrow" w:eastAsia="Arial Narrow" w:hAnsi="Arial Narrow" w:cs="Arial Narrow"/>
          <w:sz w:val="24"/>
          <w:lang w:val="en-US"/>
        </w:rPr>
        <w:t>);</w:t>
      </w:r>
    </w:p>
    <w:p w14:paraId="4FA6975F" w14:textId="77777777" w:rsidR="004631F2" w:rsidRPr="00E161B2" w:rsidRDefault="004631F2" w:rsidP="00EB427D">
      <w:pPr>
        <w:widowControl w:val="0"/>
        <w:numPr>
          <w:ilvl w:val="0"/>
          <w:numId w:val="12"/>
        </w:numPr>
        <w:spacing w:line="242" w:lineRule="auto"/>
        <w:ind w:right="117"/>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add any water-soluble salts;</w:t>
      </w:r>
    </w:p>
    <w:p w14:paraId="4509FF10" w14:textId="77777777" w:rsidR="004631F2" w:rsidRPr="00E161B2" w:rsidRDefault="004631F2" w:rsidP="00EB427D">
      <w:pPr>
        <w:widowControl w:val="0"/>
        <w:numPr>
          <w:ilvl w:val="0"/>
          <w:numId w:val="12"/>
        </w:numPr>
        <w:spacing w:line="242" w:lineRule="auto"/>
        <w:ind w:right="117"/>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add FREQUENCY</w:t>
      </w:r>
      <w:r w:rsidRPr="00E161B2">
        <w:rPr>
          <w:rFonts w:ascii="Arial Narrow" w:eastAsia="Arial Narrow" w:hAnsi="Arial Narrow" w:cs="Arial Narrow"/>
          <w:sz w:val="24"/>
          <w:vertAlign w:val="superscript"/>
          <w:lang w:val="en-US"/>
        </w:rPr>
        <w:t>®</w:t>
      </w:r>
      <w:r w:rsidRPr="00E161B2">
        <w:rPr>
          <w:rFonts w:ascii="Arial Narrow" w:eastAsia="Arial Narrow" w:hAnsi="Arial Narrow" w:cs="Arial Narrow"/>
          <w:sz w:val="24"/>
          <w:lang w:val="en-US"/>
        </w:rPr>
        <w:t xml:space="preserve"> Herbicide and any EC formulations;</w:t>
      </w:r>
    </w:p>
    <w:p w14:paraId="2B8AE3B4" w14:textId="77777777" w:rsidR="004631F2" w:rsidRPr="00E161B2" w:rsidRDefault="004631F2" w:rsidP="00EB427D">
      <w:pPr>
        <w:widowControl w:val="0"/>
        <w:numPr>
          <w:ilvl w:val="0"/>
          <w:numId w:val="12"/>
        </w:numPr>
        <w:spacing w:line="242" w:lineRule="auto"/>
        <w:ind w:right="117"/>
        <w:jc w:val="both"/>
        <w:rPr>
          <w:rFonts w:ascii="Arial Narrow" w:eastAsia="Arial Narrow" w:hAnsi="Arial Narrow" w:cs="Arial Narrow"/>
          <w:sz w:val="24"/>
          <w:lang w:val="en-US"/>
        </w:rPr>
      </w:pPr>
      <w:proofErr w:type="gramStart"/>
      <w:r w:rsidRPr="00E161B2">
        <w:rPr>
          <w:rFonts w:ascii="Arial Narrow" w:eastAsia="Arial Narrow" w:hAnsi="Arial Narrow" w:cs="Arial Narrow"/>
          <w:sz w:val="24"/>
          <w:lang w:val="en-US"/>
        </w:rPr>
        <w:t>add</w:t>
      </w:r>
      <w:proofErr w:type="gramEnd"/>
      <w:r w:rsidRPr="00E161B2">
        <w:rPr>
          <w:rFonts w:ascii="Arial Narrow" w:eastAsia="Arial Narrow" w:hAnsi="Arial Narrow" w:cs="Arial Narrow"/>
          <w:sz w:val="24"/>
          <w:lang w:val="en-US"/>
        </w:rPr>
        <w:t xml:space="preserve"> any adjuvants as recommended.</w:t>
      </w:r>
    </w:p>
    <w:p w14:paraId="0A4E3088" w14:textId="77777777" w:rsidR="004631F2" w:rsidRPr="00E161B2" w:rsidRDefault="004631F2" w:rsidP="004631F2">
      <w:pPr>
        <w:widowControl w:val="0"/>
        <w:spacing w:line="242" w:lineRule="auto"/>
        <w:ind w:right="117"/>
        <w:jc w:val="both"/>
        <w:rPr>
          <w:rFonts w:ascii="Arial Narrow" w:eastAsia="Arial Narrow" w:hAnsi="Arial Narrow" w:cs="Arial Narrow"/>
          <w:sz w:val="24"/>
          <w:lang w:val="en-US"/>
        </w:rPr>
      </w:pPr>
    </w:p>
    <w:p w14:paraId="74A89776" w14:textId="77777777" w:rsidR="004631F2" w:rsidRPr="00E161B2" w:rsidRDefault="004631F2" w:rsidP="004631F2">
      <w:pPr>
        <w:widowControl w:val="0"/>
        <w:spacing w:line="242" w:lineRule="auto"/>
        <w:ind w:right="117"/>
        <w:jc w:val="both"/>
        <w:rPr>
          <w:rFonts w:ascii="Arial Narrow" w:eastAsia="Arial Narrow" w:hAnsi="Arial Narrow" w:cs="Arial Narrow"/>
          <w:b/>
          <w:sz w:val="24"/>
          <w:lang w:val="en-US"/>
        </w:rPr>
      </w:pPr>
      <w:r w:rsidRPr="00E161B2">
        <w:rPr>
          <w:rFonts w:ascii="Arial Narrow" w:eastAsia="Arial Narrow" w:hAnsi="Arial Narrow" w:cs="Arial Narrow"/>
          <w:b/>
          <w:sz w:val="24"/>
          <w:lang w:val="en-US"/>
        </w:rPr>
        <w:t>Adjuvants</w:t>
      </w:r>
    </w:p>
    <w:p w14:paraId="02C783B4" w14:textId="77777777" w:rsidR="004631F2" w:rsidRPr="00E161B2" w:rsidRDefault="004631F2" w:rsidP="004631F2">
      <w:pPr>
        <w:widowControl w:val="0"/>
        <w:spacing w:line="242" w:lineRule="auto"/>
        <w:ind w:right="117"/>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FREQUENCY</w:t>
      </w:r>
      <w:r w:rsidRPr="00E161B2">
        <w:rPr>
          <w:rFonts w:ascii="Arial Narrow" w:eastAsia="Arial Narrow" w:hAnsi="Arial Narrow" w:cs="Arial Narrow"/>
          <w:sz w:val="24"/>
          <w:vertAlign w:val="superscript"/>
          <w:lang w:val="en-US"/>
        </w:rPr>
        <w:t>®</w:t>
      </w:r>
      <w:r w:rsidRPr="00E161B2">
        <w:rPr>
          <w:rFonts w:ascii="Arial Narrow" w:eastAsia="Arial Narrow" w:hAnsi="Arial Narrow" w:cs="Arial Narrow"/>
          <w:sz w:val="24"/>
          <w:lang w:val="en-US"/>
        </w:rPr>
        <w:t xml:space="preserve"> Herbicide requires the use of an MSO type adjuvant such as Hasten to allow better uptake into the target weed for full efficacy. </w:t>
      </w:r>
      <w:r w:rsidRPr="001A6B74">
        <w:rPr>
          <w:rFonts w:ascii="Arial Narrow" w:eastAsia="Arial Narrow" w:hAnsi="Arial Narrow" w:cs="Arial Narrow"/>
          <w:sz w:val="24"/>
          <w:lang w:val="en-US"/>
        </w:rPr>
        <w:t>Use of non-ionic surfactants and mineral oil based adjuvants will likely result in reduced performance.</w:t>
      </w:r>
      <w:bookmarkStart w:id="65" w:name="_GoBack"/>
      <w:bookmarkEnd w:id="65"/>
    </w:p>
    <w:p w14:paraId="3B14515B" w14:textId="77777777" w:rsidR="004631F2" w:rsidRPr="00E161B2" w:rsidRDefault="004631F2" w:rsidP="004631F2">
      <w:pPr>
        <w:widowControl w:val="0"/>
        <w:spacing w:before="240"/>
        <w:ind w:right="-20"/>
        <w:jc w:val="both"/>
        <w:rPr>
          <w:rFonts w:ascii="Arial Narrow" w:eastAsia="Arial Narrow" w:hAnsi="Arial Narrow" w:cs="Arial Narrow"/>
          <w:b/>
          <w:bCs/>
          <w:sz w:val="24"/>
          <w:lang w:val="en-US"/>
        </w:rPr>
      </w:pPr>
      <w:r w:rsidRPr="00E161B2">
        <w:rPr>
          <w:rFonts w:ascii="Arial Narrow" w:eastAsia="Arial Narrow" w:hAnsi="Arial Narrow" w:cs="Arial Narrow"/>
          <w:b/>
          <w:bCs/>
          <w:spacing w:val="-1"/>
          <w:sz w:val="24"/>
          <w:lang w:val="en-US"/>
        </w:rPr>
        <w:t>A</w:t>
      </w:r>
      <w:r w:rsidRPr="00E161B2">
        <w:rPr>
          <w:rFonts w:ascii="Arial Narrow" w:eastAsia="Arial Narrow" w:hAnsi="Arial Narrow" w:cs="Arial Narrow"/>
          <w:b/>
          <w:bCs/>
          <w:sz w:val="24"/>
          <w:lang w:val="en-US"/>
        </w:rPr>
        <w:t>PP</w:t>
      </w:r>
      <w:r w:rsidRPr="00E161B2">
        <w:rPr>
          <w:rFonts w:ascii="Arial Narrow" w:eastAsia="Arial Narrow" w:hAnsi="Arial Narrow" w:cs="Arial Narrow"/>
          <w:b/>
          <w:bCs/>
          <w:spacing w:val="1"/>
          <w:sz w:val="24"/>
          <w:lang w:val="en-US"/>
        </w:rPr>
        <w:t>L</w:t>
      </w:r>
      <w:r w:rsidRPr="00E161B2">
        <w:rPr>
          <w:rFonts w:ascii="Arial Narrow" w:eastAsia="Arial Narrow" w:hAnsi="Arial Narrow" w:cs="Arial Narrow"/>
          <w:b/>
          <w:bCs/>
          <w:sz w:val="24"/>
          <w:lang w:val="en-US"/>
        </w:rPr>
        <w:t>I</w:t>
      </w:r>
      <w:r w:rsidRPr="00E161B2">
        <w:rPr>
          <w:rFonts w:ascii="Arial Narrow" w:eastAsia="Arial Narrow" w:hAnsi="Arial Narrow" w:cs="Arial Narrow"/>
          <w:b/>
          <w:bCs/>
          <w:spacing w:val="-1"/>
          <w:sz w:val="24"/>
          <w:lang w:val="en-US"/>
        </w:rPr>
        <w:t>CA</w:t>
      </w:r>
      <w:r w:rsidRPr="00E161B2">
        <w:rPr>
          <w:rFonts w:ascii="Arial Narrow" w:eastAsia="Arial Narrow" w:hAnsi="Arial Narrow" w:cs="Arial Narrow"/>
          <w:b/>
          <w:bCs/>
          <w:spacing w:val="1"/>
          <w:sz w:val="24"/>
          <w:lang w:val="en-US"/>
        </w:rPr>
        <w:t>T</w:t>
      </w:r>
      <w:r w:rsidRPr="00E161B2">
        <w:rPr>
          <w:rFonts w:ascii="Arial Narrow" w:eastAsia="Arial Narrow" w:hAnsi="Arial Narrow" w:cs="Arial Narrow"/>
          <w:b/>
          <w:bCs/>
          <w:sz w:val="24"/>
          <w:lang w:val="en-US"/>
        </w:rPr>
        <w:t>ION</w:t>
      </w:r>
    </w:p>
    <w:p w14:paraId="1581D60C" w14:textId="6C610A21" w:rsidR="004631F2" w:rsidRPr="00E161B2" w:rsidRDefault="004631F2" w:rsidP="004631F2">
      <w:pPr>
        <w:widowControl w:val="0"/>
        <w:ind w:right="-20"/>
        <w:jc w:val="both"/>
        <w:rPr>
          <w:rFonts w:ascii="Arial Narrow" w:eastAsia="Arial Narrow" w:hAnsi="Arial Narrow" w:cs="Arial Narrow"/>
          <w:sz w:val="24"/>
          <w:lang w:val="en-US"/>
        </w:rPr>
      </w:pPr>
      <w:r w:rsidRPr="00E161B2">
        <w:rPr>
          <w:rFonts w:ascii="Arial Narrow" w:eastAsia="Arial Narrow" w:hAnsi="Arial Narrow" w:cs="Arial Narrow"/>
          <w:b/>
          <w:bCs/>
          <w:i/>
          <w:iCs/>
          <w:sz w:val="24"/>
          <w:lang w:val="en-US"/>
        </w:rPr>
        <w:t>Ground application:</w:t>
      </w:r>
      <w:r w:rsidRPr="00E161B2">
        <w:rPr>
          <w:rFonts w:ascii="Arial Narrow" w:eastAsia="Arial Narrow" w:hAnsi="Arial Narrow" w:cs="Arial Narrow"/>
          <w:sz w:val="24"/>
          <w:lang w:val="en-US"/>
        </w:rPr>
        <w:t xml:space="preserve"> Apply with flat fan nozzles in a spray volume of 80</w:t>
      </w:r>
      <w:r w:rsidR="002B04B9">
        <w:rPr>
          <w:rFonts w:ascii="Arial Narrow" w:eastAsia="Arial Narrow" w:hAnsi="Arial Narrow" w:cs="Arial Narrow"/>
          <w:sz w:val="24"/>
          <w:lang w:val="en-US"/>
        </w:rPr>
        <w:t>–</w:t>
      </w:r>
      <w:r w:rsidRPr="00E161B2">
        <w:rPr>
          <w:rFonts w:ascii="Arial Narrow" w:eastAsia="Arial Narrow" w:hAnsi="Arial Narrow" w:cs="Arial Narrow"/>
          <w:sz w:val="24"/>
          <w:lang w:val="en-US"/>
        </w:rPr>
        <w:t>150L of water per hectare using standard boom spraying equipment. Application as a MEDIUM spray quality (defined by ASAE S572 Standard) using air induction nozzles is recommended. In advanced or dense weed infestations and/or dense crop canopies, increase the water volume to ensure adequate coverage.</w:t>
      </w:r>
    </w:p>
    <w:p w14:paraId="30FD4781" w14:textId="77777777" w:rsidR="004631F2" w:rsidRDefault="004631F2" w:rsidP="004631F2">
      <w:pPr>
        <w:widowControl w:val="0"/>
        <w:ind w:right="-20"/>
        <w:jc w:val="both"/>
        <w:rPr>
          <w:rFonts w:ascii="Arial Narrow" w:eastAsia="Arial Narrow" w:hAnsi="Arial Narrow" w:cs="Arial Narrow"/>
          <w:sz w:val="24"/>
          <w:lang w:val="en-US"/>
        </w:rPr>
      </w:pPr>
    </w:p>
    <w:p w14:paraId="7FACDBBA" w14:textId="77777777" w:rsidR="004631F2" w:rsidRPr="00E161B2" w:rsidRDefault="004631F2" w:rsidP="004631F2">
      <w:pPr>
        <w:shd w:val="clear" w:color="auto" w:fill="FFFFFF" w:themeFill="background1"/>
        <w:spacing w:before="120"/>
        <w:jc w:val="both"/>
        <w:rPr>
          <w:rFonts w:ascii="Arial Narrow" w:hAnsi="Arial Narrow"/>
          <w:b/>
          <w:sz w:val="24"/>
          <w:szCs w:val="20"/>
        </w:rPr>
      </w:pPr>
      <w:r w:rsidRPr="00E161B2">
        <w:rPr>
          <w:rFonts w:ascii="Arial Narrow" w:hAnsi="Arial Narrow"/>
          <w:b/>
          <w:sz w:val="24"/>
          <w:szCs w:val="20"/>
        </w:rPr>
        <w:t>RE-ENTRY PERIOD</w:t>
      </w:r>
    </w:p>
    <w:p w14:paraId="257673CB" w14:textId="77777777" w:rsidR="004631F2" w:rsidRDefault="004631F2" w:rsidP="004631F2">
      <w:pPr>
        <w:widowControl w:val="0"/>
        <w:ind w:right="-20"/>
        <w:jc w:val="both"/>
        <w:rPr>
          <w:rFonts w:ascii="Arial Narrow" w:hAnsi="Arial Narrow"/>
          <w:iCs/>
          <w:sz w:val="24"/>
        </w:rPr>
      </w:pPr>
      <w:r w:rsidRPr="00E161B2">
        <w:rPr>
          <w:rFonts w:ascii="Arial Narrow" w:hAnsi="Arial Narrow"/>
          <w:iCs/>
          <w:sz w:val="24"/>
        </w:rPr>
        <w:t xml:space="preserve">Do not allow entry into treated areas until spray has dried. If prior entry is necessary wear cotton overalls buttoned </w:t>
      </w:r>
      <w:r w:rsidRPr="00E161B2">
        <w:rPr>
          <w:rFonts w:ascii="Arial Narrow" w:hAnsi="Arial Narrow"/>
          <w:iCs/>
          <w:sz w:val="24"/>
        </w:rPr>
        <w:lastRenderedPageBreak/>
        <w:t>to the neck and wrist (or equivalent clothing) and chemical resistant gloves. Clothing must be laundered after each day's use.</w:t>
      </w:r>
    </w:p>
    <w:p w14:paraId="4C450B16" w14:textId="77777777" w:rsidR="004631F2" w:rsidRPr="00E161B2" w:rsidRDefault="004631F2" w:rsidP="004631F2">
      <w:pPr>
        <w:widowControl w:val="0"/>
        <w:ind w:right="-20"/>
        <w:jc w:val="both"/>
        <w:rPr>
          <w:rFonts w:ascii="Arial Narrow" w:eastAsia="Arial Narrow" w:hAnsi="Arial Narrow" w:cs="Arial Narrow"/>
          <w:sz w:val="24"/>
          <w:lang w:val="en-US"/>
        </w:rPr>
      </w:pPr>
    </w:p>
    <w:p w14:paraId="69126DC3" w14:textId="77777777" w:rsidR="004631F2" w:rsidRPr="00E161B2" w:rsidRDefault="004631F2" w:rsidP="004631F2">
      <w:pPr>
        <w:widowControl w:val="0"/>
        <w:ind w:right="-20"/>
        <w:jc w:val="both"/>
        <w:rPr>
          <w:rFonts w:ascii="Arial Narrow" w:eastAsia="Arial Narrow" w:hAnsi="Arial Narrow" w:cs="Arial Narrow"/>
          <w:b/>
          <w:bCs/>
          <w:sz w:val="24"/>
          <w:lang w:val="en-US"/>
        </w:rPr>
      </w:pPr>
      <w:r w:rsidRPr="00E161B2">
        <w:rPr>
          <w:rFonts w:ascii="Arial Narrow" w:eastAsia="Arial Narrow" w:hAnsi="Arial Narrow" w:cs="Arial Narrow"/>
          <w:b/>
          <w:bCs/>
          <w:sz w:val="24"/>
          <w:lang w:val="en-US"/>
        </w:rPr>
        <w:t xml:space="preserve">COMPATIBILITY </w:t>
      </w:r>
    </w:p>
    <w:p w14:paraId="0309CC47" w14:textId="4A71F2C6" w:rsidR="004631F2" w:rsidRPr="000C4659" w:rsidRDefault="004631F2" w:rsidP="004631F2">
      <w:pPr>
        <w:jc w:val="both"/>
        <w:rPr>
          <w:rFonts w:ascii="Arial Narrow" w:eastAsia="Arial Narrow" w:hAnsi="Arial Narrow" w:cs="Arial Narrow"/>
          <w:sz w:val="24"/>
          <w:lang w:val="en-US"/>
        </w:rPr>
      </w:pPr>
      <w:r w:rsidRPr="000C4659">
        <w:rPr>
          <w:rFonts w:ascii="Arial Narrow" w:eastAsia="Arial Narrow" w:hAnsi="Arial Narrow" w:cs="Arial Narrow"/>
          <w:sz w:val="24"/>
          <w:lang w:val="en-US"/>
        </w:rPr>
        <w:t>FREQUENCY</w:t>
      </w:r>
      <w:r w:rsidRPr="000C4659">
        <w:rPr>
          <w:rFonts w:ascii="Arial Narrow" w:eastAsia="Arial Narrow" w:hAnsi="Arial Narrow" w:cs="Arial Narrow"/>
          <w:sz w:val="24"/>
          <w:vertAlign w:val="superscript"/>
          <w:lang w:val="en-US"/>
        </w:rPr>
        <w:t>®</w:t>
      </w:r>
      <w:r w:rsidRPr="000C4659">
        <w:rPr>
          <w:rFonts w:ascii="Arial Narrow" w:eastAsia="Arial Narrow" w:hAnsi="Arial Narrow" w:cs="Arial Narrow"/>
          <w:sz w:val="24"/>
          <w:lang w:val="en-US"/>
        </w:rPr>
        <w:t xml:space="preserve"> Herbicide is physically compatible with </w:t>
      </w:r>
      <w:r w:rsidRPr="000C4659">
        <w:rPr>
          <w:rFonts w:ascii="Arial Narrow" w:eastAsia="SimSun" w:hAnsi="Arial Narrow" w:cs="Arial"/>
          <w:sz w:val="24"/>
        </w:rPr>
        <w:t>Axial</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w:t>
      </w:r>
      <w:r w:rsidRPr="000C4659">
        <w:rPr>
          <w:rFonts w:ascii="Arial Narrow" w:eastAsia="SimSun" w:hAnsi="Arial Narrow" w:cs="Arial"/>
          <w:sz w:val="24"/>
        </w:rPr>
        <w:t>,</w:t>
      </w:r>
      <w:r w:rsidRPr="000C4659">
        <w:rPr>
          <w:rFonts w:ascii="Arial Narrow" w:eastAsia="Arial Narrow" w:hAnsi="Arial Narrow" w:cs="Arial Narrow"/>
          <w:sz w:val="24"/>
          <w:lang w:val="en-US"/>
        </w:rPr>
        <w:t xml:space="preserve"> </w:t>
      </w:r>
      <w:proofErr w:type="spellStart"/>
      <w:r w:rsidRPr="000C4659">
        <w:rPr>
          <w:rFonts w:ascii="Arial Narrow" w:eastAsia="SimSun" w:hAnsi="Arial Narrow" w:cs="Arial"/>
          <w:sz w:val="24"/>
        </w:rPr>
        <w:t>Bromoxynil</w:t>
      </w:r>
      <w:proofErr w:type="spellEnd"/>
      <w:r w:rsidRPr="000C4659">
        <w:rPr>
          <w:rFonts w:ascii="Arial Narrow" w:eastAsia="SimSun" w:hAnsi="Arial Narrow" w:cs="Arial"/>
          <w:sz w:val="24"/>
        </w:rPr>
        <w:t xml:space="preserve"> (including </w:t>
      </w:r>
      <w:proofErr w:type="spellStart"/>
      <w:r w:rsidRPr="000C4659">
        <w:rPr>
          <w:rFonts w:ascii="Arial Narrow" w:eastAsia="Arial Narrow" w:hAnsi="Arial Narrow" w:cs="Arial Narrow"/>
          <w:sz w:val="24"/>
          <w:lang w:val="en-US"/>
        </w:rPr>
        <w:t>Bromicide</w:t>
      </w:r>
      <w:proofErr w:type="spellEnd"/>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 xml:space="preserve">* 200 </w:t>
      </w:r>
      <w:r w:rsidRPr="000C4659">
        <w:rPr>
          <w:rFonts w:ascii="Arial Narrow" w:hAnsi="Arial Narrow" w:cs="Helvetica-Bold"/>
          <w:bCs/>
          <w:sz w:val="24"/>
        </w:rPr>
        <w:t>Selective Herbicide</w:t>
      </w:r>
      <w:r w:rsidRPr="000C4659">
        <w:rPr>
          <w:rFonts w:ascii="Arial Narrow" w:eastAsia="Arial Narrow" w:hAnsi="Arial Narrow" w:cs="Arial Narrow"/>
          <w:sz w:val="24"/>
          <w:lang w:val="en-US"/>
        </w:rPr>
        <w:t xml:space="preserve">, </w:t>
      </w:r>
      <w:r w:rsidRPr="000C4659">
        <w:rPr>
          <w:rFonts w:ascii="Arial Narrow" w:hAnsi="Arial Narrow" w:cs="Arial"/>
          <w:sz w:val="24"/>
          <w:shd w:val="clear" w:color="auto" w:fill="FFFFFF"/>
        </w:rPr>
        <w:t>Bronco</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w:t>
      </w:r>
      <w:r w:rsidRPr="000C4659">
        <w:rPr>
          <w:rFonts w:ascii="Arial Narrow" w:hAnsi="Arial Narrow" w:cs="Arial"/>
          <w:sz w:val="24"/>
          <w:shd w:val="clear" w:color="auto" w:fill="FFFFFF"/>
        </w:rPr>
        <w:t xml:space="preserve"> 200 Herbicide, </w:t>
      </w:r>
      <w:proofErr w:type="spellStart"/>
      <w:r w:rsidRPr="000C4659">
        <w:rPr>
          <w:rFonts w:ascii="Arial Narrow" w:hAnsi="Arial Narrow" w:cs="Arial"/>
          <w:sz w:val="24"/>
          <w:shd w:val="clear" w:color="auto" w:fill="FFFFFF"/>
        </w:rPr>
        <w:t>Genfarm</w:t>
      </w:r>
      <w:proofErr w:type="spellEnd"/>
      <w:r w:rsidRPr="000C4659">
        <w:rPr>
          <w:rFonts w:ascii="Arial Narrow" w:hAnsi="Arial Narrow" w:cs="Arial"/>
          <w:sz w:val="24"/>
          <w:shd w:val="clear" w:color="auto" w:fill="FFFFFF"/>
        </w:rPr>
        <w:t xml:space="preserve"> </w:t>
      </w:r>
      <w:proofErr w:type="spellStart"/>
      <w:r w:rsidRPr="000C4659">
        <w:rPr>
          <w:rFonts w:ascii="Arial Narrow" w:hAnsi="Arial Narrow" w:cs="Arial"/>
          <w:sz w:val="24"/>
          <w:shd w:val="clear" w:color="auto" w:fill="FFFFFF"/>
        </w:rPr>
        <w:t>Bromo</w:t>
      </w:r>
      <w:proofErr w:type="spellEnd"/>
      <w:r w:rsidRPr="000C4659">
        <w:rPr>
          <w:rFonts w:ascii="Arial Narrow" w:hAnsi="Arial Narrow" w:cs="Arial"/>
          <w:sz w:val="24"/>
          <w:shd w:val="clear" w:color="auto" w:fill="FFFFFF"/>
        </w:rPr>
        <w:t xml:space="preserve"> 200 Herbicide</w:t>
      </w:r>
      <w:r w:rsidRPr="000C4659">
        <w:rPr>
          <w:rFonts w:ascii="Arial Narrow" w:eastAsia="SimSun" w:hAnsi="Arial Narrow" w:cs="Arial"/>
          <w:sz w:val="24"/>
        </w:rPr>
        <w:t xml:space="preserve">, </w:t>
      </w:r>
      <w:r w:rsidRPr="000C4659">
        <w:rPr>
          <w:rFonts w:ascii="Arial Narrow" w:hAnsi="Arial Narrow" w:cs="Arial"/>
          <w:sz w:val="24"/>
          <w:shd w:val="clear" w:color="auto" w:fill="FFFFFF"/>
        </w:rPr>
        <w:t xml:space="preserve">Titan </w:t>
      </w:r>
      <w:proofErr w:type="spellStart"/>
      <w:r w:rsidRPr="000C4659">
        <w:rPr>
          <w:rFonts w:ascii="Arial Narrow" w:hAnsi="Arial Narrow" w:cs="Arial"/>
          <w:sz w:val="24"/>
          <w:shd w:val="clear" w:color="auto" w:fill="FFFFFF"/>
        </w:rPr>
        <w:t>Bromoxynil</w:t>
      </w:r>
      <w:proofErr w:type="spellEnd"/>
      <w:r w:rsidRPr="000C4659">
        <w:rPr>
          <w:rFonts w:ascii="Arial Narrow" w:hAnsi="Arial Narrow" w:cs="Arial"/>
          <w:sz w:val="24"/>
          <w:shd w:val="clear" w:color="auto" w:fill="FFFFFF"/>
        </w:rPr>
        <w:t xml:space="preserve"> 200 Selective Herbicide), </w:t>
      </w:r>
      <w:r w:rsidRPr="000C4659">
        <w:rPr>
          <w:rFonts w:ascii="Arial Narrow" w:hAnsi="Arial Narrow" w:cs="Arial"/>
          <w:sz w:val="24"/>
          <w:lang w:val="en-US"/>
        </w:rPr>
        <w:t>Flight</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w:t>
      </w:r>
      <w:r w:rsidR="00276C28">
        <w:rPr>
          <w:rFonts w:ascii="Arial Narrow" w:hAnsi="Arial Narrow" w:cs="Arial"/>
          <w:sz w:val="24"/>
          <w:lang w:val="en-US"/>
        </w:rPr>
        <w:t xml:space="preserve"> EC, </w:t>
      </w:r>
      <w:r w:rsidRPr="000C4659">
        <w:rPr>
          <w:rFonts w:ascii="Arial Narrow" w:eastAsia="SimSun" w:hAnsi="Arial Narrow" w:cs="Arial"/>
          <w:sz w:val="24"/>
        </w:rPr>
        <w:t xml:space="preserve">MCPA L.V.E (including </w:t>
      </w:r>
      <w:r w:rsidRPr="000C4659">
        <w:rPr>
          <w:rFonts w:ascii="Arial Narrow" w:hAnsi="Arial Narrow" w:cs="Arial"/>
          <w:sz w:val="24"/>
          <w:shd w:val="clear" w:color="auto" w:fill="FFFFFF"/>
        </w:rPr>
        <w:t>Polo</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w:t>
      </w:r>
      <w:r w:rsidRPr="000C4659">
        <w:rPr>
          <w:rFonts w:ascii="Arial Narrow" w:hAnsi="Arial Narrow" w:cs="Arial"/>
          <w:sz w:val="24"/>
          <w:shd w:val="clear" w:color="auto" w:fill="FFFFFF"/>
        </w:rPr>
        <w:t xml:space="preserve"> 570 LVE Herbicide,</w:t>
      </w:r>
      <w:r w:rsidRPr="000C4659">
        <w:rPr>
          <w:rFonts w:ascii="Arial Narrow" w:eastAsia="SimSun" w:hAnsi="Arial Narrow" w:cs="Arial"/>
          <w:sz w:val="24"/>
        </w:rPr>
        <w:t xml:space="preserve"> </w:t>
      </w:r>
      <w:proofErr w:type="spellStart"/>
      <w:r w:rsidRPr="000C4659">
        <w:rPr>
          <w:rFonts w:ascii="Arial Narrow" w:hAnsi="Arial Narrow" w:cs="Arial"/>
          <w:sz w:val="24"/>
          <w:shd w:val="clear" w:color="auto" w:fill="FFFFFF"/>
        </w:rPr>
        <w:t>Nufarm</w:t>
      </w:r>
      <w:proofErr w:type="spellEnd"/>
      <w:r w:rsidRPr="000C4659">
        <w:rPr>
          <w:rFonts w:ascii="Arial Narrow" w:hAnsi="Arial Narrow" w:cs="Arial"/>
          <w:sz w:val="24"/>
          <w:shd w:val="clear" w:color="auto" w:fill="FFFFFF"/>
        </w:rPr>
        <w:t xml:space="preserve"> LVE </w:t>
      </w:r>
      <w:proofErr w:type="spellStart"/>
      <w:r w:rsidRPr="000C4659">
        <w:rPr>
          <w:rFonts w:ascii="Arial Narrow" w:hAnsi="Arial Narrow" w:cs="Arial"/>
          <w:sz w:val="24"/>
          <w:shd w:val="clear" w:color="auto" w:fill="FFFFFF"/>
        </w:rPr>
        <w:t>Agritone</w:t>
      </w:r>
      <w:proofErr w:type="spellEnd"/>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w:t>
      </w:r>
      <w:r w:rsidRPr="000C4659">
        <w:rPr>
          <w:rFonts w:ascii="Arial Narrow" w:hAnsi="Arial Narrow" w:cs="Arial"/>
          <w:sz w:val="24"/>
          <w:shd w:val="clear" w:color="auto" w:fill="FFFFFF"/>
        </w:rPr>
        <w:t xml:space="preserve"> Selective Herbicide, </w:t>
      </w:r>
      <w:proofErr w:type="spellStart"/>
      <w:r w:rsidRPr="000C4659">
        <w:rPr>
          <w:rFonts w:ascii="Arial Narrow" w:hAnsi="Arial Narrow" w:cs="Arial"/>
          <w:sz w:val="24"/>
          <w:shd w:val="clear" w:color="auto" w:fill="FFFFFF"/>
        </w:rPr>
        <w:t>Nufarm</w:t>
      </w:r>
      <w:proofErr w:type="spellEnd"/>
      <w:r w:rsidRPr="000C4659">
        <w:rPr>
          <w:rFonts w:ascii="Arial Narrow" w:hAnsi="Arial Narrow" w:cs="Arial"/>
          <w:sz w:val="24"/>
          <w:shd w:val="clear" w:color="auto" w:fill="FFFFFF"/>
        </w:rPr>
        <w:t xml:space="preserve"> </w:t>
      </w:r>
      <w:proofErr w:type="spellStart"/>
      <w:r w:rsidRPr="000C4659">
        <w:rPr>
          <w:rFonts w:ascii="Arial Narrow" w:hAnsi="Arial Narrow" w:cs="Arial"/>
          <w:sz w:val="24"/>
          <w:shd w:val="clear" w:color="auto" w:fill="FFFFFF"/>
        </w:rPr>
        <w:t>Agritone</w:t>
      </w:r>
      <w:proofErr w:type="spellEnd"/>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w:t>
      </w:r>
      <w:r w:rsidRPr="000C4659">
        <w:rPr>
          <w:rFonts w:ascii="Arial Narrow" w:hAnsi="Arial Narrow" w:cs="Arial"/>
          <w:sz w:val="24"/>
          <w:shd w:val="clear" w:color="auto" w:fill="FFFFFF"/>
        </w:rPr>
        <w:t xml:space="preserve"> 750 Selective Herbicide, </w:t>
      </w:r>
      <w:proofErr w:type="spellStart"/>
      <w:r w:rsidRPr="000C4659">
        <w:rPr>
          <w:rFonts w:ascii="Arial Narrow" w:hAnsi="Arial Narrow" w:cs="Arial"/>
          <w:sz w:val="24"/>
          <w:shd w:val="clear" w:color="auto" w:fill="FFFFFF"/>
        </w:rPr>
        <w:t>Genfarm</w:t>
      </w:r>
      <w:proofErr w:type="spellEnd"/>
      <w:r w:rsidRPr="000C4659">
        <w:rPr>
          <w:rFonts w:ascii="Arial Narrow" w:hAnsi="Arial Narrow" w:cs="Arial"/>
          <w:sz w:val="24"/>
          <w:shd w:val="clear" w:color="auto" w:fill="FFFFFF"/>
        </w:rPr>
        <w:t xml:space="preserve"> MCPA LV 570 Herbicide</w:t>
      </w:r>
      <w:r w:rsidRPr="000C4659">
        <w:rPr>
          <w:rFonts w:ascii="Arial Narrow" w:eastAsia="SimSun" w:hAnsi="Arial Narrow" w:cs="Arial"/>
          <w:sz w:val="24"/>
        </w:rPr>
        <w:t xml:space="preserve">, </w:t>
      </w:r>
      <w:r w:rsidRPr="000C4659">
        <w:rPr>
          <w:rFonts w:ascii="Arial Narrow" w:hAnsi="Arial Narrow" w:cs="Arial"/>
          <w:sz w:val="24"/>
          <w:shd w:val="clear" w:color="auto" w:fill="FFFFFF"/>
        </w:rPr>
        <w:t xml:space="preserve">Titan LVE MCPA 570 Herbicide, </w:t>
      </w:r>
      <w:proofErr w:type="spellStart"/>
      <w:r w:rsidRPr="000C4659">
        <w:rPr>
          <w:rFonts w:ascii="Arial Narrow" w:hAnsi="Arial Narrow" w:cs="Arial"/>
          <w:sz w:val="24"/>
          <w:shd w:val="clear" w:color="auto" w:fill="FFFFFF"/>
        </w:rPr>
        <w:t>Adama</w:t>
      </w:r>
      <w:proofErr w:type="spellEnd"/>
      <w:r w:rsidRPr="000C4659">
        <w:rPr>
          <w:rFonts w:ascii="Arial Narrow" w:hAnsi="Arial Narrow" w:cs="Arial"/>
          <w:sz w:val="24"/>
          <w:shd w:val="clear" w:color="auto" w:fill="FFFFFF"/>
        </w:rPr>
        <w:t xml:space="preserve"> MCPA LVE 570 EC Herbicide), </w:t>
      </w:r>
      <w:proofErr w:type="spellStart"/>
      <w:r w:rsidRPr="000C4659">
        <w:rPr>
          <w:rFonts w:ascii="Arial Narrow" w:eastAsia="SimSun" w:hAnsi="Arial Narrow" w:cs="Arial"/>
          <w:sz w:val="24"/>
        </w:rPr>
        <w:t>Metsulfuron</w:t>
      </w:r>
      <w:proofErr w:type="spellEnd"/>
      <w:r w:rsidRPr="000C4659">
        <w:rPr>
          <w:rFonts w:ascii="Arial Narrow" w:eastAsia="SimSun" w:hAnsi="Arial Narrow" w:cs="Arial"/>
          <w:sz w:val="24"/>
        </w:rPr>
        <w:t xml:space="preserve"> (</w:t>
      </w:r>
      <w:r w:rsidRPr="000C4659">
        <w:rPr>
          <w:rFonts w:ascii="Arial Narrow" w:eastAsia="Arial Narrow" w:hAnsi="Arial Narrow" w:cs="Arial Narrow"/>
          <w:sz w:val="24"/>
          <w:lang w:val="en-US"/>
        </w:rPr>
        <w:t>Ally</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 Associate</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w:t>
      </w:r>
      <w:r w:rsidRPr="000C4659">
        <w:rPr>
          <w:rFonts w:ascii="Arial Narrow" w:eastAsia="SimSun" w:hAnsi="Arial Narrow" w:cs="Arial"/>
          <w:sz w:val="24"/>
        </w:rPr>
        <w:t xml:space="preserve"> </w:t>
      </w:r>
      <w:r w:rsidRPr="000C4659">
        <w:rPr>
          <w:rFonts w:ascii="Arial Narrow" w:hAnsi="Arial Narrow" w:cs="Arial"/>
          <w:sz w:val="24"/>
          <w:shd w:val="clear" w:color="auto" w:fill="FFFFFF"/>
        </w:rPr>
        <w:t>Jaguar</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w:t>
      </w:r>
      <w:r w:rsidRPr="000C4659">
        <w:rPr>
          <w:rFonts w:ascii="Arial Narrow" w:eastAsia="SimSun" w:hAnsi="Arial Narrow" w:cs="Arial"/>
          <w:sz w:val="24"/>
        </w:rPr>
        <w:t xml:space="preserve">, </w:t>
      </w:r>
      <w:r w:rsidRPr="000C4659">
        <w:rPr>
          <w:rFonts w:ascii="Arial Narrow" w:hAnsi="Arial Narrow" w:cs="Arial"/>
          <w:sz w:val="24"/>
          <w:lang w:val="en-US"/>
        </w:rPr>
        <w:t>Paragon</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w:t>
      </w:r>
      <w:r w:rsidRPr="000C4659">
        <w:rPr>
          <w:rFonts w:ascii="Arial Narrow" w:hAnsi="Arial Narrow" w:cs="Arial"/>
          <w:sz w:val="24"/>
          <w:lang w:val="en-US"/>
        </w:rPr>
        <w:t xml:space="preserve"> </w:t>
      </w:r>
      <w:proofErr w:type="spellStart"/>
      <w:r w:rsidRPr="000C4659">
        <w:rPr>
          <w:rFonts w:ascii="Arial Narrow" w:hAnsi="Arial Narrow" w:cs="Arial"/>
          <w:sz w:val="24"/>
          <w:lang w:val="en-US"/>
        </w:rPr>
        <w:t>Xtra</w:t>
      </w:r>
      <w:proofErr w:type="spellEnd"/>
      <w:r w:rsidRPr="000C4659">
        <w:rPr>
          <w:rFonts w:ascii="Arial Narrow" w:hAnsi="Arial Narrow" w:cs="Arial"/>
          <w:sz w:val="24"/>
          <w:lang w:val="en-US"/>
        </w:rPr>
        <w:t xml:space="preserve">, </w:t>
      </w:r>
      <w:proofErr w:type="spellStart"/>
      <w:r w:rsidRPr="000C4659">
        <w:rPr>
          <w:rFonts w:ascii="Arial Narrow" w:eastAsia="Arial Narrow" w:hAnsi="Arial Narrow" w:cs="Arial Narrow"/>
          <w:sz w:val="24"/>
          <w:lang w:val="en-US"/>
        </w:rPr>
        <w:t>Sencor</w:t>
      </w:r>
      <w:proofErr w:type="spellEnd"/>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 xml:space="preserve">* 480 SC, </w:t>
      </w:r>
      <w:proofErr w:type="spellStart"/>
      <w:r w:rsidRPr="000C4659">
        <w:rPr>
          <w:rFonts w:ascii="Arial Narrow" w:eastAsia="SimSun" w:hAnsi="Arial Narrow" w:cs="Arial"/>
          <w:sz w:val="24"/>
        </w:rPr>
        <w:t>Tigrex</w:t>
      </w:r>
      <w:proofErr w:type="spellEnd"/>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w:t>
      </w:r>
      <w:r w:rsidRPr="000C4659">
        <w:rPr>
          <w:rFonts w:ascii="Arial Narrow" w:eastAsia="SimSun" w:hAnsi="Arial Narrow" w:cs="Arial"/>
          <w:sz w:val="24"/>
        </w:rPr>
        <w:t xml:space="preserve"> and </w:t>
      </w:r>
      <w:proofErr w:type="spellStart"/>
      <w:r w:rsidRPr="000C4659">
        <w:rPr>
          <w:rFonts w:ascii="Arial Narrow" w:eastAsia="SimSun" w:hAnsi="Arial Narrow" w:cs="Arial"/>
          <w:sz w:val="24"/>
        </w:rPr>
        <w:t>Topik</w:t>
      </w:r>
      <w:proofErr w:type="spellEnd"/>
      <w:r w:rsidRPr="000C4659">
        <w:rPr>
          <w:rFonts w:ascii="Arial Narrow" w:eastAsia="SimSun" w:hAnsi="Arial Narrow" w:cs="Arial"/>
          <w:sz w:val="24"/>
          <w:vertAlign w:val="superscript"/>
        </w:rPr>
        <w:t>®</w:t>
      </w:r>
      <w:r w:rsidRPr="000C4659">
        <w:rPr>
          <w:rFonts w:ascii="Arial Narrow" w:eastAsia="SimSun" w:hAnsi="Arial Narrow" w:cs="Arial"/>
          <w:sz w:val="24"/>
        </w:rPr>
        <w:t xml:space="preserve"> 240 EC.</w:t>
      </w:r>
    </w:p>
    <w:p w14:paraId="29EE6BA1" w14:textId="77777777" w:rsidR="004631F2" w:rsidRPr="000C4659" w:rsidRDefault="004631F2" w:rsidP="004631F2">
      <w:pPr>
        <w:widowControl w:val="0"/>
        <w:ind w:right="-20"/>
        <w:jc w:val="both"/>
        <w:rPr>
          <w:rFonts w:ascii="Arial Narrow" w:eastAsia="Arial Narrow" w:hAnsi="Arial Narrow" w:cs="Arial Narrow"/>
          <w:sz w:val="24"/>
          <w:lang w:val="en-US"/>
        </w:rPr>
      </w:pPr>
    </w:p>
    <w:p w14:paraId="3AA3BCEF" w14:textId="5AAB7C07" w:rsidR="004631F2" w:rsidRDefault="004631F2" w:rsidP="00276C28">
      <w:pPr>
        <w:widowControl w:val="0"/>
        <w:spacing w:after="240"/>
        <w:ind w:right="-20"/>
        <w:jc w:val="both"/>
        <w:rPr>
          <w:rFonts w:ascii="Arial Narrow" w:eastAsia="Arial Narrow" w:hAnsi="Arial Narrow" w:cs="Arial Narrow"/>
          <w:sz w:val="24"/>
          <w:lang w:val="en-US"/>
        </w:rPr>
      </w:pPr>
      <w:r w:rsidRPr="000C4659">
        <w:rPr>
          <w:rFonts w:ascii="Arial Narrow" w:eastAsia="Arial Narrow" w:hAnsi="Arial Narrow" w:cs="Arial Narrow"/>
          <w:sz w:val="24"/>
          <w:lang w:val="en-US"/>
        </w:rPr>
        <w:t>FREQUENCY</w:t>
      </w:r>
      <w:r w:rsidRPr="000C4659">
        <w:rPr>
          <w:rFonts w:ascii="Arial Narrow" w:eastAsia="Arial Narrow" w:hAnsi="Arial Narrow" w:cs="Arial Narrow"/>
          <w:sz w:val="24"/>
          <w:vertAlign w:val="superscript"/>
          <w:lang w:val="en-US"/>
        </w:rPr>
        <w:t>®</w:t>
      </w:r>
      <w:r w:rsidRPr="000C4659">
        <w:rPr>
          <w:rFonts w:ascii="Arial Narrow" w:eastAsia="Arial Narrow" w:hAnsi="Arial Narrow" w:cs="Arial Narrow"/>
          <w:sz w:val="24"/>
          <w:lang w:val="en-US"/>
        </w:rPr>
        <w:t xml:space="preserve"> Herbicide is physically compatible with Easy N</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 xml:space="preserve">* liquid </w:t>
      </w:r>
      <w:proofErr w:type="spellStart"/>
      <w:r w:rsidRPr="000C4659">
        <w:rPr>
          <w:rFonts w:ascii="Arial Narrow" w:eastAsia="Arial Narrow" w:hAnsi="Arial Narrow" w:cs="Arial Narrow"/>
          <w:sz w:val="24"/>
          <w:lang w:val="en-US"/>
        </w:rPr>
        <w:t>fertiliser</w:t>
      </w:r>
      <w:proofErr w:type="spellEnd"/>
      <w:r w:rsidRPr="000C4659">
        <w:rPr>
          <w:rFonts w:ascii="Arial Narrow" w:eastAsia="Arial Narrow" w:hAnsi="Arial Narrow" w:cs="Arial Narrow"/>
          <w:sz w:val="24"/>
          <w:lang w:val="en-US"/>
        </w:rPr>
        <w:t xml:space="preserve">. Consult BASF staff for full compatibility details when </w:t>
      </w:r>
      <w:proofErr w:type="spellStart"/>
      <w:r w:rsidRPr="000C4659">
        <w:rPr>
          <w:rFonts w:ascii="Arial Narrow" w:eastAsia="Arial Narrow" w:hAnsi="Arial Narrow" w:cs="Arial Narrow"/>
          <w:sz w:val="24"/>
          <w:lang w:val="en-US"/>
        </w:rPr>
        <w:t>utilising</w:t>
      </w:r>
      <w:proofErr w:type="spellEnd"/>
      <w:r w:rsidRPr="000C4659">
        <w:rPr>
          <w:rFonts w:ascii="Arial Narrow" w:eastAsia="Arial Narrow" w:hAnsi="Arial Narrow" w:cs="Arial Narrow"/>
          <w:sz w:val="24"/>
          <w:lang w:val="en-US"/>
        </w:rPr>
        <w:t xml:space="preserve"> Easy N</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 xml:space="preserve"> in mixes with herbicide combinations. The use of Easy N</w:t>
      </w:r>
      <w:r w:rsidRPr="000C4659">
        <w:rPr>
          <w:rFonts w:ascii="Arial Narrow" w:eastAsia="SimSun" w:hAnsi="Arial Narrow" w:cs="Arial"/>
          <w:sz w:val="24"/>
          <w:vertAlign w:val="superscript"/>
        </w:rPr>
        <w:t>®</w:t>
      </w:r>
      <w:r w:rsidRPr="000C4659">
        <w:rPr>
          <w:rFonts w:ascii="Arial Narrow" w:eastAsia="Arial Narrow" w:hAnsi="Arial Narrow" w:cs="Arial Narrow"/>
          <w:sz w:val="24"/>
          <w:lang w:val="en-US"/>
        </w:rPr>
        <w:t xml:space="preserve"> with FREQUENCY</w:t>
      </w:r>
      <w:r w:rsidRPr="000C4659">
        <w:rPr>
          <w:rFonts w:ascii="Arial Narrow" w:eastAsia="Arial Narrow" w:hAnsi="Arial Narrow" w:cs="Arial Narrow"/>
          <w:sz w:val="24"/>
          <w:vertAlign w:val="superscript"/>
          <w:lang w:val="en-US"/>
        </w:rPr>
        <w:t>®</w:t>
      </w:r>
      <w:r w:rsidRPr="000C4659">
        <w:rPr>
          <w:rFonts w:ascii="Arial Narrow" w:eastAsia="Arial Narrow" w:hAnsi="Arial Narrow" w:cs="Arial Narrow"/>
          <w:sz w:val="24"/>
          <w:lang w:val="en-US"/>
        </w:rPr>
        <w:t xml:space="preserve"> Herbicide may result in </w:t>
      </w:r>
      <w:r>
        <w:rPr>
          <w:rFonts w:ascii="Arial Narrow" w:eastAsia="Arial Narrow" w:hAnsi="Arial Narrow" w:cs="Arial Narrow"/>
          <w:sz w:val="24"/>
          <w:lang w:val="en-US"/>
        </w:rPr>
        <w:t xml:space="preserve">transient </w:t>
      </w:r>
      <w:r w:rsidRPr="000C4659">
        <w:rPr>
          <w:rFonts w:ascii="Arial Narrow" w:eastAsia="Arial Narrow" w:hAnsi="Arial Narrow" w:cs="Arial Narrow"/>
          <w:sz w:val="24"/>
          <w:lang w:val="en-US"/>
        </w:rPr>
        <w:t xml:space="preserve">crop </w:t>
      </w:r>
      <w:r>
        <w:rPr>
          <w:rFonts w:ascii="Arial Narrow" w:eastAsia="Arial Narrow" w:hAnsi="Arial Narrow" w:cs="Arial Narrow"/>
          <w:sz w:val="24"/>
          <w:lang w:val="en-US"/>
        </w:rPr>
        <w:t>burn</w:t>
      </w:r>
      <w:r w:rsidRPr="000C4659">
        <w:rPr>
          <w:rFonts w:ascii="Arial Narrow" w:eastAsia="Arial Narrow" w:hAnsi="Arial Narrow" w:cs="Arial Narrow"/>
          <w:sz w:val="24"/>
          <w:lang w:val="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5607"/>
        <w:gridCol w:w="2263"/>
      </w:tblGrid>
      <w:tr w:rsidR="004631F2" w:rsidRPr="00E161B2" w14:paraId="059E843B" w14:textId="77777777" w:rsidTr="00F142B9">
        <w:trPr>
          <w:jc w:val="center"/>
        </w:trPr>
        <w:tc>
          <w:tcPr>
            <w:tcW w:w="913" w:type="pct"/>
            <w:shd w:val="clear" w:color="auto" w:fill="auto"/>
          </w:tcPr>
          <w:p w14:paraId="3CAC2845" w14:textId="77777777" w:rsidR="004631F2" w:rsidRPr="00E161B2" w:rsidRDefault="004631F2" w:rsidP="00F142B9">
            <w:pPr>
              <w:jc w:val="both"/>
              <w:rPr>
                <w:rFonts w:ascii="Arial Narrow" w:eastAsia="SimSun" w:hAnsi="Arial Narrow" w:cs="Arial"/>
                <w:b/>
              </w:rPr>
            </w:pPr>
            <w:r w:rsidRPr="00E161B2">
              <w:rPr>
                <w:rFonts w:ascii="Arial Narrow" w:eastAsia="SimSun" w:hAnsi="Arial Narrow" w:cs="Arial"/>
                <w:b/>
              </w:rPr>
              <w:t xml:space="preserve">Product Use </w:t>
            </w:r>
          </w:p>
        </w:tc>
        <w:tc>
          <w:tcPr>
            <w:tcW w:w="2912" w:type="pct"/>
            <w:shd w:val="clear" w:color="auto" w:fill="auto"/>
          </w:tcPr>
          <w:p w14:paraId="3391AE7E" w14:textId="77777777" w:rsidR="004631F2" w:rsidRPr="00E161B2" w:rsidRDefault="004631F2" w:rsidP="00F142B9">
            <w:pPr>
              <w:jc w:val="both"/>
              <w:rPr>
                <w:rFonts w:ascii="Arial Narrow" w:eastAsia="SimSun" w:hAnsi="Arial Narrow" w:cs="Arial"/>
                <w:b/>
              </w:rPr>
            </w:pPr>
            <w:r w:rsidRPr="00E161B2">
              <w:rPr>
                <w:rFonts w:ascii="Arial Narrow" w:eastAsia="SimSun" w:hAnsi="Arial Narrow" w:cs="Arial"/>
                <w:b/>
              </w:rPr>
              <w:t>Herbicide Mix Partner Product</w:t>
            </w:r>
          </w:p>
        </w:tc>
        <w:tc>
          <w:tcPr>
            <w:tcW w:w="1175" w:type="pct"/>
            <w:shd w:val="clear" w:color="auto" w:fill="auto"/>
          </w:tcPr>
          <w:p w14:paraId="76DFDFED" w14:textId="77777777" w:rsidR="004631F2" w:rsidRPr="00E161B2" w:rsidRDefault="004631F2" w:rsidP="00F142B9">
            <w:pPr>
              <w:jc w:val="both"/>
              <w:rPr>
                <w:rFonts w:ascii="Arial Narrow" w:eastAsia="SimSun" w:hAnsi="Arial Narrow" w:cs="Arial"/>
                <w:b/>
              </w:rPr>
            </w:pPr>
            <w:r w:rsidRPr="00E161B2">
              <w:rPr>
                <w:rFonts w:ascii="Arial Narrow" w:eastAsia="SimSun" w:hAnsi="Arial Narrow" w:cs="Arial"/>
                <w:b/>
              </w:rPr>
              <w:t>Comments</w:t>
            </w:r>
          </w:p>
        </w:tc>
      </w:tr>
      <w:tr w:rsidR="004631F2" w:rsidRPr="00E161B2" w14:paraId="4FE11496" w14:textId="77777777" w:rsidTr="00F142B9">
        <w:trPr>
          <w:trHeight w:val="489"/>
          <w:jc w:val="center"/>
        </w:trPr>
        <w:tc>
          <w:tcPr>
            <w:tcW w:w="913" w:type="pct"/>
            <w:vMerge w:val="restart"/>
            <w:shd w:val="clear" w:color="auto" w:fill="auto"/>
          </w:tcPr>
          <w:p w14:paraId="2D438C19" w14:textId="77777777" w:rsidR="004631F2" w:rsidRPr="00E161B2" w:rsidRDefault="004631F2" w:rsidP="00F142B9">
            <w:pPr>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FREQUENCY</w:t>
            </w:r>
            <w:r w:rsidRPr="00E161B2">
              <w:rPr>
                <w:rFonts w:ascii="Arial Narrow" w:eastAsia="Arial Narrow" w:hAnsi="Arial Narrow" w:cs="Arial Narrow"/>
                <w:sz w:val="24"/>
                <w:vertAlign w:val="superscript"/>
                <w:lang w:val="en-US"/>
              </w:rPr>
              <w:t>®</w:t>
            </w:r>
            <w:r w:rsidRPr="00E161B2">
              <w:rPr>
                <w:rFonts w:ascii="Arial Narrow" w:eastAsia="Arial Narrow" w:hAnsi="Arial Narrow" w:cs="Arial Narrow"/>
                <w:sz w:val="24"/>
                <w:lang w:val="en-US"/>
              </w:rPr>
              <w:t xml:space="preserve"> Herbicide </w:t>
            </w:r>
          </w:p>
          <w:p w14:paraId="13626B8F" w14:textId="77777777" w:rsidR="004631F2" w:rsidRPr="00E161B2" w:rsidRDefault="004631F2" w:rsidP="00F142B9">
            <w:pPr>
              <w:jc w:val="both"/>
              <w:rPr>
                <w:rFonts w:ascii="Arial Narrow" w:eastAsia="Arial Narrow" w:hAnsi="Arial Narrow" w:cs="Arial Narrow"/>
                <w:sz w:val="24"/>
                <w:lang w:val="en-US"/>
              </w:rPr>
            </w:pPr>
          </w:p>
          <w:p w14:paraId="41C50392"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w:t>
            </w:r>
            <w:r>
              <w:rPr>
                <w:rFonts w:ascii="Arial Narrow" w:eastAsia="SimSun" w:hAnsi="Arial Narrow" w:cs="Arial"/>
              </w:rPr>
              <w:t xml:space="preserve"> </w:t>
            </w:r>
            <w:proofErr w:type="spellStart"/>
            <w:r w:rsidRPr="00E161B2">
              <w:rPr>
                <w:rFonts w:ascii="Arial Narrow" w:eastAsia="SimSun" w:hAnsi="Arial Narrow" w:cs="Arial"/>
              </w:rPr>
              <w:t>Bromoxynil</w:t>
            </w:r>
            <w:proofErr w:type="spellEnd"/>
            <w:r w:rsidRPr="00E161B2">
              <w:rPr>
                <w:rFonts w:ascii="Arial Narrow" w:eastAsia="SimSun" w:hAnsi="Arial Narrow" w:cs="Arial"/>
              </w:rPr>
              <w:t xml:space="preserve"> </w:t>
            </w:r>
          </w:p>
          <w:p w14:paraId="3E26E1D7"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 xml:space="preserve">200g/L </w:t>
            </w:r>
            <w:proofErr w:type="spellStart"/>
            <w:r w:rsidRPr="00E161B2">
              <w:rPr>
                <w:rFonts w:ascii="Arial Narrow" w:eastAsia="SimSun" w:hAnsi="Arial Narrow" w:cs="Arial"/>
              </w:rPr>
              <w:t>bromoxynil</w:t>
            </w:r>
            <w:proofErr w:type="spellEnd"/>
            <w:r w:rsidRPr="00E161B2">
              <w:rPr>
                <w:rFonts w:ascii="Arial Narrow" w:eastAsia="SimSun" w:hAnsi="Arial Narrow" w:cs="Arial"/>
              </w:rPr>
              <w:t xml:space="preserve"> as N-</w:t>
            </w:r>
            <w:proofErr w:type="spellStart"/>
            <w:r w:rsidRPr="00E161B2">
              <w:rPr>
                <w:rFonts w:ascii="Arial Narrow" w:eastAsia="SimSun" w:hAnsi="Arial Narrow" w:cs="Arial"/>
              </w:rPr>
              <w:t>octanoyl</w:t>
            </w:r>
            <w:proofErr w:type="spellEnd"/>
            <w:r w:rsidRPr="00E161B2">
              <w:rPr>
                <w:rFonts w:ascii="Arial Narrow" w:eastAsia="SimSun" w:hAnsi="Arial Narrow" w:cs="Arial"/>
              </w:rPr>
              <w:t xml:space="preserve"> ester</w:t>
            </w:r>
          </w:p>
          <w:p w14:paraId="74B2BADC" w14:textId="77777777" w:rsidR="004631F2" w:rsidRPr="00E161B2" w:rsidRDefault="004631F2" w:rsidP="00F142B9">
            <w:pPr>
              <w:jc w:val="both"/>
              <w:rPr>
                <w:rFonts w:ascii="Arial Narrow" w:eastAsia="Arial Narrow" w:hAnsi="Arial Narrow" w:cs="Arial Narrow"/>
                <w:sz w:val="24"/>
                <w:lang w:val="en-US"/>
              </w:rPr>
            </w:pPr>
            <w:r w:rsidRPr="00E161B2">
              <w:rPr>
                <w:rFonts w:ascii="Arial Narrow" w:eastAsia="SimSun" w:hAnsi="Arial Narrow" w:cs="Arial"/>
              </w:rPr>
              <w:t>+ Hasten Adjuvant</w:t>
            </w:r>
          </w:p>
          <w:p w14:paraId="07B78E40" w14:textId="77777777" w:rsidR="004631F2" w:rsidRPr="00E161B2" w:rsidRDefault="004631F2" w:rsidP="00F142B9">
            <w:pPr>
              <w:jc w:val="both"/>
              <w:rPr>
                <w:rFonts w:ascii="Arial Narrow" w:eastAsia="Arial Narrow" w:hAnsi="Arial Narrow" w:cs="Arial Narrow"/>
                <w:sz w:val="24"/>
                <w:lang w:val="en-US"/>
              </w:rPr>
            </w:pPr>
          </w:p>
          <w:p w14:paraId="27D8D856" w14:textId="77777777" w:rsidR="004631F2" w:rsidRPr="00E161B2" w:rsidRDefault="004631F2" w:rsidP="00F142B9">
            <w:pPr>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or</w:t>
            </w:r>
          </w:p>
          <w:p w14:paraId="44F01FBA" w14:textId="77777777" w:rsidR="004631F2" w:rsidRPr="00E161B2" w:rsidRDefault="004631F2" w:rsidP="00F142B9">
            <w:pPr>
              <w:jc w:val="both"/>
              <w:rPr>
                <w:rFonts w:ascii="Arial Narrow" w:eastAsia="Arial Narrow" w:hAnsi="Arial Narrow" w:cs="Arial Narrow"/>
                <w:sz w:val="24"/>
                <w:lang w:val="en-US"/>
              </w:rPr>
            </w:pPr>
          </w:p>
          <w:p w14:paraId="4AFDFD29"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w:t>
            </w:r>
            <w:r>
              <w:rPr>
                <w:rFonts w:ascii="Arial Narrow" w:eastAsia="SimSun" w:hAnsi="Arial Narrow" w:cs="Arial"/>
              </w:rPr>
              <w:t xml:space="preserve"> </w:t>
            </w:r>
            <w:r w:rsidRPr="00E161B2">
              <w:rPr>
                <w:rFonts w:ascii="Arial Narrow" w:eastAsia="SimSun" w:hAnsi="Arial Narrow" w:cs="Arial"/>
              </w:rPr>
              <w:t>MCPA (L.V.E) -</w:t>
            </w:r>
          </w:p>
          <w:p w14:paraId="0CE5D887"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570g/L MCPA as 2-ethylhexyl ester</w:t>
            </w:r>
          </w:p>
          <w:p w14:paraId="68B06338"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 Hasten Adjuvant</w:t>
            </w:r>
          </w:p>
        </w:tc>
        <w:tc>
          <w:tcPr>
            <w:tcW w:w="2912" w:type="pct"/>
            <w:shd w:val="clear" w:color="auto" w:fill="auto"/>
          </w:tcPr>
          <w:p w14:paraId="51DB53AE" w14:textId="77777777" w:rsidR="004631F2" w:rsidRPr="00E161B2" w:rsidRDefault="004631F2" w:rsidP="00F142B9">
            <w:pPr>
              <w:jc w:val="both"/>
              <w:rPr>
                <w:rFonts w:ascii="Arial Narrow" w:eastAsia="SimSun" w:hAnsi="Arial Narrow" w:cs="Arial"/>
              </w:rPr>
            </w:pPr>
            <w:proofErr w:type="spellStart"/>
            <w:r w:rsidRPr="00E161B2">
              <w:rPr>
                <w:rFonts w:ascii="Arial Narrow" w:eastAsia="SimSun" w:hAnsi="Arial Narrow" w:cs="Arial"/>
              </w:rPr>
              <w:t>Metsulfuron</w:t>
            </w:r>
            <w:proofErr w:type="spellEnd"/>
            <w:r w:rsidRPr="00E161B2">
              <w:rPr>
                <w:rFonts w:ascii="Arial Narrow" w:eastAsia="SimSun" w:hAnsi="Arial Narrow" w:cs="Arial"/>
              </w:rPr>
              <w:t xml:space="preserve"> -</w:t>
            </w:r>
          </w:p>
          <w:p w14:paraId="6626091C" w14:textId="77777777" w:rsidR="004631F2" w:rsidRPr="00E161B2" w:rsidRDefault="004631F2" w:rsidP="00F142B9">
            <w:pPr>
              <w:jc w:val="both"/>
              <w:rPr>
                <w:rFonts w:ascii="Arial Narrow" w:eastAsia="SimSun" w:hAnsi="Arial Narrow" w:cs="Arial"/>
              </w:rPr>
            </w:pPr>
            <w:proofErr w:type="spellStart"/>
            <w:r w:rsidRPr="00E161B2">
              <w:rPr>
                <w:rFonts w:ascii="Arial Narrow" w:eastAsia="SimSun" w:hAnsi="Arial Narrow" w:cs="Arial"/>
              </w:rPr>
              <w:t>Metsulfuron</w:t>
            </w:r>
            <w:proofErr w:type="spellEnd"/>
            <w:r w:rsidRPr="00E161B2">
              <w:rPr>
                <w:rFonts w:ascii="Arial Narrow" w:eastAsia="SimSun" w:hAnsi="Arial Narrow" w:cs="Arial"/>
              </w:rPr>
              <w:t>-methyl (600g/kg)</w:t>
            </w:r>
          </w:p>
        </w:tc>
        <w:tc>
          <w:tcPr>
            <w:tcW w:w="1175" w:type="pct"/>
            <w:vMerge w:val="restart"/>
            <w:shd w:val="clear" w:color="auto" w:fill="auto"/>
          </w:tcPr>
          <w:p w14:paraId="5C385B46"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 xml:space="preserve">Observe use restrictions and plant back comments on mix partner labels. </w:t>
            </w:r>
          </w:p>
          <w:p w14:paraId="7912800A" w14:textId="77777777" w:rsidR="004631F2" w:rsidRPr="00E161B2" w:rsidRDefault="004631F2" w:rsidP="00F142B9">
            <w:pPr>
              <w:jc w:val="both"/>
              <w:rPr>
                <w:rFonts w:ascii="Arial Narrow" w:eastAsia="SimSun" w:hAnsi="Arial Narrow" w:cs="Arial"/>
              </w:rPr>
            </w:pPr>
          </w:p>
          <w:p w14:paraId="55C70A40" w14:textId="77777777" w:rsidR="004631F2" w:rsidRPr="00E161B2" w:rsidRDefault="004631F2" w:rsidP="00F142B9">
            <w:pPr>
              <w:jc w:val="both"/>
              <w:rPr>
                <w:rFonts w:ascii="Arial Narrow" w:eastAsia="SimSun" w:hAnsi="Arial Narrow" w:cs="Arial"/>
              </w:rPr>
            </w:pPr>
            <w:r>
              <w:rPr>
                <w:rFonts w:ascii="Arial Narrow" w:eastAsia="SimSun" w:hAnsi="Arial Narrow" w:cs="Arial"/>
              </w:rPr>
              <w:t>M</w:t>
            </w:r>
            <w:r w:rsidRPr="00E161B2">
              <w:rPr>
                <w:rFonts w:ascii="Arial Narrow" w:eastAsia="SimSun" w:hAnsi="Arial Narrow" w:cs="Arial"/>
              </w:rPr>
              <w:t xml:space="preserve">ixtures with </w:t>
            </w:r>
            <w:proofErr w:type="spellStart"/>
            <w:r w:rsidRPr="00E161B2">
              <w:rPr>
                <w:rFonts w:ascii="Arial Narrow" w:eastAsia="SimSun" w:hAnsi="Arial Narrow" w:cs="Arial"/>
              </w:rPr>
              <w:t>picolinofen</w:t>
            </w:r>
            <w:proofErr w:type="spellEnd"/>
            <w:r w:rsidRPr="00E161B2">
              <w:rPr>
                <w:rFonts w:ascii="Arial Narrow" w:eastAsia="SimSun" w:hAnsi="Arial Narrow" w:cs="Arial"/>
              </w:rPr>
              <w:t xml:space="preserve"> or </w:t>
            </w:r>
            <w:proofErr w:type="spellStart"/>
            <w:r w:rsidRPr="00E161B2">
              <w:rPr>
                <w:rFonts w:ascii="Arial Narrow" w:eastAsia="SimSun" w:hAnsi="Arial Narrow" w:cs="Arial"/>
              </w:rPr>
              <w:t>diflufenican</w:t>
            </w:r>
            <w:proofErr w:type="spellEnd"/>
            <w:r w:rsidRPr="00E161B2">
              <w:rPr>
                <w:rFonts w:ascii="Arial Narrow" w:eastAsia="SimSun" w:hAnsi="Arial Narrow" w:cs="Arial"/>
              </w:rPr>
              <w:t xml:space="preserve"> </w:t>
            </w:r>
            <w:r>
              <w:rPr>
                <w:rFonts w:ascii="Arial Narrow" w:eastAsia="SimSun" w:hAnsi="Arial Narrow" w:cs="Arial"/>
              </w:rPr>
              <w:t xml:space="preserve">may </w:t>
            </w:r>
            <w:r w:rsidRPr="00E161B2">
              <w:rPr>
                <w:rFonts w:ascii="Arial Narrow" w:eastAsia="SimSun" w:hAnsi="Arial Narrow" w:cs="Arial"/>
              </w:rPr>
              <w:t xml:space="preserve">cause increased foliar burn however crop yield </w:t>
            </w:r>
            <w:r>
              <w:rPr>
                <w:rFonts w:ascii="Arial Narrow" w:eastAsia="SimSun" w:hAnsi="Arial Narrow" w:cs="Arial"/>
              </w:rPr>
              <w:t>will</w:t>
            </w:r>
            <w:r w:rsidRPr="00E161B2">
              <w:rPr>
                <w:rFonts w:ascii="Arial Narrow" w:eastAsia="SimSun" w:hAnsi="Arial Narrow" w:cs="Arial"/>
              </w:rPr>
              <w:t xml:space="preserve"> not </w:t>
            </w:r>
            <w:r>
              <w:rPr>
                <w:rFonts w:ascii="Arial Narrow" w:eastAsia="SimSun" w:hAnsi="Arial Narrow" w:cs="Arial"/>
              </w:rPr>
              <w:t xml:space="preserve">be </w:t>
            </w:r>
            <w:r w:rsidRPr="00E161B2">
              <w:rPr>
                <w:rFonts w:ascii="Arial Narrow" w:eastAsia="SimSun" w:hAnsi="Arial Narrow" w:cs="Arial"/>
              </w:rPr>
              <w:t>adversely affected.</w:t>
            </w:r>
          </w:p>
        </w:tc>
      </w:tr>
      <w:tr w:rsidR="004631F2" w:rsidRPr="00E161B2" w14:paraId="135EBF6E" w14:textId="77777777" w:rsidTr="00F142B9">
        <w:trPr>
          <w:trHeight w:val="201"/>
          <w:jc w:val="center"/>
        </w:trPr>
        <w:tc>
          <w:tcPr>
            <w:tcW w:w="913" w:type="pct"/>
            <w:vMerge/>
            <w:shd w:val="clear" w:color="auto" w:fill="auto"/>
          </w:tcPr>
          <w:p w14:paraId="08DFA872" w14:textId="77777777" w:rsidR="004631F2" w:rsidRPr="00E161B2" w:rsidRDefault="004631F2" w:rsidP="00F142B9">
            <w:pPr>
              <w:jc w:val="both"/>
              <w:rPr>
                <w:rFonts w:ascii="Arial Narrow" w:eastAsia="SimSun" w:hAnsi="Arial Narrow" w:cs="Arial"/>
              </w:rPr>
            </w:pPr>
          </w:p>
        </w:tc>
        <w:tc>
          <w:tcPr>
            <w:tcW w:w="2912" w:type="pct"/>
            <w:shd w:val="clear" w:color="auto" w:fill="auto"/>
          </w:tcPr>
          <w:p w14:paraId="074DCAC0" w14:textId="77777777" w:rsidR="004631F2" w:rsidRPr="00E161B2" w:rsidRDefault="004631F2" w:rsidP="00F142B9">
            <w:pPr>
              <w:jc w:val="both"/>
              <w:rPr>
                <w:rFonts w:ascii="Arial Narrow" w:eastAsia="SimSun" w:hAnsi="Arial Narrow" w:cs="Arial"/>
              </w:rPr>
            </w:pPr>
            <w:proofErr w:type="spellStart"/>
            <w:r w:rsidRPr="00E161B2">
              <w:rPr>
                <w:rFonts w:ascii="Arial Narrow" w:eastAsia="SimSun" w:hAnsi="Arial Narrow" w:cs="Arial"/>
              </w:rPr>
              <w:t>Tigrex</w:t>
            </w:r>
            <w:proofErr w:type="spellEnd"/>
            <w:r w:rsidRPr="00E161B2">
              <w:rPr>
                <w:rFonts w:ascii="Arial Narrow" w:eastAsia="SimSun" w:hAnsi="Arial Narrow" w:cs="Arial"/>
                <w:vertAlign w:val="superscript"/>
              </w:rPr>
              <w:t>®</w:t>
            </w:r>
            <w:r w:rsidRPr="00E161B2">
              <w:rPr>
                <w:rFonts w:ascii="Arial Narrow" w:eastAsia="Arial Narrow" w:hAnsi="Arial Narrow" w:cs="Arial Narrow"/>
                <w:lang w:val="en-US"/>
              </w:rPr>
              <w:t>*</w:t>
            </w:r>
            <w:r w:rsidRPr="00E161B2">
              <w:rPr>
                <w:rFonts w:ascii="Arial Narrow" w:eastAsia="SimSun" w:hAnsi="Arial Narrow" w:cs="Arial"/>
                <w:vertAlign w:val="superscript"/>
              </w:rPr>
              <w:t xml:space="preserve"> </w:t>
            </w:r>
          </w:p>
          <w:p w14:paraId="4E67D71B" w14:textId="77777777" w:rsidR="004631F2" w:rsidRPr="00E161B2" w:rsidRDefault="004631F2" w:rsidP="00F142B9">
            <w:pPr>
              <w:rPr>
                <w:rFonts w:ascii="Arial Narrow" w:eastAsia="SimSun" w:hAnsi="Arial Narrow" w:cs="Arial"/>
              </w:rPr>
            </w:pPr>
            <w:r w:rsidRPr="00E161B2">
              <w:rPr>
                <w:rFonts w:ascii="Arial Narrow" w:eastAsia="SimSun" w:hAnsi="Arial Narrow" w:cs="Arial"/>
              </w:rPr>
              <w:t xml:space="preserve">250g/L MCPA as 2-ethylhexyl ester + 25g/L </w:t>
            </w:r>
            <w:proofErr w:type="spellStart"/>
            <w:r w:rsidRPr="00E161B2">
              <w:rPr>
                <w:rFonts w:ascii="Arial Narrow" w:eastAsia="SimSun" w:hAnsi="Arial Narrow" w:cs="Arial"/>
              </w:rPr>
              <w:t>diflufenican</w:t>
            </w:r>
            <w:proofErr w:type="spellEnd"/>
          </w:p>
        </w:tc>
        <w:tc>
          <w:tcPr>
            <w:tcW w:w="1175" w:type="pct"/>
            <w:vMerge/>
            <w:shd w:val="clear" w:color="auto" w:fill="auto"/>
          </w:tcPr>
          <w:p w14:paraId="00B3F8DC" w14:textId="77777777" w:rsidR="004631F2" w:rsidRPr="00E161B2" w:rsidRDefault="004631F2" w:rsidP="00F142B9">
            <w:pPr>
              <w:jc w:val="both"/>
              <w:rPr>
                <w:rFonts w:ascii="Arial Narrow" w:eastAsia="SimSun" w:hAnsi="Arial Narrow" w:cs="Arial"/>
                <w:highlight w:val="yellow"/>
              </w:rPr>
            </w:pPr>
          </w:p>
        </w:tc>
      </w:tr>
      <w:tr w:rsidR="004631F2" w:rsidRPr="00E161B2" w14:paraId="56044F53" w14:textId="77777777" w:rsidTr="00F142B9">
        <w:trPr>
          <w:trHeight w:val="201"/>
          <w:jc w:val="center"/>
        </w:trPr>
        <w:tc>
          <w:tcPr>
            <w:tcW w:w="913" w:type="pct"/>
            <w:vMerge/>
            <w:shd w:val="clear" w:color="auto" w:fill="auto"/>
          </w:tcPr>
          <w:p w14:paraId="34E29895" w14:textId="77777777" w:rsidR="004631F2" w:rsidRPr="00E161B2" w:rsidRDefault="004631F2" w:rsidP="00F142B9">
            <w:pPr>
              <w:jc w:val="both"/>
              <w:rPr>
                <w:rFonts w:ascii="Arial Narrow" w:eastAsia="SimSun" w:hAnsi="Arial Narrow" w:cs="Arial"/>
              </w:rPr>
            </w:pPr>
          </w:p>
        </w:tc>
        <w:tc>
          <w:tcPr>
            <w:tcW w:w="2912" w:type="pct"/>
            <w:shd w:val="clear" w:color="auto" w:fill="auto"/>
          </w:tcPr>
          <w:p w14:paraId="74046541" w14:textId="77777777" w:rsidR="004631F2" w:rsidRPr="00E161B2" w:rsidRDefault="004631F2" w:rsidP="00F142B9">
            <w:pPr>
              <w:jc w:val="both"/>
              <w:rPr>
                <w:rFonts w:ascii="Arial Narrow" w:hAnsi="Arial Narrow" w:cs="Arial"/>
                <w:shd w:val="clear" w:color="auto" w:fill="FFFFFF"/>
              </w:rPr>
            </w:pPr>
            <w:r w:rsidRPr="00E161B2">
              <w:rPr>
                <w:rFonts w:ascii="Arial Narrow" w:hAnsi="Arial Narrow" w:cs="Arial"/>
                <w:shd w:val="clear" w:color="auto" w:fill="FFFFFF"/>
              </w:rPr>
              <w:t>Jaguar</w:t>
            </w:r>
            <w:r w:rsidRPr="00E161B2">
              <w:rPr>
                <w:rFonts w:ascii="Arial Narrow" w:eastAsia="SimSun" w:hAnsi="Arial Narrow" w:cs="Arial"/>
                <w:vertAlign w:val="superscript"/>
              </w:rPr>
              <w:t>®</w:t>
            </w:r>
            <w:r w:rsidRPr="00E161B2">
              <w:rPr>
                <w:rFonts w:ascii="Arial Narrow" w:eastAsia="Arial Narrow" w:hAnsi="Arial Narrow" w:cs="Arial Narrow"/>
                <w:lang w:val="en-US"/>
              </w:rPr>
              <w:t>*</w:t>
            </w:r>
          </w:p>
          <w:p w14:paraId="67AD5DFE"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 xml:space="preserve">25g/L </w:t>
            </w:r>
            <w:proofErr w:type="spellStart"/>
            <w:r w:rsidRPr="00E161B2">
              <w:rPr>
                <w:rFonts w:ascii="Arial Narrow" w:eastAsia="SimSun" w:hAnsi="Arial Narrow" w:cs="Arial"/>
              </w:rPr>
              <w:t>diflufenican</w:t>
            </w:r>
            <w:proofErr w:type="spellEnd"/>
            <w:r w:rsidRPr="00E161B2">
              <w:rPr>
                <w:rFonts w:ascii="Arial Narrow" w:eastAsia="SimSun" w:hAnsi="Arial Narrow" w:cs="Arial"/>
              </w:rPr>
              <w:t xml:space="preserve"> + 250g/L </w:t>
            </w:r>
            <w:proofErr w:type="spellStart"/>
            <w:r w:rsidRPr="00E161B2">
              <w:rPr>
                <w:rFonts w:ascii="Arial Narrow" w:hAnsi="Arial Narrow" w:cs="Arial"/>
              </w:rPr>
              <w:t>Bromoxynil</w:t>
            </w:r>
            <w:proofErr w:type="spellEnd"/>
            <w:r w:rsidRPr="00E161B2">
              <w:rPr>
                <w:rFonts w:ascii="Arial Narrow" w:hAnsi="Arial Narrow" w:cs="Arial"/>
              </w:rPr>
              <w:t xml:space="preserve"> present as the </w:t>
            </w:r>
            <w:proofErr w:type="spellStart"/>
            <w:r w:rsidRPr="00E161B2">
              <w:rPr>
                <w:rFonts w:ascii="Arial Narrow" w:hAnsi="Arial Narrow" w:cs="Arial"/>
              </w:rPr>
              <w:t>octanoate</w:t>
            </w:r>
            <w:proofErr w:type="spellEnd"/>
            <w:r w:rsidRPr="00E161B2">
              <w:rPr>
                <w:rFonts w:cs="Arial"/>
                <w:sz w:val="17"/>
                <w:szCs w:val="17"/>
              </w:rPr>
              <w:t xml:space="preserve"> </w:t>
            </w:r>
          </w:p>
        </w:tc>
        <w:tc>
          <w:tcPr>
            <w:tcW w:w="1175" w:type="pct"/>
            <w:vMerge/>
            <w:shd w:val="clear" w:color="auto" w:fill="auto"/>
          </w:tcPr>
          <w:p w14:paraId="00FBC6BF" w14:textId="77777777" w:rsidR="004631F2" w:rsidRPr="00E161B2" w:rsidRDefault="004631F2" w:rsidP="00F142B9">
            <w:pPr>
              <w:jc w:val="both"/>
              <w:rPr>
                <w:rFonts w:ascii="Arial Narrow" w:eastAsia="SimSun" w:hAnsi="Arial Narrow" w:cs="Arial"/>
                <w:highlight w:val="yellow"/>
              </w:rPr>
            </w:pPr>
          </w:p>
        </w:tc>
      </w:tr>
      <w:tr w:rsidR="004631F2" w:rsidRPr="00E161B2" w14:paraId="4E1F1775" w14:textId="77777777" w:rsidTr="00F142B9">
        <w:trPr>
          <w:trHeight w:val="201"/>
          <w:jc w:val="center"/>
        </w:trPr>
        <w:tc>
          <w:tcPr>
            <w:tcW w:w="913" w:type="pct"/>
            <w:vMerge/>
            <w:shd w:val="clear" w:color="auto" w:fill="auto"/>
          </w:tcPr>
          <w:p w14:paraId="7E63F6FF" w14:textId="77777777" w:rsidR="004631F2" w:rsidRPr="00E161B2" w:rsidRDefault="004631F2" w:rsidP="00F142B9">
            <w:pPr>
              <w:jc w:val="both"/>
              <w:rPr>
                <w:rFonts w:ascii="Arial Narrow" w:eastAsia="SimSun" w:hAnsi="Arial Narrow" w:cs="Arial"/>
              </w:rPr>
            </w:pPr>
          </w:p>
        </w:tc>
        <w:tc>
          <w:tcPr>
            <w:tcW w:w="2912" w:type="pct"/>
            <w:shd w:val="clear" w:color="auto" w:fill="auto"/>
          </w:tcPr>
          <w:p w14:paraId="5C0783C1" w14:textId="77777777" w:rsidR="004631F2" w:rsidRPr="00E161B2" w:rsidRDefault="004631F2" w:rsidP="00F142B9">
            <w:pPr>
              <w:jc w:val="both"/>
              <w:rPr>
                <w:rFonts w:ascii="Arial Narrow" w:hAnsi="Arial Narrow" w:cs="Arial"/>
                <w:lang w:val="en-US"/>
              </w:rPr>
            </w:pPr>
            <w:r w:rsidRPr="00E161B2">
              <w:rPr>
                <w:rFonts w:ascii="Arial Narrow" w:hAnsi="Arial Narrow" w:cs="Arial"/>
                <w:lang w:val="en-US"/>
              </w:rPr>
              <w:t>Paragon</w:t>
            </w:r>
            <w:r w:rsidRPr="00E161B2">
              <w:rPr>
                <w:rFonts w:ascii="Arial Narrow" w:eastAsia="SimSun" w:hAnsi="Arial Narrow" w:cs="Arial"/>
                <w:vertAlign w:val="superscript"/>
              </w:rPr>
              <w:t>®</w:t>
            </w:r>
            <w:r w:rsidRPr="00E161B2">
              <w:rPr>
                <w:rFonts w:ascii="Arial Narrow" w:eastAsia="Arial Narrow" w:hAnsi="Arial Narrow" w:cs="Arial Narrow"/>
                <w:lang w:val="en-US"/>
              </w:rPr>
              <w:t>*</w:t>
            </w:r>
            <w:r w:rsidRPr="00E161B2">
              <w:rPr>
                <w:rFonts w:ascii="Arial Narrow" w:hAnsi="Arial Narrow" w:cs="Arial"/>
                <w:lang w:val="en-US"/>
              </w:rPr>
              <w:t xml:space="preserve"> </w:t>
            </w:r>
            <w:proofErr w:type="spellStart"/>
            <w:r w:rsidRPr="00E161B2">
              <w:rPr>
                <w:rFonts w:ascii="Arial Narrow" w:hAnsi="Arial Narrow" w:cs="Arial"/>
                <w:lang w:val="en-US"/>
              </w:rPr>
              <w:t>Xtra</w:t>
            </w:r>
            <w:proofErr w:type="spellEnd"/>
            <w:r w:rsidRPr="00E161B2">
              <w:rPr>
                <w:rFonts w:ascii="Arial Narrow" w:hAnsi="Arial Narrow" w:cs="Arial"/>
                <w:lang w:val="en-US"/>
              </w:rPr>
              <w:t xml:space="preserve"> </w:t>
            </w:r>
          </w:p>
          <w:p w14:paraId="27566B57" w14:textId="77777777" w:rsidR="004631F2" w:rsidRPr="00E161B2" w:rsidRDefault="004631F2" w:rsidP="00F142B9">
            <w:pPr>
              <w:rPr>
                <w:rFonts w:ascii="Arial Narrow" w:hAnsi="Arial Narrow"/>
                <w:snapToGrid w:val="0"/>
              </w:rPr>
            </w:pPr>
            <w:r w:rsidRPr="00E161B2">
              <w:rPr>
                <w:rFonts w:ascii="Arial Narrow" w:eastAsia="SimSun" w:hAnsi="Arial Narrow" w:cs="Arial"/>
                <w:snapToGrid w:val="0"/>
              </w:rPr>
              <w:t xml:space="preserve">210g/L </w:t>
            </w:r>
            <w:proofErr w:type="spellStart"/>
            <w:r w:rsidRPr="00E161B2">
              <w:rPr>
                <w:rFonts w:ascii="Arial Narrow" w:hAnsi="Arial Narrow"/>
                <w:snapToGrid w:val="0"/>
              </w:rPr>
              <w:t>Bromoxynil</w:t>
            </w:r>
            <w:proofErr w:type="spellEnd"/>
            <w:r w:rsidRPr="00E161B2">
              <w:rPr>
                <w:rFonts w:ascii="Arial Narrow" w:hAnsi="Arial Narrow"/>
                <w:snapToGrid w:val="0"/>
              </w:rPr>
              <w:t xml:space="preserve"> present as the n-</w:t>
            </w:r>
            <w:proofErr w:type="spellStart"/>
            <w:r w:rsidRPr="00E161B2">
              <w:rPr>
                <w:rFonts w:ascii="Arial Narrow" w:hAnsi="Arial Narrow"/>
                <w:snapToGrid w:val="0"/>
              </w:rPr>
              <w:t>octanoyl</w:t>
            </w:r>
            <w:proofErr w:type="spellEnd"/>
            <w:r w:rsidRPr="00E161B2">
              <w:rPr>
                <w:rFonts w:ascii="Arial Narrow" w:hAnsi="Arial Narrow"/>
                <w:snapToGrid w:val="0"/>
              </w:rPr>
              <w:t xml:space="preserve"> ester + </w:t>
            </w:r>
            <w:r w:rsidRPr="00E161B2">
              <w:rPr>
                <w:rFonts w:ascii="Arial Narrow" w:eastAsia="SimSun" w:hAnsi="Arial Narrow" w:cs="Arial"/>
                <w:snapToGrid w:val="0"/>
              </w:rPr>
              <w:t xml:space="preserve">350g/L </w:t>
            </w:r>
            <w:r w:rsidRPr="00E161B2">
              <w:rPr>
                <w:rFonts w:ascii="Arial Narrow" w:hAnsi="Arial Narrow"/>
                <w:snapToGrid w:val="0"/>
              </w:rPr>
              <w:t xml:space="preserve">MCPA present as the ethyl hexyl ester + </w:t>
            </w:r>
            <w:r w:rsidRPr="00E161B2">
              <w:rPr>
                <w:rFonts w:ascii="Arial Narrow" w:eastAsia="SimSun" w:hAnsi="Arial Narrow" w:cs="Arial"/>
                <w:snapToGrid w:val="0"/>
              </w:rPr>
              <w:t xml:space="preserve">35g/L </w:t>
            </w:r>
            <w:proofErr w:type="spellStart"/>
            <w:r w:rsidRPr="00E161B2">
              <w:rPr>
                <w:rFonts w:ascii="Arial Narrow" w:hAnsi="Arial Narrow"/>
                <w:snapToGrid w:val="0"/>
              </w:rPr>
              <w:t>Picolinafen</w:t>
            </w:r>
            <w:proofErr w:type="spellEnd"/>
          </w:p>
        </w:tc>
        <w:tc>
          <w:tcPr>
            <w:tcW w:w="1175" w:type="pct"/>
            <w:vMerge/>
            <w:shd w:val="clear" w:color="auto" w:fill="auto"/>
          </w:tcPr>
          <w:p w14:paraId="3960B57C" w14:textId="77777777" w:rsidR="004631F2" w:rsidRPr="00E161B2" w:rsidRDefault="004631F2" w:rsidP="00F142B9">
            <w:pPr>
              <w:jc w:val="both"/>
              <w:rPr>
                <w:rFonts w:ascii="Arial Narrow" w:eastAsia="SimSun" w:hAnsi="Arial Narrow" w:cs="Arial"/>
                <w:highlight w:val="yellow"/>
              </w:rPr>
            </w:pPr>
          </w:p>
        </w:tc>
      </w:tr>
      <w:tr w:rsidR="004631F2" w:rsidRPr="00E161B2" w14:paraId="147C8A67" w14:textId="77777777" w:rsidTr="00F142B9">
        <w:trPr>
          <w:trHeight w:val="201"/>
          <w:jc w:val="center"/>
        </w:trPr>
        <w:tc>
          <w:tcPr>
            <w:tcW w:w="913" w:type="pct"/>
            <w:vMerge/>
            <w:shd w:val="clear" w:color="auto" w:fill="auto"/>
          </w:tcPr>
          <w:p w14:paraId="19D3D34D" w14:textId="77777777" w:rsidR="004631F2" w:rsidRPr="00E161B2" w:rsidRDefault="004631F2" w:rsidP="00F142B9">
            <w:pPr>
              <w:jc w:val="both"/>
              <w:rPr>
                <w:rFonts w:ascii="Arial Narrow" w:eastAsia="SimSun" w:hAnsi="Arial Narrow" w:cs="Arial"/>
              </w:rPr>
            </w:pPr>
          </w:p>
        </w:tc>
        <w:tc>
          <w:tcPr>
            <w:tcW w:w="2912" w:type="pct"/>
            <w:shd w:val="clear" w:color="auto" w:fill="auto"/>
          </w:tcPr>
          <w:p w14:paraId="6E5DE4BF" w14:textId="77777777" w:rsidR="004631F2" w:rsidRPr="00E161B2" w:rsidRDefault="004631F2" w:rsidP="00F142B9">
            <w:pPr>
              <w:jc w:val="both"/>
              <w:rPr>
                <w:rFonts w:ascii="Arial Narrow" w:hAnsi="Arial Narrow" w:cs="Arial"/>
                <w:lang w:val="en-US"/>
              </w:rPr>
            </w:pPr>
            <w:r w:rsidRPr="00E161B2">
              <w:rPr>
                <w:rFonts w:ascii="Arial Narrow" w:hAnsi="Arial Narrow" w:cs="Arial"/>
                <w:lang w:val="en-US"/>
              </w:rPr>
              <w:t>Flight</w:t>
            </w:r>
            <w:r w:rsidRPr="00E161B2">
              <w:rPr>
                <w:rFonts w:ascii="Arial Narrow" w:eastAsia="SimSun" w:hAnsi="Arial Narrow" w:cs="Arial"/>
                <w:vertAlign w:val="superscript"/>
              </w:rPr>
              <w:t>®</w:t>
            </w:r>
            <w:r w:rsidRPr="00E161B2">
              <w:rPr>
                <w:rFonts w:ascii="Arial Narrow" w:eastAsia="Arial Narrow" w:hAnsi="Arial Narrow" w:cs="Arial Narrow"/>
                <w:lang w:val="en-US"/>
              </w:rPr>
              <w:t>*</w:t>
            </w:r>
            <w:r w:rsidRPr="00E161B2">
              <w:rPr>
                <w:rFonts w:ascii="Arial Narrow" w:hAnsi="Arial Narrow" w:cs="Arial"/>
                <w:lang w:val="en-US"/>
              </w:rPr>
              <w:t xml:space="preserve"> EC</w:t>
            </w:r>
          </w:p>
          <w:p w14:paraId="231D60EF" w14:textId="77777777" w:rsidR="004631F2" w:rsidRPr="00E161B2" w:rsidRDefault="004631F2" w:rsidP="00F142B9">
            <w:pPr>
              <w:jc w:val="both"/>
              <w:rPr>
                <w:rFonts w:ascii="Arial Narrow" w:hAnsi="Arial Narrow" w:cs="Arial"/>
                <w:shd w:val="clear" w:color="auto" w:fill="FFFFFF"/>
              </w:rPr>
            </w:pPr>
            <w:r w:rsidRPr="00E161B2">
              <w:rPr>
                <w:rFonts w:ascii="Arial Narrow" w:eastAsia="SimSun" w:hAnsi="Arial Narrow" w:cs="Arial"/>
              </w:rPr>
              <w:t xml:space="preserve">210g/L </w:t>
            </w:r>
            <w:proofErr w:type="spellStart"/>
            <w:r w:rsidRPr="00E161B2">
              <w:rPr>
                <w:rFonts w:ascii="Arial Narrow" w:hAnsi="Arial Narrow"/>
              </w:rPr>
              <w:t>Bromoxynil</w:t>
            </w:r>
            <w:proofErr w:type="spellEnd"/>
            <w:r w:rsidRPr="00E161B2">
              <w:rPr>
                <w:rFonts w:ascii="Arial Narrow" w:hAnsi="Arial Narrow"/>
              </w:rPr>
              <w:t xml:space="preserve"> present as the n-</w:t>
            </w:r>
            <w:proofErr w:type="spellStart"/>
            <w:r w:rsidRPr="00E161B2">
              <w:rPr>
                <w:rFonts w:ascii="Arial Narrow" w:hAnsi="Arial Narrow"/>
              </w:rPr>
              <w:t>octanoyl</w:t>
            </w:r>
            <w:proofErr w:type="spellEnd"/>
            <w:r w:rsidRPr="00E161B2">
              <w:rPr>
                <w:rFonts w:ascii="Arial Narrow" w:hAnsi="Arial Narrow"/>
              </w:rPr>
              <w:t xml:space="preserve"> ester + </w:t>
            </w:r>
            <w:r w:rsidRPr="00E161B2">
              <w:rPr>
                <w:rFonts w:ascii="Arial Narrow" w:eastAsia="SimSun" w:hAnsi="Arial Narrow" w:cs="Arial"/>
              </w:rPr>
              <w:t xml:space="preserve">350g/L </w:t>
            </w:r>
            <w:r w:rsidRPr="00E161B2">
              <w:rPr>
                <w:rFonts w:ascii="Arial Narrow" w:hAnsi="Arial Narrow"/>
              </w:rPr>
              <w:t xml:space="preserve">MCPA present as the ethyl hexyl ester + </w:t>
            </w:r>
            <w:r w:rsidRPr="00E161B2">
              <w:rPr>
                <w:rFonts w:ascii="Arial Narrow" w:eastAsia="SimSun" w:hAnsi="Arial Narrow" w:cs="Arial"/>
              </w:rPr>
              <w:t xml:space="preserve">35g/L </w:t>
            </w:r>
            <w:proofErr w:type="spellStart"/>
            <w:r w:rsidRPr="00E161B2">
              <w:rPr>
                <w:rFonts w:ascii="Arial Narrow" w:hAnsi="Arial Narrow"/>
              </w:rPr>
              <w:t>Picolinafen</w:t>
            </w:r>
            <w:proofErr w:type="spellEnd"/>
          </w:p>
        </w:tc>
        <w:tc>
          <w:tcPr>
            <w:tcW w:w="1175" w:type="pct"/>
            <w:vMerge/>
            <w:shd w:val="clear" w:color="auto" w:fill="auto"/>
          </w:tcPr>
          <w:p w14:paraId="391C79E1" w14:textId="77777777" w:rsidR="004631F2" w:rsidRPr="00E161B2" w:rsidRDefault="004631F2" w:rsidP="00F142B9">
            <w:pPr>
              <w:jc w:val="both"/>
              <w:rPr>
                <w:rFonts w:ascii="Arial Narrow" w:eastAsia="SimSun" w:hAnsi="Arial Narrow" w:cs="Arial"/>
                <w:highlight w:val="yellow"/>
              </w:rPr>
            </w:pPr>
          </w:p>
        </w:tc>
      </w:tr>
      <w:tr w:rsidR="004631F2" w:rsidRPr="00E161B2" w14:paraId="40709040" w14:textId="77777777" w:rsidTr="00F142B9">
        <w:trPr>
          <w:trHeight w:val="201"/>
          <w:jc w:val="center"/>
        </w:trPr>
        <w:tc>
          <w:tcPr>
            <w:tcW w:w="913" w:type="pct"/>
            <w:vMerge/>
            <w:shd w:val="clear" w:color="auto" w:fill="auto"/>
          </w:tcPr>
          <w:p w14:paraId="08D646D8" w14:textId="77777777" w:rsidR="004631F2" w:rsidRPr="00E161B2" w:rsidRDefault="004631F2" w:rsidP="00F142B9">
            <w:pPr>
              <w:jc w:val="both"/>
              <w:rPr>
                <w:rFonts w:ascii="Arial Narrow" w:eastAsia="SimSun" w:hAnsi="Arial Narrow" w:cs="Arial"/>
              </w:rPr>
            </w:pPr>
          </w:p>
        </w:tc>
        <w:tc>
          <w:tcPr>
            <w:tcW w:w="2912" w:type="pct"/>
            <w:shd w:val="clear" w:color="auto" w:fill="auto"/>
          </w:tcPr>
          <w:p w14:paraId="1F689381" w14:textId="77777777" w:rsidR="004631F2" w:rsidRPr="00E161B2" w:rsidRDefault="004631F2" w:rsidP="00F142B9">
            <w:pPr>
              <w:jc w:val="both"/>
              <w:rPr>
                <w:rFonts w:ascii="Arial Narrow" w:eastAsia="SimSun" w:hAnsi="Arial Narrow" w:cs="Arial"/>
              </w:rPr>
            </w:pPr>
            <w:proofErr w:type="spellStart"/>
            <w:r w:rsidRPr="00E161B2">
              <w:rPr>
                <w:rFonts w:ascii="Arial Narrow" w:eastAsia="SimSun" w:hAnsi="Arial Narrow" w:cs="Arial"/>
              </w:rPr>
              <w:t>Sencor</w:t>
            </w:r>
            <w:proofErr w:type="spellEnd"/>
            <w:r w:rsidRPr="00E161B2">
              <w:rPr>
                <w:rFonts w:ascii="Arial Narrow" w:eastAsia="SimSun" w:hAnsi="Arial Narrow" w:cs="Arial"/>
                <w:vertAlign w:val="superscript"/>
              </w:rPr>
              <w:t>®</w:t>
            </w:r>
            <w:r w:rsidRPr="00E161B2">
              <w:rPr>
                <w:rFonts w:ascii="Arial Narrow" w:eastAsia="Arial Narrow" w:hAnsi="Arial Narrow" w:cs="Arial Narrow"/>
                <w:lang w:val="en-US"/>
              </w:rPr>
              <w:t xml:space="preserve">* </w:t>
            </w:r>
            <w:r w:rsidRPr="00E161B2">
              <w:rPr>
                <w:rFonts w:ascii="Arial Narrow" w:eastAsia="SimSun" w:hAnsi="Arial Narrow" w:cs="Arial"/>
              </w:rPr>
              <w:t xml:space="preserve">480 </w:t>
            </w:r>
          </w:p>
          <w:p w14:paraId="09EF76D6"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 xml:space="preserve">480g/L </w:t>
            </w:r>
            <w:proofErr w:type="spellStart"/>
            <w:r w:rsidRPr="00E161B2">
              <w:rPr>
                <w:rFonts w:ascii="Arial Narrow" w:eastAsia="SimSun" w:hAnsi="Arial Narrow" w:cs="Arial"/>
              </w:rPr>
              <w:t>metribuzin</w:t>
            </w:r>
            <w:proofErr w:type="spellEnd"/>
          </w:p>
        </w:tc>
        <w:tc>
          <w:tcPr>
            <w:tcW w:w="1175" w:type="pct"/>
            <w:vMerge/>
            <w:shd w:val="clear" w:color="auto" w:fill="auto"/>
          </w:tcPr>
          <w:p w14:paraId="42AEA158" w14:textId="77777777" w:rsidR="004631F2" w:rsidRPr="00E161B2" w:rsidRDefault="004631F2" w:rsidP="00F142B9">
            <w:pPr>
              <w:jc w:val="both"/>
              <w:rPr>
                <w:rFonts w:ascii="Arial Narrow" w:eastAsia="SimSun" w:hAnsi="Arial Narrow" w:cs="Arial"/>
                <w:highlight w:val="yellow"/>
              </w:rPr>
            </w:pPr>
          </w:p>
        </w:tc>
      </w:tr>
      <w:tr w:rsidR="004631F2" w:rsidRPr="00E161B2" w14:paraId="7A8FB4ED" w14:textId="77777777" w:rsidTr="00F142B9">
        <w:trPr>
          <w:trHeight w:val="201"/>
          <w:jc w:val="center"/>
        </w:trPr>
        <w:tc>
          <w:tcPr>
            <w:tcW w:w="913" w:type="pct"/>
            <w:vMerge/>
            <w:shd w:val="clear" w:color="auto" w:fill="auto"/>
          </w:tcPr>
          <w:p w14:paraId="395AB494" w14:textId="77777777" w:rsidR="004631F2" w:rsidRPr="00E161B2" w:rsidRDefault="004631F2" w:rsidP="00F142B9">
            <w:pPr>
              <w:jc w:val="both"/>
              <w:rPr>
                <w:rFonts w:ascii="Arial Narrow" w:eastAsia="SimSun" w:hAnsi="Arial Narrow" w:cs="Arial"/>
              </w:rPr>
            </w:pPr>
          </w:p>
        </w:tc>
        <w:tc>
          <w:tcPr>
            <w:tcW w:w="2912" w:type="pct"/>
            <w:shd w:val="clear" w:color="auto" w:fill="auto"/>
          </w:tcPr>
          <w:p w14:paraId="67CE569F" w14:textId="77777777" w:rsidR="004631F2" w:rsidRPr="00E161B2" w:rsidRDefault="004631F2" w:rsidP="00F142B9">
            <w:pPr>
              <w:jc w:val="both"/>
              <w:rPr>
                <w:rFonts w:ascii="Arial Narrow" w:eastAsia="SimSun" w:hAnsi="Arial Narrow" w:cs="Arial"/>
              </w:rPr>
            </w:pPr>
            <w:proofErr w:type="spellStart"/>
            <w:r w:rsidRPr="00E161B2">
              <w:rPr>
                <w:rFonts w:ascii="Arial Narrow" w:eastAsia="SimSun" w:hAnsi="Arial Narrow" w:cs="Arial"/>
              </w:rPr>
              <w:t>Topik</w:t>
            </w:r>
            <w:proofErr w:type="spellEnd"/>
            <w:r w:rsidRPr="00E161B2">
              <w:rPr>
                <w:rFonts w:ascii="Arial Narrow" w:eastAsia="SimSun" w:hAnsi="Arial Narrow" w:cs="Arial"/>
                <w:vertAlign w:val="superscript"/>
              </w:rPr>
              <w:t>®</w:t>
            </w:r>
            <w:r w:rsidRPr="00E161B2">
              <w:rPr>
                <w:rFonts w:ascii="Arial Narrow" w:eastAsia="Arial Narrow" w:hAnsi="Arial Narrow" w:cs="Arial Narrow"/>
                <w:lang w:val="en-US"/>
              </w:rPr>
              <w:t>*</w:t>
            </w:r>
            <w:r w:rsidRPr="00E161B2">
              <w:rPr>
                <w:rFonts w:ascii="Arial Narrow" w:eastAsia="SimSun" w:hAnsi="Arial Narrow" w:cs="Arial"/>
              </w:rPr>
              <w:t xml:space="preserve"> 240 </w:t>
            </w:r>
          </w:p>
          <w:p w14:paraId="71DE0F30"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 xml:space="preserve">240g/L </w:t>
            </w:r>
            <w:proofErr w:type="spellStart"/>
            <w:r w:rsidRPr="00E161B2">
              <w:rPr>
                <w:rFonts w:ascii="Arial Narrow" w:eastAsia="SimSun" w:hAnsi="Arial Narrow" w:cs="Arial"/>
              </w:rPr>
              <w:t>clodinafop-propargyl</w:t>
            </w:r>
            <w:proofErr w:type="spellEnd"/>
            <w:r w:rsidRPr="00E161B2">
              <w:rPr>
                <w:rFonts w:ascii="Arial Narrow" w:eastAsia="SimSun" w:hAnsi="Arial Narrow" w:cs="Arial"/>
              </w:rPr>
              <w:t xml:space="preserve"> + 60g/L </w:t>
            </w:r>
            <w:proofErr w:type="spellStart"/>
            <w:r w:rsidRPr="00E161B2">
              <w:rPr>
                <w:rFonts w:ascii="Arial Narrow" w:eastAsia="SimSun" w:hAnsi="Arial Narrow" w:cs="Arial"/>
              </w:rPr>
              <w:t>cloquintocet</w:t>
            </w:r>
            <w:proofErr w:type="spellEnd"/>
          </w:p>
        </w:tc>
        <w:tc>
          <w:tcPr>
            <w:tcW w:w="1175" w:type="pct"/>
            <w:vMerge/>
            <w:shd w:val="clear" w:color="auto" w:fill="auto"/>
          </w:tcPr>
          <w:p w14:paraId="6EF9A72F" w14:textId="77777777" w:rsidR="004631F2" w:rsidRPr="00E161B2" w:rsidRDefault="004631F2" w:rsidP="00F142B9">
            <w:pPr>
              <w:jc w:val="both"/>
              <w:rPr>
                <w:rFonts w:ascii="Arial Narrow" w:eastAsia="SimSun" w:hAnsi="Arial Narrow" w:cs="Arial"/>
                <w:highlight w:val="yellow"/>
              </w:rPr>
            </w:pPr>
          </w:p>
        </w:tc>
      </w:tr>
      <w:tr w:rsidR="004631F2" w:rsidRPr="00E161B2" w14:paraId="2A88B5E2" w14:textId="77777777" w:rsidTr="00F142B9">
        <w:trPr>
          <w:trHeight w:val="527"/>
          <w:jc w:val="center"/>
        </w:trPr>
        <w:tc>
          <w:tcPr>
            <w:tcW w:w="913" w:type="pct"/>
            <w:vMerge/>
            <w:shd w:val="clear" w:color="auto" w:fill="auto"/>
          </w:tcPr>
          <w:p w14:paraId="761CD5DD" w14:textId="77777777" w:rsidR="004631F2" w:rsidRPr="00E161B2" w:rsidRDefault="004631F2" w:rsidP="00F142B9">
            <w:pPr>
              <w:jc w:val="both"/>
              <w:rPr>
                <w:rFonts w:ascii="Arial Narrow" w:eastAsia="SimSun" w:hAnsi="Arial Narrow" w:cs="Arial"/>
              </w:rPr>
            </w:pPr>
          </w:p>
        </w:tc>
        <w:tc>
          <w:tcPr>
            <w:tcW w:w="2912" w:type="pct"/>
            <w:shd w:val="clear" w:color="auto" w:fill="auto"/>
          </w:tcPr>
          <w:p w14:paraId="4B458389"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Axial</w:t>
            </w:r>
            <w:r w:rsidRPr="00E161B2">
              <w:rPr>
                <w:rFonts w:ascii="Arial Narrow" w:eastAsia="SimSun" w:hAnsi="Arial Narrow" w:cs="Arial"/>
                <w:vertAlign w:val="superscript"/>
              </w:rPr>
              <w:t>®</w:t>
            </w:r>
            <w:r w:rsidRPr="00E161B2">
              <w:rPr>
                <w:rFonts w:ascii="Arial Narrow" w:eastAsia="Arial Narrow" w:hAnsi="Arial Narrow" w:cs="Arial Narrow"/>
                <w:lang w:val="en-US"/>
              </w:rPr>
              <w:t>*</w:t>
            </w:r>
          </w:p>
          <w:p w14:paraId="44D3E92C"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 xml:space="preserve">100g/L </w:t>
            </w:r>
            <w:proofErr w:type="spellStart"/>
            <w:r w:rsidRPr="00E161B2">
              <w:rPr>
                <w:rFonts w:ascii="Arial Narrow" w:eastAsia="SimSun" w:hAnsi="Arial Narrow" w:cs="Arial"/>
              </w:rPr>
              <w:t>pinoxaden</w:t>
            </w:r>
            <w:proofErr w:type="spellEnd"/>
            <w:r w:rsidRPr="00E161B2">
              <w:rPr>
                <w:rFonts w:ascii="Arial Narrow" w:eastAsia="SimSun" w:hAnsi="Arial Narrow" w:cs="Arial"/>
              </w:rPr>
              <w:t xml:space="preserve"> + 25g/L </w:t>
            </w:r>
            <w:proofErr w:type="spellStart"/>
            <w:r w:rsidRPr="00E161B2">
              <w:rPr>
                <w:rFonts w:ascii="Arial Narrow" w:eastAsia="SimSun" w:hAnsi="Arial Narrow" w:cs="Arial"/>
              </w:rPr>
              <w:t>cloquintocet</w:t>
            </w:r>
            <w:proofErr w:type="spellEnd"/>
          </w:p>
        </w:tc>
        <w:tc>
          <w:tcPr>
            <w:tcW w:w="1175" w:type="pct"/>
            <w:vMerge/>
            <w:shd w:val="clear" w:color="auto" w:fill="auto"/>
          </w:tcPr>
          <w:p w14:paraId="10A524FD" w14:textId="77777777" w:rsidR="004631F2" w:rsidRPr="00E161B2" w:rsidRDefault="004631F2" w:rsidP="00F142B9">
            <w:pPr>
              <w:jc w:val="both"/>
              <w:rPr>
                <w:rFonts w:ascii="Arial Narrow" w:eastAsia="SimSun" w:hAnsi="Arial Narrow" w:cs="Arial"/>
                <w:highlight w:val="yellow"/>
              </w:rPr>
            </w:pPr>
          </w:p>
        </w:tc>
      </w:tr>
      <w:tr w:rsidR="004631F2" w:rsidRPr="00E161B2" w14:paraId="35F41A49" w14:textId="77777777" w:rsidTr="00F142B9">
        <w:trPr>
          <w:trHeight w:val="1821"/>
          <w:jc w:val="center"/>
        </w:trPr>
        <w:tc>
          <w:tcPr>
            <w:tcW w:w="913" w:type="pct"/>
            <w:shd w:val="clear" w:color="auto" w:fill="auto"/>
          </w:tcPr>
          <w:p w14:paraId="59B66CE0" w14:textId="77777777" w:rsidR="004631F2" w:rsidRPr="00E161B2" w:rsidRDefault="004631F2" w:rsidP="00F142B9">
            <w:pPr>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FREQUENCY</w:t>
            </w:r>
            <w:r w:rsidRPr="00E161B2">
              <w:rPr>
                <w:rFonts w:ascii="Arial Narrow" w:eastAsia="Arial Narrow" w:hAnsi="Arial Narrow" w:cs="Arial Narrow"/>
                <w:sz w:val="24"/>
                <w:vertAlign w:val="superscript"/>
                <w:lang w:val="en-US"/>
              </w:rPr>
              <w:t>®</w:t>
            </w:r>
            <w:r w:rsidRPr="00E161B2">
              <w:rPr>
                <w:rFonts w:ascii="Arial Narrow" w:eastAsia="Arial Narrow" w:hAnsi="Arial Narrow" w:cs="Arial Narrow"/>
                <w:sz w:val="24"/>
                <w:lang w:val="en-US"/>
              </w:rPr>
              <w:t xml:space="preserve"> Herbicide </w:t>
            </w:r>
          </w:p>
          <w:p w14:paraId="467BBC0B" w14:textId="77777777" w:rsidR="004631F2" w:rsidRPr="00E161B2" w:rsidRDefault="004631F2" w:rsidP="00F142B9">
            <w:pPr>
              <w:jc w:val="both"/>
              <w:rPr>
                <w:rFonts w:ascii="Arial Narrow" w:eastAsia="Arial Narrow" w:hAnsi="Arial Narrow" w:cs="Arial Narrow"/>
                <w:sz w:val="24"/>
                <w:lang w:val="en-US"/>
              </w:rPr>
            </w:pPr>
          </w:p>
          <w:p w14:paraId="13E9D6B4"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w:t>
            </w:r>
            <w:r>
              <w:rPr>
                <w:rFonts w:ascii="Arial Narrow" w:eastAsia="SimSun" w:hAnsi="Arial Narrow" w:cs="Arial"/>
              </w:rPr>
              <w:t xml:space="preserve"> </w:t>
            </w:r>
            <w:proofErr w:type="spellStart"/>
            <w:r w:rsidRPr="00E161B2">
              <w:rPr>
                <w:rFonts w:ascii="Arial Narrow" w:eastAsia="SimSun" w:hAnsi="Arial Narrow" w:cs="Arial"/>
              </w:rPr>
              <w:t>Bromoxynil</w:t>
            </w:r>
            <w:proofErr w:type="spellEnd"/>
            <w:r w:rsidRPr="00E161B2">
              <w:rPr>
                <w:rFonts w:ascii="Arial Narrow" w:eastAsia="SimSun" w:hAnsi="Arial Narrow" w:cs="Arial"/>
              </w:rPr>
              <w:t xml:space="preserve"> </w:t>
            </w:r>
          </w:p>
          <w:p w14:paraId="0CDE6FAA"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 xml:space="preserve">200g/L </w:t>
            </w:r>
            <w:proofErr w:type="spellStart"/>
            <w:r w:rsidRPr="00E161B2">
              <w:rPr>
                <w:rFonts w:ascii="Arial Narrow" w:eastAsia="SimSun" w:hAnsi="Arial Narrow" w:cs="Arial"/>
              </w:rPr>
              <w:t>bromoxynil</w:t>
            </w:r>
            <w:proofErr w:type="spellEnd"/>
            <w:r w:rsidRPr="00E161B2">
              <w:rPr>
                <w:rFonts w:ascii="Arial Narrow" w:eastAsia="SimSun" w:hAnsi="Arial Narrow" w:cs="Arial"/>
              </w:rPr>
              <w:t xml:space="preserve"> as N-</w:t>
            </w:r>
            <w:proofErr w:type="spellStart"/>
            <w:r w:rsidRPr="00E161B2">
              <w:rPr>
                <w:rFonts w:ascii="Arial Narrow" w:eastAsia="SimSun" w:hAnsi="Arial Narrow" w:cs="Arial"/>
              </w:rPr>
              <w:t>octanoyl</w:t>
            </w:r>
            <w:proofErr w:type="spellEnd"/>
            <w:r w:rsidRPr="00E161B2">
              <w:rPr>
                <w:rFonts w:ascii="Arial Narrow" w:eastAsia="SimSun" w:hAnsi="Arial Narrow" w:cs="Arial"/>
              </w:rPr>
              <w:t xml:space="preserve"> ester </w:t>
            </w:r>
          </w:p>
          <w:p w14:paraId="4C6E900B" w14:textId="77777777" w:rsidR="004631F2" w:rsidRPr="00E161B2" w:rsidRDefault="004631F2" w:rsidP="00F142B9">
            <w:pPr>
              <w:jc w:val="both"/>
              <w:rPr>
                <w:rFonts w:ascii="Arial Narrow" w:eastAsia="Arial Narrow" w:hAnsi="Arial Narrow" w:cs="Arial Narrow"/>
                <w:sz w:val="24"/>
                <w:lang w:val="en-US"/>
              </w:rPr>
            </w:pPr>
            <w:r w:rsidRPr="00E161B2">
              <w:rPr>
                <w:rFonts w:ascii="Arial Narrow" w:eastAsia="SimSun" w:hAnsi="Arial Narrow" w:cs="Arial"/>
              </w:rPr>
              <w:t>+ Hasten Adjuvant</w:t>
            </w:r>
          </w:p>
          <w:p w14:paraId="4898D42E" w14:textId="77777777" w:rsidR="004631F2" w:rsidRPr="00E161B2" w:rsidRDefault="004631F2" w:rsidP="00F142B9">
            <w:pPr>
              <w:jc w:val="both"/>
              <w:rPr>
                <w:rFonts w:ascii="Arial Narrow" w:eastAsia="Arial Narrow" w:hAnsi="Arial Narrow" w:cs="Arial Narrow"/>
                <w:sz w:val="24"/>
                <w:lang w:val="en-US"/>
              </w:rPr>
            </w:pPr>
          </w:p>
          <w:p w14:paraId="2A10CEEA" w14:textId="77777777" w:rsidR="004631F2" w:rsidRPr="00E161B2" w:rsidRDefault="004631F2" w:rsidP="00F142B9">
            <w:pPr>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or</w:t>
            </w:r>
          </w:p>
          <w:p w14:paraId="61DEB78E" w14:textId="77777777" w:rsidR="004631F2" w:rsidRPr="00E161B2" w:rsidRDefault="004631F2" w:rsidP="00F142B9">
            <w:pPr>
              <w:jc w:val="both"/>
              <w:rPr>
                <w:rFonts w:ascii="Arial Narrow" w:eastAsia="Arial Narrow" w:hAnsi="Arial Narrow" w:cs="Arial Narrow"/>
                <w:sz w:val="24"/>
                <w:lang w:val="en-US"/>
              </w:rPr>
            </w:pPr>
          </w:p>
          <w:p w14:paraId="3834A68B"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w:t>
            </w:r>
            <w:r>
              <w:rPr>
                <w:rFonts w:ascii="Arial Narrow" w:eastAsia="SimSun" w:hAnsi="Arial Narrow" w:cs="Arial"/>
              </w:rPr>
              <w:t xml:space="preserve"> </w:t>
            </w:r>
            <w:r w:rsidRPr="00E161B2">
              <w:rPr>
                <w:rFonts w:ascii="Arial Narrow" w:eastAsia="SimSun" w:hAnsi="Arial Narrow" w:cs="Arial"/>
              </w:rPr>
              <w:t>MCPA (L.V.E) -</w:t>
            </w:r>
          </w:p>
          <w:p w14:paraId="56E5E1CF"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570g/L MCPA as 2-ethylhexyl ester</w:t>
            </w:r>
          </w:p>
          <w:p w14:paraId="4C14AEB2"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 Hasten Adjuvant</w:t>
            </w:r>
          </w:p>
        </w:tc>
        <w:tc>
          <w:tcPr>
            <w:tcW w:w="2912" w:type="pct"/>
            <w:shd w:val="clear" w:color="auto" w:fill="auto"/>
          </w:tcPr>
          <w:p w14:paraId="507EBD1A"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Liquid urea ammonium nitrate fertilizer (UAN)</w:t>
            </w:r>
          </w:p>
        </w:tc>
        <w:tc>
          <w:tcPr>
            <w:tcW w:w="1175" w:type="pct"/>
            <w:shd w:val="clear" w:color="auto" w:fill="auto"/>
          </w:tcPr>
          <w:p w14:paraId="29297181" w14:textId="77777777" w:rsidR="004631F2" w:rsidRPr="00E161B2" w:rsidRDefault="004631F2" w:rsidP="00F142B9">
            <w:pPr>
              <w:jc w:val="both"/>
              <w:rPr>
                <w:rFonts w:ascii="Arial Narrow" w:eastAsia="SimSun" w:hAnsi="Arial Narrow" w:cs="Arial"/>
                <w:highlight w:val="yellow"/>
              </w:rPr>
            </w:pPr>
            <w:r w:rsidRPr="00E161B2">
              <w:rPr>
                <w:rFonts w:ascii="Arial Narrow" w:eastAsia="SimSun" w:hAnsi="Arial Narrow" w:cs="Arial"/>
              </w:rPr>
              <w:t xml:space="preserve">Increased crop leaf burning </w:t>
            </w:r>
            <w:r>
              <w:rPr>
                <w:rFonts w:ascii="Arial Narrow" w:eastAsia="SimSun" w:hAnsi="Arial Narrow" w:cs="Arial"/>
              </w:rPr>
              <w:t>may occur</w:t>
            </w:r>
            <w:r w:rsidRPr="00E161B2">
              <w:rPr>
                <w:rFonts w:ascii="Arial Narrow" w:eastAsia="SimSun" w:hAnsi="Arial Narrow" w:cs="Arial"/>
              </w:rPr>
              <w:t xml:space="preserve"> however yields </w:t>
            </w:r>
            <w:r>
              <w:rPr>
                <w:rFonts w:ascii="Arial Narrow" w:eastAsia="SimSun" w:hAnsi="Arial Narrow" w:cs="Arial"/>
              </w:rPr>
              <w:t>will</w:t>
            </w:r>
            <w:r w:rsidRPr="00E161B2">
              <w:rPr>
                <w:rFonts w:ascii="Arial Narrow" w:eastAsia="SimSun" w:hAnsi="Arial Narrow" w:cs="Arial"/>
              </w:rPr>
              <w:t xml:space="preserve"> not </w:t>
            </w:r>
            <w:r>
              <w:rPr>
                <w:rFonts w:ascii="Arial Narrow" w:eastAsia="SimSun" w:hAnsi="Arial Narrow" w:cs="Arial"/>
              </w:rPr>
              <w:t xml:space="preserve">be </w:t>
            </w:r>
            <w:r w:rsidRPr="00E161B2">
              <w:rPr>
                <w:rFonts w:ascii="Arial Narrow" w:eastAsia="SimSun" w:hAnsi="Arial Narrow" w:cs="Arial"/>
              </w:rPr>
              <w:t>negatively impacted</w:t>
            </w:r>
          </w:p>
        </w:tc>
      </w:tr>
    </w:tbl>
    <w:p w14:paraId="441CD4CD" w14:textId="77777777" w:rsidR="004631F2" w:rsidRDefault="004631F2" w:rsidP="00276C28">
      <w:pPr>
        <w:widowControl w:val="0"/>
        <w:spacing w:before="240" w:after="240"/>
        <w:ind w:right="-20"/>
        <w:jc w:val="both"/>
        <w:rPr>
          <w:rFonts w:ascii="Arial Narrow" w:eastAsia="Arial Narrow" w:hAnsi="Arial Narrow" w:cs="Arial Narrow"/>
          <w:sz w:val="24"/>
          <w:lang w:val="en-US"/>
        </w:rPr>
      </w:pPr>
      <w:r w:rsidRPr="00E161B2">
        <w:rPr>
          <w:rFonts w:ascii="Arial Narrow" w:eastAsia="Arial Narrow" w:hAnsi="Arial Narrow" w:cs="Arial Narrow"/>
          <w:sz w:val="24"/>
          <w:lang w:val="en-US"/>
        </w:rPr>
        <w:t xml:space="preserve">As water quality can influence compatibility, it is recommended that mixtures should be bottle-tested in the water </w:t>
      </w:r>
      <w:r w:rsidRPr="00E161B2">
        <w:rPr>
          <w:rFonts w:ascii="Arial Narrow" w:eastAsia="Arial Narrow" w:hAnsi="Arial Narrow" w:cs="Arial Narrow"/>
          <w:sz w:val="24"/>
          <w:lang w:val="en-US"/>
        </w:rPr>
        <w:lastRenderedPageBreak/>
        <w:t>intended for spraying, prior to mixing commercial quantities.</w:t>
      </w:r>
    </w:p>
    <w:p w14:paraId="211C90B2" w14:textId="77777777" w:rsidR="004631F2" w:rsidRPr="00E161B2" w:rsidRDefault="004631F2" w:rsidP="00276C28">
      <w:pPr>
        <w:widowControl w:val="0"/>
        <w:spacing w:before="480"/>
        <w:ind w:right="-20"/>
        <w:jc w:val="both"/>
        <w:rPr>
          <w:rFonts w:ascii="Arial Narrow" w:eastAsia="Arial Narrow" w:hAnsi="Arial Narrow" w:cs="Arial Narrow"/>
          <w:sz w:val="24"/>
          <w:lang w:val="en-US"/>
        </w:rPr>
      </w:pPr>
      <w:r w:rsidRPr="00E161B2">
        <w:rPr>
          <w:rFonts w:ascii="Arial Narrow" w:eastAsia="Arial Narrow" w:hAnsi="Arial Narrow" w:cs="Arial Narrow"/>
          <w:b/>
          <w:bCs/>
          <w:spacing w:val="-1"/>
          <w:sz w:val="24"/>
          <w:lang w:val="en-US"/>
        </w:rPr>
        <w:t>CR</w:t>
      </w:r>
      <w:r w:rsidRPr="00E161B2">
        <w:rPr>
          <w:rFonts w:ascii="Arial Narrow" w:eastAsia="Arial Narrow" w:hAnsi="Arial Narrow" w:cs="Arial Narrow"/>
          <w:b/>
          <w:bCs/>
          <w:sz w:val="24"/>
          <w:lang w:val="en-US"/>
        </w:rPr>
        <w:t>OP</w:t>
      </w:r>
      <w:r w:rsidRPr="00E161B2">
        <w:rPr>
          <w:rFonts w:ascii="Arial Narrow" w:eastAsia="Arial Narrow" w:hAnsi="Arial Narrow" w:cs="Arial Narrow"/>
          <w:b/>
          <w:bCs/>
          <w:spacing w:val="-2"/>
          <w:sz w:val="24"/>
          <w:lang w:val="en-US"/>
        </w:rPr>
        <w:t xml:space="preserve"> </w:t>
      </w:r>
      <w:r w:rsidRPr="00E161B2">
        <w:rPr>
          <w:rFonts w:ascii="Arial Narrow" w:eastAsia="Arial Narrow" w:hAnsi="Arial Narrow" w:cs="Arial Narrow"/>
          <w:b/>
          <w:bCs/>
          <w:sz w:val="24"/>
          <w:lang w:val="en-US"/>
        </w:rPr>
        <w:t>S</w:t>
      </w:r>
      <w:r w:rsidRPr="00E161B2">
        <w:rPr>
          <w:rFonts w:ascii="Arial Narrow" w:eastAsia="Arial Narrow" w:hAnsi="Arial Narrow" w:cs="Arial Narrow"/>
          <w:b/>
          <w:bCs/>
          <w:spacing w:val="-1"/>
          <w:sz w:val="24"/>
          <w:lang w:val="en-US"/>
        </w:rPr>
        <w:t>A</w:t>
      </w:r>
      <w:r w:rsidRPr="00E161B2">
        <w:rPr>
          <w:rFonts w:ascii="Arial Narrow" w:eastAsia="Arial Narrow" w:hAnsi="Arial Narrow" w:cs="Arial Narrow"/>
          <w:b/>
          <w:bCs/>
          <w:spacing w:val="1"/>
          <w:sz w:val="24"/>
          <w:lang w:val="en-US"/>
        </w:rPr>
        <w:t>F</w:t>
      </w:r>
      <w:r w:rsidRPr="00E161B2">
        <w:rPr>
          <w:rFonts w:ascii="Arial Narrow" w:eastAsia="Arial Narrow" w:hAnsi="Arial Narrow" w:cs="Arial Narrow"/>
          <w:b/>
          <w:bCs/>
          <w:sz w:val="24"/>
          <w:lang w:val="en-US"/>
        </w:rPr>
        <w:t>E</w:t>
      </w:r>
      <w:r w:rsidRPr="00E161B2">
        <w:rPr>
          <w:rFonts w:ascii="Arial Narrow" w:eastAsia="Arial Narrow" w:hAnsi="Arial Narrow" w:cs="Arial Narrow"/>
          <w:b/>
          <w:bCs/>
          <w:spacing w:val="1"/>
          <w:sz w:val="24"/>
          <w:lang w:val="en-US"/>
        </w:rPr>
        <w:t>T</w:t>
      </w:r>
      <w:r w:rsidRPr="00E161B2">
        <w:rPr>
          <w:rFonts w:ascii="Arial Narrow" w:eastAsia="Arial Narrow" w:hAnsi="Arial Narrow" w:cs="Arial Narrow"/>
          <w:b/>
          <w:bCs/>
          <w:sz w:val="24"/>
          <w:lang w:val="en-US"/>
        </w:rPr>
        <w:t>Y</w:t>
      </w:r>
    </w:p>
    <w:p w14:paraId="5FE7B66F" w14:textId="77777777" w:rsidR="004631F2" w:rsidRPr="00E161B2" w:rsidRDefault="004631F2" w:rsidP="004631F2">
      <w:pPr>
        <w:widowControl w:val="0"/>
        <w:ind w:right="64"/>
        <w:jc w:val="both"/>
        <w:rPr>
          <w:rFonts w:ascii="Arial Narrow" w:eastAsia="Arial Narrow" w:hAnsi="Arial Narrow" w:cs="Arial Narrow"/>
          <w:spacing w:val="1"/>
          <w:sz w:val="24"/>
          <w:lang w:val="en-US"/>
        </w:rPr>
      </w:pPr>
      <w:r w:rsidRPr="00E161B2">
        <w:rPr>
          <w:rFonts w:ascii="Arial Narrow" w:eastAsia="Arial Narrow" w:hAnsi="Arial Narrow" w:cs="Arial Narrow"/>
          <w:spacing w:val="1"/>
          <w:sz w:val="24"/>
          <w:lang w:val="en-US"/>
        </w:rPr>
        <w:t xml:space="preserve">DO NOT apply to crops </w:t>
      </w:r>
      <w:proofErr w:type="spellStart"/>
      <w:r w:rsidRPr="00E161B2">
        <w:rPr>
          <w:rFonts w:ascii="Arial Narrow" w:eastAsia="Arial Narrow" w:hAnsi="Arial Narrow" w:cs="Arial Narrow"/>
          <w:spacing w:val="1"/>
          <w:sz w:val="24"/>
          <w:lang w:val="en-US"/>
        </w:rPr>
        <w:t>undersown</w:t>
      </w:r>
      <w:proofErr w:type="spellEnd"/>
      <w:r w:rsidRPr="00E161B2">
        <w:rPr>
          <w:rFonts w:ascii="Arial Narrow" w:eastAsia="Arial Narrow" w:hAnsi="Arial Narrow" w:cs="Arial Narrow"/>
          <w:spacing w:val="1"/>
          <w:sz w:val="24"/>
          <w:lang w:val="en-US"/>
        </w:rPr>
        <w:t xml:space="preserve"> with legumes and other broadleaf fodder.</w:t>
      </w:r>
    </w:p>
    <w:p w14:paraId="4138A25E" w14:textId="77777777" w:rsidR="004631F2" w:rsidRPr="00E161B2" w:rsidRDefault="004631F2" w:rsidP="004631F2">
      <w:pPr>
        <w:widowControl w:val="0"/>
        <w:ind w:right="64"/>
        <w:jc w:val="both"/>
        <w:rPr>
          <w:rFonts w:ascii="Arial Narrow" w:eastAsia="Arial Narrow" w:hAnsi="Arial Narrow" w:cs="Arial Narrow"/>
          <w:sz w:val="24"/>
          <w:lang w:val="en-US"/>
        </w:rPr>
      </w:pPr>
      <w:r w:rsidRPr="00E161B2">
        <w:rPr>
          <w:rFonts w:ascii="Arial Narrow" w:eastAsia="Arial Narrow" w:hAnsi="Arial Narrow" w:cs="Arial Narrow"/>
          <w:spacing w:val="1"/>
          <w:sz w:val="24"/>
          <w:lang w:val="en-US"/>
        </w:rPr>
        <w:t>F</w:t>
      </w:r>
      <w:r w:rsidRPr="00E161B2">
        <w:rPr>
          <w:rFonts w:ascii="Arial Narrow" w:eastAsia="Arial Narrow" w:hAnsi="Arial Narrow" w:cs="Arial Narrow"/>
          <w:sz w:val="24"/>
          <w:lang w:val="en-US"/>
        </w:rPr>
        <w:t>ol</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ng</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p</w:t>
      </w:r>
      <w:r w:rsidRPr="00E161B2">
        <w:rPr>
          <w:rFonts w:ascii="Arial Narrow" w:eastAsia="Arial Narrow" w:hAnsi="Arial Narrow" w:cs="Arial Narrow"/>
          <w:sz w:val="24"/>
          <w:lang w:val="en-US"/>
        </w:rPr>
        <w:t>pl</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ca</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w:t>
      </w:r>
      <w:r w:rsidRPr="00E161B2">
        <w:rPr>
          <w:rFonts w:ascii="Arial Narrow" w:eastAsia="Arial Narrow" w:hAnsi="Arial Narrow" w:cs="Arial Narrow"/>
          <w:spacing w:val="3"/>
          <w:sz w:val="24"/>
          <w:lang w:val="en-US"/>
        </w:rPr>
        <w:t xml:space="preserve"> </w:t>
      </w:r>
      <w:r w:rsidRPr="00E161B2">
        <w:rPr>
          <w:rFonts w:ascii="Arial Narrow" w:eastAsia="Arial Narrow" w:hAnsi="Arial Narrow" w:cs="Arial Narrow"/>
          <w:sz w:val="24"/>
          <w:lang w:val="en-US"/>
        </w:rPr>
        <w:t>so</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z w:val="24"/>
          <w:lang w:val="en-US"/>
        </w:rPr>
        <w:t>e</w:t>
      </w:r>
      <w:r w:rsidRPr="00E161B2">
        <w:rPr>
          <w:rFonts w:ascii="Arial Narrow" w:eastAsia="Arial Narrow" w:hAnsi="Arial Narrow" w:cs="Arial Narrow"/>
          <w:spacing w:val="6"/>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s</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t</w:t>
      </w:r>
      <w:r w:rsidRPr="00E161B2">
        <w:rPr>
          <w:rFonts w:ascii="Arial Narrow" w:eastAsia="Arial Narrow" w:hAnsi="Arial Narrow" w:cs="Arial Narrow"/>
          <w:spacing w:val="5"/>
          <w:sz w:val="24"/>
          <w:lang w:val="en-US"/>
        </w:rPr>
        <w:t xml:space="preserve"> </w:t>
      </w:r>
      <w:r w:rsidRPr="00E161B2">
        <w:rPr>
          <w:rFonts w:ascii="Arial Narrow" w:eastAsia="Arial Narrow" w:hAnsi="Arial Narrow" w:cs="Arial Narrow"/>
          <w:sz w:val="24"/>
          <w:lang w:val="en-US"/>
        </w:rPr>
        <w:t>ble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ching</w:t>
      </w:r>
      <w:r w:rsidRPr="00E161B2">
        <w:rPr>
          <w:rFonts w:ascii="Arial Narrow" w:eastAsia="Arial Narrow" w:hAnsi="Arial Narrow" w:cs="Arial Narrow"/>
          <w:spacing w:val="6"/>
          <w:sz w:val="24"/>
          <w:lang w:val="en-US"/>
        </w:rPr>
        <w:t xml:space="preserve"> </w:t>
      </w:r>
      <w:r w:rsidRPr="00E161B2">
        <w:rPr>
          <w:rFonts w:ascii="Arial Narrow" w:eastAsia="Arial Narrow" w:hAnsi="Arial Narrow" w:cs="Arial Narrow"/>
          <w:spacing w:val="-1"/>
          <w:sz w:val="24"/>
          <w:lang w:val="en-US"/>
        </w:rPr>
        <w:t>(</w:t>
      </w:r>
      <w:r w:rsidRPr="00E161B2">
        <w:rPr>
          <w:rFonts w:ascii="Arial Narrow" w:eastAsia="Arial Narrow" w:hAnsi="Arial Narrow" w:cs="Arial Narrow"/>
          <w:sz w:val="24"/>
          <w:lang w:val="en-US"/>
        </w:rPr>
        <w:t>white sp</w:t>
      </w:r>
      <w:r w:rsidRPr="00E161B2">
        <w:rPr>
          <w:rFonts w:ascii="Arial Narrow" w:eastAsia="Arial Narrow" w:hAnsi="Arial Narrow" w:cs="Arial Narrow"/>
          <w:spacing w:val="-1"/>
          <w:sz w:val="24"/>
          <w:lang w:val="en-US"/>
        </w:rPr>
        <w:t>o</w:t>
      </w:r>
      <w:r w:rsidRPr="00E161B2">
        <w:rPr>
          <w:rFonts w:ascii="Arial Narrow" w:eastAsia="Arial Narrow" w:hAnsi="Arial Narrow" w:cs="Arial Narrow"/>
          <w:sz w:val="24"/>
          <w:lang w:val="en-US"/>
        </w:rPr>
        <w:t>tting</w:t>
      </w:r>
      <w:r w:rsidRPr="00E161B2">
        <w:rPr>
          <w:rFonts w:ascii="Arial Narrow" w:eastAsia="Arial Narrow" w:hAnsi="Arial Narrow" w:cs="Arial Narrow"/>
          <w:spacing w:val="5"/>
          <w:sz w:val="24"/>
          <w:lang w:val="en-US"/>
        </w:rPr>
        <w:t xml:space="preserve"> </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d</w:t>
      </w:r>
      <w:r w:rsidRPr="00E161B2">
        <w:rPr>
          <w:rFonts w:ascii="Arial Narrow" w:eastAsia="Arial Narrow" w:hAnsi="Arial Narrow" w:cs="Arial Narrow"/>
          <w:spacing w:val="-1"/>
          <w:sz w:val="24"/>
          <w:lang w:val="en-US"/>
        </w:rPr>
        <w:t>/</w:t>
      </w:r>
      <w:r w:rsidRPr="00E161B2">
        <w:rPr>
          <w:rFonts w:ascii="Arial Narrow" w:eastAsia="Arial Narrow" w:hAnsi="Arial Narrow" w:cs="Arial Narrow"/>
          <w:sz w:val="24"/>
          <w:lang w:val="en-US"/>
        </w:rPr>
        <w:t>or</w:t>
      </w:r>
      <w:r w:rsidRPr="00E161B2">
        <w:rPr>
          <w:rFonts w:ascii="Arial Narrow" w:eastAsia="Arial Narrow" w:hAnsi="Arial Narrow" w:cs="Arial Narrow"/>
          <w:spacing w:val="4"/>
          <w:sz w:val="24"/>
          <w:lang w:val="en-US"/>
        </w:rPr>
        <w:t xml:space="preserve"> </w:t>
      </w:r>
      <w:r w:rsidRPr="00E161B2">
        <w:rPr>
          <w:rFonts w:ascii="Arial Narrow" w:eastAsia="Arial Narrow" w:hAnsi="Arial Narrow" w:cs="Arial Narrow"/>
          <w:spacing w:val="2"/>
          <w:sz w:val="24"/>
          <w:lang w:val="en-US"/>
        </w:rPr>
        <w:t>m</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z w:val="24"/>
          <w:lang w:val="en-US"/>
        </w:rPr>
        <w:t>tl</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g</w:t>
      </w:r>
      <w:r w:rsidRPr="00E161B2">
        <w:rPr>
          <w:rFonts w:ascii="Arial Narrow" w:eastAsia="Arial Narrow" w:hAnsi="Arial Narrow" w:cs="Arial Narrow"/>
          <w:sz w:val="24"/>
          <w:lang w:val="en-US"/>
        </w:rPr>
        <w:t>)</w:t>
      </w:r>
      <w:r w:rsidRPr="00E161B2">
        <w:rPr>
          <w:rFonts w:ascii="Arial Narrow" w:eastAsia="Arial Narrow" w:hAnsi="Arial Narrow" w:cs="Arial Narrow"/>
          <w:spacing w:val="3"/>
          <w:sz w:val="24"/>
          <w:lang w:val="en-US"/>
        </w:rPr>
        <w:t xml:space="preserve"> </w:t>
      </w:r>
      <w:r w:rsidRPr="00E161B2">
        <w:rPr>
          <w:rFonts w:ascii="Arial Narrow" w:eastAsia="Arial Narrow" w:hAnsi="Arial Narrow" w:cs="Arial Narrow"/>
          <w:sz w:val="24"/>
          <w:lang w:val="en-US"/>
        </w:rPr>
        <w:t>of</w:t>
      </w:r>
      <w:r w:rsidRPr="00E161B2">
        <w:rPr>
          <w:rFonts w:ascii="Arial Narrow" w:eastAsia="Arial Narrow" w:hAnsi="Arial Narrow" w:cs="Arial Narrow"/>
          <w:spacing w:val="5"/>
          <w:sz w:val="24"/>
          <w:lang w:val="en-US"/>
        </w:rPr>
        <w:t xml:space="preserve"> </w:t>
      </w:r>
      <w:r w:rsidRPr="00E161B2">
        <w:rPr>
          <w:rFonts w:ascii="Arial Narrow" w:eastAsia="Arial Narrow" w:hAnsi="Arial Narrow" w:cs="Arial Narrow"/>
          <w:sz w:val="24"/>
          <w:lang w:val="en-US"/>
        </w:rPr>
        <w:t>ce</w:t>
      </w:r>
      <w:r w:rsidRPr="00E161B2">
        <w:rPr>
          <w:rFonts w:ascii="Arial Narrow" w:eastAsia="Arial Narrow" w:hAnsi="Arial Narrow" w:cs="Arial Narrow"/>
          <w:spacing w:val="-2"/>
          <w:sz w:val="24"/>
          <w:lang w:val="en-US"/>
        </w:rPr>
        <w:t>r</w:t>
      </w:r>
      <w:r w:rsidRPr="00E161B2">
        <w:rPr>
          <w:rFonts w:ascii="Arial Narrow" w:eastAsia="Arial Narrow" w:hAnsi="Arial Narrow" w:cs="Arial Narrow"/>
          <w:spacing w:val="2"/>
          <w:sz w:val="24"/>
          <w:lang w:val="en-US"/>
        </w:rPr>
        <w:t>e</w:t>
      </w:r>
      <w:r w:rsidRPr="00E161B2">
        <w:rPr>
          <w:rFonts w:ascii="Arial Narrow" w:eastAsia="Arial Narrow" w:hAnsi="Arial Narrow" w:cs="Arial Narrow"/>
          <w:sz w:val="24"/>
          <w:lang w:val="en-US"/>
        </w:rPr>
        <w:t>al</w:t>
      </w:r>
      <w:r w:rsidRPr="00E161B2">
        <w:rPr>
          <w:rFonts w:ascii="Arial Narrow" w:eastAsia="Arial Narrow" w:hAnsi="Arial Narrow" w:cs="Arial Narrow"/>
          <w:spacing w:val="4"/>
          <w:sz w:val="24"/>
          <w:lang w:val="en-US"/>
        </w:rPr>
        <w:t xml:space="preserve"> </w:t>
      </w:r>
      <w:r w:rsidRPr="00E161B2">
        <w:rPr>
          <w:rFonts w:ascii="Arial Narrow" w:eastAsia="Arial Narrow" w:hAnsi="Arial Narrow" w:cs="Arial Narrow"/>
          <w:sz w:val="24"/>
          <w:lang w:val="en-US"/>
        </w:rPr>
        <w:t>f</w:t>
      </w:r>
      <w:r w:rsidRPr="00E161B2">
        <w:rPr>
          <w:rFonts w:ascii="Arial Narrow" w:eastAsia="Arial Narrow" w:hAnsi="Arial Narrow" w:cs="Arial Narrow"/>
          <w:spacing w:val="-1"/>
          <w:sz w:val="24"/>
          <w:lang w:val="en-US"/>
        </w:rPr>
        <w:t>o</w:t>
      </w:r>
      <w:r w:rsidRPr="00E161B2">
        <w:rPr>
          <w:rFonts w:ascii="Arial Narrow" w:eastAsia="Arial Narrow" w:hAnsi="Arial Narrow" w:cs="Arial Narrow"/>
          <w:spacing w:val="1"/>
          <w:sz w:val="24"/>
          <w:lang w:val="en-US"/>
        </w:rPr>
        <w:t>li</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g</w:t>
      </w:r>
      <w:r w:rsidRPr="00E161B2">
        <w:rPr>
          <w:rFonts w:ascii="Arial Narrow" w:eastAsia="Arial Narrow" w:hAnsi="Arial Narrow" w:cs="Arial Narrow"/>
          <w:sz w:val="24"/>
          <w:lang w:val="en-US"/>
        </w:rPr>
        <w:t>e</w:t>
      </w:r>
      <w:r w:rsidRPr="00E161B2">
        <w:rPr>
          <w:rFonts w:ascii="Arial Narrow" w:eastAsia="Arial Narrow" w:hAnsi="Arial Narrow" w:cs="Arial Narrow"/>
          <w:spacing w:val="6"/>
          <w:sz w:val="24"/>
          <w:lang w:val="en-US"/>
        </w:rPr>
        <w:t xml:space="preserve"> </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z w:val="24"/>
          <w:lang w:val="en-US"/>
        </w:rPr>
        <w:t>ay</w:t>
      </w:r>
      <w:r w:rsidRPr="00E161B2">
        <w:rPr>
          <w:rFonts w:ascii="Arial Narrow" w:eastAsia="Arial Narrow" w:hAnsi="Arial Narrow" w:cs="Arial Narrow"/>
          <w:spacing w:val="4"/>
          <w:sz w:val="24"/>
          <w:lang w:val="en-US"/>
        </w:rPr>
        <w:t xml:space="preserve"> </w:t>
      </w:r>
      <w:r w:rsidRPr="00E161B2">
        <w:rPr>
          <w:rFonts w:ascii="Arial Narrow" w:eastAsia="Arial Narrow" w:hAnsi="Arial Narrow" w:cs="Arial Narrow"/>
          <w:sz w:val="24"/>
          <w:lang w:val="en-US"/>
        </w:rPr>
        <w:t>occ</w:t>
      </w:r>
      <w:r w:rsidRPr="00E161B2">
        <w:rPr>
          <w:rFonts w:ascii="Arial Narrow" w:eastAsia="Arial Narrow" w:hAnsi="Arial Narrow" w:cs="Arial Narrow"/>
          <w:spacing w:val="2"/>
          <w:sz w:val="24"/>
          <w:lang w:val="en-US"/>
        </w:rPr>
        <w:t>u</w:t>
      </w:r>
      <w:r w:rsidRPr="00E161B2">
        <w:rPr>
          <w:rFonts w:ascii="Arial Narrow" w:eastAsia="Arial Narrow" w:hAnsi="Arial Narrow" w:cs="Arial Narrow"/>
          <w:sz w:val="24"/>
          <w:lang w:val="en-US"/>
        </w:rPr>
        <w:t>r</w:t>
      </w:r>
      <w:r w:rsidRPr="00E161B2">
        <w:rPr>
          <w:rFonts w:ascii="Arial Narrow" w:eastAsia="Arial Narrow" w:hAnsi="Arial Narrow" w:cs="Arial Narrow"/>
          <w:spacing w:val="3"/>
          <w:sz w:val="24"/>
          <w:lang w:val="en-US"/>
        </w:rPr>
        <w:t xml:space="preserve"> </w:t>
      </w:r>
      <w:r w:rsidRPr="00E161B2">
        <w:rPr>
          <w:rFonts w:ascii="Arial Narrow" w:eastAsia="Arial Narrow" w:hAnsi="Arial Narrow" w:cs="Arial Narrow"/>
          <w:spacing w:val="2"/>
          <w:sz w:val="24"/>
          <w:lang w:val="en-US"/>
        </w:rPr>
        <w:t>e</w:t>
      </w:r>
      <w:r w:rsidRPr="00E161B2">
        <w:rPr>
          <w:rFonts w:ascii="Arial Narrow" w:eastAsia="Arial Narrow" w:hAnsi="Arial Narrow" w:cs="Arial Narrow"/>
          <w:sz w:val="24"/>
          <w:lang w:val="en-US"/>
        </w:rPr>
        <w:t>sp</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c</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al</w:t>
      </w:r>
      <w:r w:rsidRPr="00E161B2">
        <w:rPr>
          <w:rFonts w:ascii="Arial Narrow" w:eastAsia="Arial Narrow" w:hAnsi="Arial Narrow" w:cs="Arial Narrow"/>
          <w:spacing w:val="10"/>
          <w:sz w:val="24"/>
          <w:lang w:val="en-US"/>
        </w:rPr>
        <w:t>l</w:t>
      </w:r>
      <w:r w:rsidRPr="00E161B2">
        <w:rPr>
          <w:rFonts w:ascii="Arial Narrow" w:eastAsia="Arial Narrow" w:hAnsi="Arial Narrow" w:cs="Arial Narrow"/>
          <w:sz w:val="24"/>
          <w:lang w:val="en-US"/>
        </w:rPr>
        <w:t>y</w:t>
      </w:r>
      <w:r w:rsidRPr="00E161B2">
        <w:rPr>
          <w:rFonts w:ascii="Arial Narrow" w:eastAsia="Arial Narrow" w:hAnsi="Arial Narrow" w:cs="Arial Narrow"/>
          <w:spacing w:val="4"/>
          <w:sz w:val="24"/>
          <w:lang w:val="en-US"/>
        </w:rPr>
        <w:t xml:space="preserve"> </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th</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hig</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 xml:space="preserve"> light activity on</w:t>
      </w:r>
      <w:r w:rsidRPr="00E161B2">
        <w:rPr>
          <w:rFonts w:ascii="Arial Narrow" w:eastAsia="Arial Narrow" w:hAnsi="Arial Narrow" w:cs="Arial Narrow"/>
          <w:spacing w:val="5"/>
          <w:sz w:val="24"/>
          <w:lang w:val="en-US"/>
        </w:rPr>
        <w:t xml:space="preserve"> </w:t>
      </w:r>
      <w:r w:rsidRPr="00E161B2">
        <w:rPr>
          <w:rFonts w:ascii="Arial Narrow" w:eastAsia="Arial Narrow" w:hAnsi="Arial Narrow" w:cs="Arial Narrow"/>
          <w:sz w:val="24"/>
          <w:lang w:val="en-US"/>
        </w:rPr>
        <w:t>yo</w:t>
      </w:r>
      <w:r w:rsidRPr="00E161B2">
        <w:rPr>
          <w:rFonts w:ascii="Arial Narrow" w:eastAsia="Arial Narrow" w:hAnsi="Arial Narrow" w:cs="Arial Narrow"/>
          <w:spacing w:val="-1"/>
          <w:sz w:val="24"/>
          <w:lang w:val="en-US"/>
        </w:rPr>
        <w:t>u</w:t>
      </w:r>
      <w:r w:rsidRPr="00E161B2">
        <w:rPr>
          <w:rFonts w:ascii="Arial Narrow" w:eastAsia="Arial Narrow" w:hAnsi="Arial Narrow" w:cs="Arial Narrow"/>
          <w:sz w:val="24"/>
          <w:lang w:val="en-US"/>
        </w:rPr>
        <w:t>ng c</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p</w:t>
      </w:r>
      <w:r w:rsidRPr="00E161B2">
        <w:rPr>
          <w:rFonts w:ascii="Arial Narrow" w:eastAsia="Arial Narrow" w:hAnsi="Arial Narrow" w:cs="Arial Narrow"/>
          <w:sz w:val="24"/>
          <w:lang w:val="en-US"/>
        </w:rPr>
        <w:t>s.</w:t>
      </w:r>
      <w:r w:rsidRPr="00E161B2">
        <w:rPr>
          <w:rFonts w:ascii="Arial Narrow" w:eastAsia="Arial Narrow" w:hAnsi="Arial Narrow" w:cs="Arial Narrow"/>
          <w:spacing w:val="1"/>
          <w:sz w:val="24"/>
          <w:lang w:val="en-US"/>
        </w:rPr>
        <w:t xml:space="preserve"> T</w:t>
      </w:r>
      <w:r w:rsidRPr="00E161B2">
        <w:rPr>
          <w:rFonts w:ascii="Arial Narrow" w:eastAsia="Arial Narrow" w:hAnsi="Arial Narrow" w:cs="Arial Narrow"/>
          <w:sz w:val="24"/>
          <w:lang w:val="en-US"/>
        </w:rPr>
        <w:t>his</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ble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ching</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2"/>
          <w:sz w:val="24"/>
          <w:lang w:val="en-US"/>
        </w:rPr>
        <w:t>i</w:t>
      </w:r>
      <w:r w:rsidRPr="00E161B2">
        <w:rPr>
          <w:rFonts w:ascii="Arial Narrow" w:eastAsia="Arial Narrow" w:hAnsi="Arial Narrow" w:cs="Arial Narrow"/>
          <w:sz w:val="24"/>
          <w:lang w:val="en-US"/>
        </w:rPr>
        <w:t>s</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co</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fin</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d</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to</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2"/>
          <w:sz w:val="24"/>
          <w:lang w:val="en-US"/>
        </w:rPr>
        <w:t>l</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ves</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p</w:t>
      </w:r>
      <w:r w:rsidRPr="00E161B2">
        <w:rPr>
          <w:rFonts w:ascii="Arial Narrow" w:eastAsia="Arial Narrow" w:hAnsi="Arial Narrow" w:cs="Arial Narrow"/>
          <w:spacing w:val="-2"/>
          <w:sz w:val="24"/>
          <w:lang w:val="en-US"/>
        </w:rPr>
        <w:t>r</w:t>
      </w:r>
      <w:r w:rsidRPr="00E161B2">
        <w:rPr>
          <w:rFonts w:ascii="Arial Narrow" w:eastAsia="Arial Narrow" w:hAnsi="Arial Narrow" w:cs="Arial Narrow"/>
          <w:sz w:val="24"/>
          <w:lang w:val="en-US"/>
        </w:rPr>
        <w:t>ese</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at</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p</w:t>
      </w:r>
      <w:r w:rsidRPr="00E161B2">
        <w:rPr>
          <w:rFonts w:ascii="Arial Narrow" w:eastAsia="Arial Narrow" w:hAnsi="Arial Narrow" w:cs="Arial Narrow"/>
          <w:sz w:val="24"/>
          <w:lang w:val="en-US"/>
        </w:rPr>
        <w:t>pl</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ca</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w:t>
      </w:r>
      <w:r w:rsidRPr="00E161B2">
        <w:rPr>
          <w:rFonts w:ascii="Arial Narrow" w:eastAsia="Arial Narrow" w:hAnsi="Arial Narrow" w:cs="Arial Narrow"/>
          <w:spacing w:val="1"/>
          <w:sz w:val="24"/>
          <w:lang w:val="en-US"/>
        </w:rPr>
        <w:t xml:space="preserve"> T</w:t>
      </w:r>
      <w:r w:rsidRPr="00E161B2">
        <w:rPr>
          <w:rFonts w:ascii="Arial Narrow" w:eastAsia="Arial Narrow" w:hAnsi="Arial Narrow" w:cs="Arial Narrow"/>
          <w:sz w:val="24"/>
          <w:lang w:val="en-US"/>
        </w:rPr>
        <w:t>he d</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velo</w:t>
      </w:r>
      <w:r w:rsidRPr="00E161B2">
        <w:rPr>
          <w:rFonts w:ascii="Arial Narrow" w:eastAsia="Arial Narrow" w:hAnsi="Arial Narrow" w:cs="Arial Narrow"/>
          <w:spacing w:val="-1"/>
          <w:sz w:val="24"/>
          <w:lang w:val="en-US"/>
        </w:rPr>
        <w:t>pm</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of</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c</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op</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d</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su</w:t>
      </w:r>
      <w:r w:rsidRPr="00E161B2">
        <w:rPr>
          <w:rFonts w:ascii="Arial Narrow" w:eastAsia="Arial Narrow" w:hAnsi="Arial Narrow" w:cs="Arial Narrow"/>
          <w:spacing w:val="-1"/>
          <w:sz w:val="24"/>
          <w:lang w:val="en-US"/>
        </w:rPr>
        <w:t>b</w:t>
      </w:r>
      <w:r w:rsidRPr="00E161B2">
        <w:rPr>
          <w:rFonts w:ascii="Arial Narrow" w:eastAsia="Arial Narrow" w:hAnsi="Arial Narrow" w:cs="Arial Narrow"/>
          <w:sz w:val="24"/>
          <w:lang w:val="en-US"/>
        </w:rPr>
        <w:t>se</w:t>
      </w:r>
      <w:r w:rsidRPr="00E161B2">
        <w:rPr>
          <w:rFonts w:ascii="Arial Narrow" w:eastAsia="Arial Narrow" w:hAnsi="Arial Narrow" w:cs="Arial Narrow"/>
          <w:spacing w:val="-1"/>
          <w:sz w:val="24"/>
          <w:lang w:val="en-US"/>
        </w:rPr>
        <w:t>q</w:t>
      </w:r>
      <w:r w:rsidRPr="00E161B2">
        <w:rPr>
          <w:rFonts w:ascii="Arial Narrow" w:eastAsia="Arial Narrow" w:hAnsi="Arial Narrow" w:cs="Arial Narrow"/>
          <w:sz w:val="24"/>
          <w:lang w:val="en-US"/>
        </w:rPr>
        <w:t>u</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nt</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w g</w:t>
      </w:r>
      <w:r w:rsidRPr="00E161B2">
        <w:rPr>
          <w:rFonts w:ascii="Arial Narrow" w:eastAsia="Arial Narrow" w:hAnsi="Arial Narrow" w:cs="Arial Narrow"/>
          <w:spacing w:val="-2"/>
          <w:sz w:val="24"/>
          <w:lang w:val="en-US"/>
        </w:rPr>
        <w:t>r</w:t>
      </w:r>
      <w:r w:rsidRPr="00E161B2">
        <w:rPr>
          <w:rFonts w:ascii="Arial Narrow" w:eastAsia="Arial Narrow" w:hAnsi="Arial Narrow" w:cs="Arial Narrow"/>
          <w:spacing w:val="2"/>
          <w:sz w:val="24"/>
          <w:lang w:val="en-US"/>
        </w:rPr>
        <w:t>o</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z w:val="24"/>
          <w:lang w:val="en-US"/>
        </w:rPr>
        <w:t xml:space="preserve">th </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s</w:t>
      </w:r>
      <w:r w:rsidRPr="00E161B2">
        <w:rPr>
          <w:rFonts w:ascii="Arial Narrow" w:eastAsia="Arial Narrow" w:hAnsi="Arial Narrow" w:cs="Arial Narrow"/>
          <w:spacing w:val="11"/>
          <w:sz w:val="24"/>
          <w:lang w:val="en-US"/>
        </w:rPr>
        <w:t xml:space="preserve"> </w:t>
      </w:r>
      <w:r w:rsidRPr="00E161B2">
        <w:rPr>
          <w:rFonts w:ascii="Arial Narrow" w:eastAsia="Arial Narrow" w:hAnsi="Arial Narrow" w:cs="Arial Narrow"/>
          <w:sz w:val="24"/>
          <w:lang w:val="en-US"/>
        </w:rPr>
        <w:t>u</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f</w:t>
      </w:r>
      <w:r w:rsidRPr="00E161B2">
        <w:rPr>
          <w:rFonts w:ascii="Arial Narrow" w:eastAsia="Arial Narrow" w:hAnsi="Arial Narrow" w:cs="Arial Narrow"/>
          <w:sz w:val="24"/>
          <w:lang w:val="en-US"/>
        </w:rPr>
        <w:t>f</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ct</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d</w:t>
      </w:r>
      <w:r w:rsidRPr="00E161B2">
        <w:rPr>
          <w:rFonts w:ascii="Arial Narrow" w:eastAsia="Arial Narrow" w:hAnsi="Arial Narrow" w:cs="Arial Narrow"/>
          <w:spacing w:val="1"/>
          <w:sz w:val="24"/>
          <w:lang w:val="en-US"/>
        </w:rPr>
        <w:t xml:space="preserve"> i</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c</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p</w:t>
      </w:r>
      <w:r w:rsidRPr="00E161B2">
        <w:rPr>
          <w:rFonts w:ascii="Arial Narrow" w:eastAsia="Arial Narrow" w:hAnsi="Arial Narrow" w:cs="Arial Narrow"/>
          <w:sz w:val="24"/>
          <w:lang w:val="en-US"/>
        </w:rPr>
        <w:t>s g</w:t>
      </w:r>
      <w:r w:rsidRPr="00E161B2">
        <w:rPr>
          <w:rFonts w:ascii="Arial Narrow" w:eastAsia="Arial Narrow" w:hAnsi="Arial Narrow" w:cs="Arial Narrow"/>
          <w:spacing w:val="-2"/>
          <w:sz w:val="24"/>
          <w:lang w:val="en-US"/>
        </w:rPr>
        <w:t>r</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ng</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f</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 xml:space="preserve">ee </w:t>
      </w:r>
      <w:r w:rsidRPr="00E161B2">
        <w:rPr>
          <w:rFonts w:ascii="Arial Narrow" w:eastAsia="Arial Narrow" w:hAnsi="Arial Narrow" w:cs="Arial Narrow"/>
          <w:spacing w:val="-1"/>
          <w:sz w:val="24"/>
          <w:lang w:val="en-US"/>
        </w:rPr>
        <w:t>o</w:t>
      </w:r>
      <w:r w:rsidRPr="00E161B2">
        <w:rPr>
          <w:rFonts w:ascii="Arial Narrow" w:eastAsia="Arial Narrow" w:hAnsi="Arial Narrow" w:cs="Arial Narrow"/>
          <w:sz w:val="24"/>
          <w:lang w:val="en-US"/>
        </w:rPr>
        <w:t>f st</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 xml:space="preserve">ess. </w:t>
      </w:r>
      <w:r w:rsidRPr="00E161B2">
        <w:rPr>
          <w:rFonts w:ascii="Arial Narrow" w:eastAsia="Arial Narrow" w:hAnsi="Arial Narrow" w:cs="Arial Narrow"/>
          <w:spacing w:val="-1"/>
          <w:sz w:val="24"/>
          <w:lang w:val="en-US"/>
        </w:rPr>
        <w:t>S</w:t>
      </w:r>
      <w:r w:rsidRPr="00E161B2">
        <w:rPr>
          <w:rFonts w:ascii="Arial Narrow" w:eastAsia="Arial Narrow" w:hAnsi="Arial Narrow" w:cs="Arial Narrow"/>
          <w:sz w:val="24"/>
          <w:lang w:val="en-US"/>
        </w:rPr>
        <w:t>y</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z w:val="24"/>
          <w:lang w:val="en-US"/>
        </w:rPr>
        <w:t>p</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z w:val="24"/>
          <w:lang w:val="en-US"/>
        </w:rPr>
        <w:t>s</w:t>
      </w:r>
      <w:r w:rsidRPr="00E161B2">
        <w:rPr>
          <w:rFonts w:ascii="Arial Narrow" w:eastAsia="Arial Narrow" w:hAnsi="Arial Narrow" w:cs="Arial Narrow"/>
          <w:spacing w:val="-1"/>
          <w:sz w:val="24"/>
          <w:lang w:val="en-US"/>
        </w:rPr>
        <w:t xml:space="preserve"> w</w:t>
      </w:r>
      <w:r w:rsidRPr="00E161B2">
        <w:rPr>
          <w:rFonts w:ascii="Arial Narrow" w:eastAsia="Arial Narrow" w:hAnsi="Arial Narrow" w:cs="Arial Narrow"/>
          <w:spacing w:val="1"/>
          <w:sz w:val="24"/>
          <w:lang w:val="en-US"/>
        </w:rPr>
        <w:t>il</w:t>
      </w:r>
      <w:r w:rsidRPr="00E161B2">
        <w:rPr>
          <w:rFonts w:ascii="Arial Narrow" w:eastAsia="Arial Narrow" w:hAnsi="Arial Narrow" w:cs="Arial Narrow"/>
          <w:sz w:val="24"/>
          <w:lang w:val="en-US"/>
        </w:rPr>
        <w:t xml:space="preserve">l </w:t>
      </w:r>
      <w:r w:rsidRPr="00E161B2">
        <w:rPr>
          <w:rFonts w:ascii="Arial Narrow" w:eastAsia="Arial Narrow" w:hAnsi="Arial Narrow" w:cs="Arial Narrow"/>
          <w:spacing w:val="-1"/>
          <w:sz w:val="24"/>
          <w:lang w:val="en-US"/>
        </w:rPr>
        <w:t>b</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m</w:t>
      </w:r>
      <w:r w:rsidRPr="00E161B2">
        <w:rPr>
          <w:rFonts w:ascii="Arial Narrow" w:eastAsia="Arial Narrow" w:hAnsi="Arial Narrow" w:cs="Arial Narrow"/>
          <w:spacing w:val="2"/>
          <w:sz w:val="24"/>
          <w:lang w:val="en-US"/>
        </w:rPr>
        <w:t>o</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2"/>
          <w:sz w:val="24"/>
          <w:lang w:val="en-US"/>
        </w:rPr>
        <w:t>p</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u</w:t>
      </w:r>
      <w:r w:rsidRPr="00E161B2">
        <w:rPr>
          <w:rFonts w:ascii="Arial Narrow" w:eastAsia="Arial Narrow" w:hAnsi="Arial Narrow" w:cs="Arial Narrow"/>
          <w:sz w:val="24"/>
          <w:lang w:val="en-US"/>
        </w:rPr>
        <w:t>nced</w:t>
      </w:r>
      <w:r w:rsidRPr="00E161B2">
        <w:rPr>
          <w:rFonts w:ascii="Arial Narrow" w:eastAsia="Arial Narrow" w:hAnsi="Arial Narrow" w:cs="Arial Narrow"/>
          <w:spacing w:val="-1"/>
          <w:sz w:val="24"/>
          <w:lang w:val="en-US"/>
        </w:rPr>
        <w:t xml:space="preserve"> a</w:t>
      </w:r>
      <w:r w:rsidRPr="00E161B2">
        <w:rPr>
          <w:rFonts w:ascii="Arial Narrow" w:eastAsia="Arial Narrow" w:hAnsi="Arial Narrow" w:cs="Arial Narrow"/>
          <w:sz w:val="24"/>
          <w:lang w:val="en-US"/>
        </w:rPr>
        <w:t>nd</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p</w:t>
      </w:r>
      <w:r w:rsidRPr="00E161B2">
        <w:rPr>
          <w:rFonts w:ascii="Arial Narrow" w:eastAsia="Arial Narrow" w:hAnsi="Arial Narrow" w:cs="Arial Narrow"/>
          <w:sz w:val="24"/>
          <w:lang w:val="en-US"/>
        </w:rPr>
        <w:t>e</w:t>
      </w:r>
      <w:r w:rsidRPr="00E161B2">
        <w:rPr>
          <w:rFonts w:ascii="Arial Narrow" w:eastAsia="Arial Narrow" w:hAnsi="Arial Narrow" w:cs="Arial Narrow"/>
          <w:spacing w:val="-2"/>
          <w:sz w:val="24"/>
          <w:lang w:val="en-US"/>
        </w:rPr>
        <w:t>r</w:t>
      </w:r>
      <w:r w:rsidRPr="00E161B2">
        <w:rPr>
          <w:rFonts w:ascii="Arial Narrow" w:eastAsia="Arial Narrow" w:hAnsi="Arial Narrow" w:cs="Arial Narrow"/>
          <w:sz w:val="24"/>
          <w:lang w:val="en-US"/>
        </w:rPr>
        <w:t>s</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st</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nt</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3"/>
          <w:sz w:val="24"/>
          <w:lang w:val="en-US"/>
        </w:rPr>
        <w:t>i</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c</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p</w:t>
      </w:r>
      <w:r w:rsidRPr="00E161B2">
        <w:rPr>
          <w:rFonts w:ascii="Arial Narrow" w:eastAsia="Arial Narrow" w:hAnsi="Arial Narrow" w:cs="Arial Narrow"/>
          <w:sz w:val="24"/>
          <w:lang w:val="en-US"/>
        </w:rPr>
        <w:t xml:space="preserve">s </w:t>
      </w:r>
      <w:r w:rsidRPr="00E161B2">
        <w:rPr>
          <w:rFonts w:ascii="Arial Narrow" w:eastAsia="Arial Narrow" w:hAnsi="Arial Narrow" w:cs="Arial Narrow"/>
          <w:spacing w:val="4"/>
          <w:sz w:val="24"/>
          <w:lang w:val="en-US"/>
        </w:rPr>
        <w:t>t</w:t>
      </w:r>
      <w:r w:rsidRPr="00E161B2">
        <w:rPr>
          <w:rFonts w:ascii="Arial Narrow" w:eastAsia="Arial Narrow" w:hAnsi="Arial Narrow" w:cs="Arial Narrow"/>
          <w:sz w:val="24"/>
          <w:lang w:val="en-US"/>
        </w:rPr>
        <w:t>h</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t</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pacing w:val="-1"/>
          <w:sz w:val="24"/>
          <w:lang w:val="en-US"/>
        </w:rPr>
        <w:t>ar</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gr</w:t>
      </w:r>
      <w:r w:rsidRPr="00E161B2">
        <w:rPr>
          <w:rFonts w:ascii="Arial Narrow" w:eastAsia="Arial Narrow" w:hAnsi="Arial Narrow" w:cs="Arial Narrow"/>
          <w:spacing w:val="2"/>
          <w:sz w:val="24"/>
          <w:lang w:val="en-US"/>
        </w:rPr>
        <w:t>o</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ng</w:t>
      </w:r>
      <w:r w:rsidRPr="00E161B2">
        <w:rPr>
          <w:rFonts w:ascii="Arial Narrow" w:eastAsia="Arial Narrow" w:hAnsi="Arial Narrow" w:cs="Arial Narrow"/>
          <w:spacing w:val="-3"/>
          <w:sz w:val="24"/>
          <w:lang w:val="en-US"/>
        </w:rPr>
        <w:t xml:space="preserve"> </w:t>
      </w:r>
      <w:r w:rsidRPr="00E161B2">
        <w:rPr>
          <w:rFonts w:ascii="Arial Narrow" w:eastAsia="Arial Narrow" w:hAnsi="Arial Narrow" w:cs="Arial Narrow"/>
          <w:spacing w:val="-1"/>
          <w:sz w:val="24"/>
          <w:lang w:val="en-US"/>
        </w:rPr>
        <w:t>u</w:t>
      </w:r>
      <w:r w:rsidRPr="00E161B2">
        <w:rPr>
          <w:rFonts w:ascii="Arial Narrow" w:eastAsia="Arial Narrow" w:hAnsi="Arial Narrow" w:cs="Arial Narrow"/>
          <w:spacing w:val="2"/>
          <w:sz w:val="24"/>
          <w:lang w:val="en-US"/>
        </w:rPr>
        <w:t>n</w:t>
      </w:r>
      <w:r w:rsidRPr="00E161B2">
        <w:rPr>
          <w:rFonts w:ascii="Arial Narrow" w:eastAsia="Arial Narrow" w:hAnsi="Arial Narrow" w:cs="Arial Narrow"/>
          <w:sz w:val="24"/>
          <w:lang w:val="en-US"/>
        </w:rPr>
        <w:t>d</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r</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s</w:t>
      </w:r>
      <w:r w:rsidRPr="00E161B2">
        <w:rPr>
          <w:rFonts w:ascii="Arial Narrow" w:eastAsia="Arial Narrow" w:hAnsi="Arial Narrow" w:cs="Arial Narrow"/>
          <w:spacing w:val="2"/>
          <w:sz w:val="24"/>
          <w:lang w:val="en-US"/>
        </w:rPr>
        <w:t>t</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 xml:space="preserve">ess, particularly under frost conditions </w:t>
      </w:r>
      <w:r w:rsidRPr="00E161B2">
        <w:rPr>
          <w:rFonts w:ascii="Arial Narrow" w:eastAsia="Arial Narrow" w:hAnsi="Arial Narrow" w:cs="Arial Narrow"/>
          <w:spacing w:val="-1"/>
          <w:sz w:val="24"/>
          <w:lang w:val="en-US"/>
        </w:rPr>
        <w:t>(</w:t>
      </w:r>
      <w:r w:rsidRPr="00E161B2">
        <w:rPr>
          <w:rFonts w:ascii="Arial Narrow" w:eastAsia="Arial Narrow" w:hAnsi="Arial Narrow" w:cs="Arial Narrow"/>
          <w:sz w:val="24"/>
          <w:lang w:val="en-US"/>
        </w:rPr>
        <w:t>see</w:t>
      </w:r>
      <w:r w:rsidRPr="00E161B2">
        <w:rPr>
          <w:rFonts w:ascii="Arial Narrow" w:eastAsia="Arial Narrow" w:hAnsi="Arial Narrow" w:cs="Arial Narrow"/>
          <w:spacing w:val="-1"/>
          <w:sz w:val="24"/>
          <w:lang w:val="en-US"/>
        </w:rPr>
        <w:t xml:space="preserve"> R</w:t>
      </w:r>
      <w:r w:rsidRPr="00E161B2">
        <w:rPr>
          <w:rFonts w:ascii="Arial Narrow" w:eastAsia="Arial Narrow" w:hAnsi="Arial Narrow" w:cs="Arial Narrow"/>
          <w:sz w:val="24"/>
          <w:lang w:val="en-US"/>
        </w:rPr>
        <w:t>es</w:t>
      </w:r>
      <w:r w:rsidRPr="00E161B2">
        <w:rPr>
          <w:rFonts w:ascii="Arial Narrow" w:eastAsia="Arial Narrow" w:hAnsi="Arial Narrow" w:cs="Arial Narrow"/>
          <w:spacing w:val="2"/>
          <w:sz w:val="24"/>
          <w:lang w:val="en-US"/>
        </w:rPr>
        <w:t>t</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aints</w:t>
      </w:r>
      <w:r w:rsidRPr="00E161B2">
        <w:rPr>
          <w:rFonts w:ascii="Arial Narrow" w:eastAsia="Arial Narrow" w:hAnsi="Arial Narrow" w:cs="Arial Narrow"/>
          <w:spacing w:val="-1"/>
          <w:sz w:val="24"/>
          <w:lang w:val="en-US"/>
        </w:rPr>
        <w:t>)</w:t>
      </w:r>
      <w:r w:rsidRPr="00E161B2">
        <w:rPr>
          <w:rFonts w:ascii="Arial Narrow" w:eastAsia="Arial Narrow" w:hAnsi="Arial Narrow" w:cs="Arial Narrow"/>
          <w:sz w:val="24"/>
          <w:lang w:val="en-US"/>
        </w:rPr>
        <w:t>.</w:t>
      </w:r>
    </w:p>
    <w:p w14:paraId="34B9CC76" w14:textId="77777777" w:rsidR="004631F2" w:rsidRPr="00E161B2" w:rsidRDefault="004631F2" w:rsidP="00276C28">
      <w:pPr>
        <w:widowControl w:val="0"/>
        <w:spacing w:before="240" w:line="110" w:lineRule="exact"/>
        <w:rPr>
          <w:rFonts w:ascii="Calibri" w:eastAsia="Calibri" w:hAnsi="Calibri" w:cs="Cordia New"/>
          <w:sz w:val="24"/>
          <w:lang w:val="en-US"/>
        </w:rPr>
      </w:pPr>
    </w:p>
    <w:p w14:paraId="56E59C50" w14:textId="77777777" w:rsidR="004631F2" w:rsidRPr="00E161B2" w:rsidRDefault="004631F2" w:rsidP="004631F2">
      <w:pPr>
        <w:widowControl w:val="0"/>
        <w:ind w:right="-20"/>
        <w:rPr>
          <w:rFonts w:ascii="Arial Narrow" w:eastAsia="Arial Narrow" w:hAnsi="Arial Narrow" w:cs="Arial Narrow"/>
          <w:sz w:val="24"/>
          <w:lang w:val="en-US"/>
        </w:rPr>
      </w:pPr>
      <w:r w:rsidRPr="00E161B2">
        <w:rPr>
          <w:rFonts w:ascii="Arial Narrow" w:eastAsia="Arial Narrow" w:hAnsi="Arial Narrow" w:cs="Arial Narrow"/>
          <w:b/>
          <w:bCs/>
          <w:sz w:val="24"/>
          <w:lang w:val="en-US"/>
        </w:rPr>
        <w:t>SP</w:t>
      </w:r>
      <w:r w:rsidRPr="00E161B2">
        <w:rPr>
          <w:rFonts w:ascii="Arial Narrow" w:eastAsia="Arial Narrow" w:hAnsi="Arial Narrow" w:cs="Arial Narrow"/>
          <w:b/>
          <w:bCs/>
          <w:spacing w:val="-1"/>
          <w:sz w:val="24"/>
          <w:lang w:val="en-US"/>
        </w:rPr>
        <w:t>RA</w:t>
      </w:r>
      <w:r w:rsidRPr="00E161B2">
        <w:rPr>
          <w:rFonts w:ascii="Arial Narrow" w:eastAsia="Arial Narrow" w:hAnsi="Arial Narrow" w:cs="Arial Narrow"/>
          <w:b/>
          <w:bCs/>
          <w:sz w:val="24"/>
          <w:lang w:val="en-US"/>
        </w:rPr>
        <w:t>YER</w:t>
      </w:r>
      <w:r w:rsidRPr="00E161B2">
        <w:rPr>
          <w:rFonts w:ascii="Arial Narrow" w:eastAsia="Arial Narrow" w:hAnsi="Arial Narrow" w:cs="Arial Narrow"/>
          <w:b/>
          <w:bCs/>
          <w:spacing w:val="-6"/>
          <w:sz w:val="24"/>
          <w:lang w:val="en-US"/>
        </w:rPr>
        <w:t xml:space="preserve"> </w:t>
      </w:r>
      <w:r w:rsidRPr="00E161B2">
        <w:rPr>
          <w:rFonts w:ascii="Arial Narrow" w:eastAsia="Arial Narrow" w:hAnsi="Arial Narrow" w:cs="Arial Narrow"/>
          <w:b/>
          <w:bCs/>
          <w:spacing w:val="-1"/>
          <w:sz w:val="24"/>
          <w:lang w:val="en-US"/>
        </w:rPr>
        <w:t>C</w:t>
      </w:r>
      <w:r w:rsidRPr="00E161B2">
        <w:rPr>
          <w:rFonts w:ascii="Arial Narrow" w:eastAsia="Arial Narrow" w:hAnsi="Arial Narrow" w:cs="Arial Narrow"/>
          <w:b/>
          <w:bCs/>
          <w:spacing w:val="1"/>
          <w:sz w:val="24"/>
          <w:lang w:val="en-US"/>
        </w:rPr>
        <w:t>L</w:t>
      </w:r>
      <w:r w:rsidRPr="00E161B2">
        <w:rPr>
          <w:rFonts w:ascii="Arial Narrow" w:eastAsia="Arial Narrow" w:hAnsi="Arial Narrow" w:cs="Arial Narrow"/>
          <w:b/>
          <w:bCs/>
          <w:sz w:val="24"/>
          <w:lang w:val="en-US"/>
        </w:rPr>
        <w:t>E</w:t>
      </w:r>
      <w:r w:rsidRPr="00E161B2">
        <w:rPr>
          <w:rFonts w:ascii="Arial Narrow" w:eastAsia="Arial Narrow" w:hAnsi="Arial Narrow" w:cs="Arial Narrow"/>
          <w:b/>
          <w:bCs/>
          <w:spacing w:val="-1"/>
          <w:sz w:val="24"/>
          <w:lang w:val="en-US"/>
        </w:rPr>
        <w:t>AN</w:t>
      </w:r>
      <w:r w:rsidRPr="00E161B2">
        <w:rPr>
          <w:rFonts w:ascii="Arial Narrow" w:eastAsia="Arial Narrow" w:hAnsi="Arial Narrow" w:cs="Arial Narrow"/>
          <w:b/>
          <w:bCs/>
          <w:spacing w:val="1"/>
          <w:sz w:val="24"/>
          <w:lang w:val="en-US"/>
        </w:rPr>
        <w:t>U</w:t>
      </w:r>
      <w:r w:rsidRPr="00E161B2">
        <w:rPr>
          <w:rFonts w:ascii="Arial Narrow" w:eastAsia="Arial Narrow" w:hAnsi="Arial Narrow" w:cs="Arial Narrow"/>
          <w:b/>
          <w:bCs/>
          <w:sz w:val="24"/>
          <w:lang w:val="en-US"/>
        </w:rPr>
        <w:t>P</w:t>
      </w:r>
    </w:p>
    <w:p w14:paraId="41AA93E9" w14:textId="77777777" w:rsidR="004631F2" w:rsidRPr="00E161B2" w:rsidRDefault="004631F2" w:rsidP="004631F2">
      <w:pPr>
        <w:widowControl w:val="0"/>
        <w:ind w:right="88"/>
        <w:jc w:val="both"/>
        <w:rPr>
          <w:rFonts w:ascii="Arial Narrow" w:eastAsia="Arial Narrow" w:hAnsi="Arial Narrow" w:cs="Arial Narrow"/>
          <w:sz w:val="24"/>
          <w:lang w:val="en-US"/>
        </w:rPr>
      </w:pPr>
      <w:r w:rsidRPr="00E161B2">
        <w:rPr>
          <w:rFonts w:ascii="Arial Narrow" w:eastAsia="Arial Narrow" w:hAnsi="Arial Narrow" w:cs="Arial Narrow"/>
          <w:spacing w:val="1"/>
          <w:sz w:val="24"/>
          <w:lang w:val="en-US"/>
        </w:rPr>
        <w:t>F</w:t>
      </w:r>
      <w:r w:rsidRPr="00E161B2">
        <w:rPr>
          <w:rFonts w:ascii="Arial Narrow" w:eastAsia="Arial Narrow" w:hAnsi="Arial Narrow" w:cs="Arial Narrow"/>
          <w:sz w:val="24"/>
          <w:lang w:val="en-US"/>
        </w:rPr>
        <w:t>ol</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ng</w:t>
      </w:r>
      <w:r w:rsidRPr="00E161B2">
        <w:rPr>
          <w:rFonts w:ascii="Arial Narrow" w:eastAsia="Arial Narrow" w:hAnsi="Arial Narrow" w:cs="Arial Narrow"/>
          <w:spacing w:val="-4"/>
          <w:sz w:val="24"/>
          <w:lang w:val="en-US"/>
        </w:rPr>
        <w:t xml:space="preserve"> </w:t>
      </w:r>
      <w:r w:rsidRPr="00E161B2">
        <w:rPr>
          <w:rFonts w:ascii="Arial Narrow" w:eastAsia="Arial Narrow" w:hAnsi="Arial Narrow" w:cs="Arial Narrow"/>
          <w:spacing w:val="-1"/>
          <w:sz w:val="24"/>
          <w:lang w:val="en-US"/>
        </w:rPr>
        <w:t>u</w:t>
      </w:r>
      <w:r w:rsidRPr="00E161B2">
        <w:rPr>
          <w:rFonts w:ascii="Arial Narrow" w:eastAsia="Arial Narrow" w:hAnsi="Arial Narrow" w:cs="Arial Narrow"/>
          <w:sz w:val="24"/>
          <w:lang w:val="en-US"/>
        </w:rPr>
        <w:t>se,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sp</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ayer</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sh</w:t>
      </w:r>
      <w:r w:rsidRPr="00E161B2">
        <w:rPr>
          <w:rFonts w:ascii="Arial Narrow" w:eastAsia="Arial Narrow" w:hAnsi="Arial Narrow" w:cs="Arial Narrow"/>
          <w:spacing w:val="-1"/>
          <w:sz w:val="24"/>
          <w:lang w:val="en-US"/>
        </w:rPr>
        <w:t>o</w:t>
      </w:r>
      <w:r w:rsidRPr="00E161B2">
        <w:rPr>
          <w:rFonts w:ascii="Arial Narrow" w:eastAsia="Arial Narrow" w:hAnsi="Arial Narrow" w:cs="Arial Narrow"/>
          <w:sz w:val="24"/>
          <w:lang w:val="en-US"/>
        </w:rPr>
        <w:t>uld</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be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c</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d</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b</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f</w:t>
      </w:r>
      <w:r w:rsidRPr="00E161B2">
        <w:rPr>
          <w:rFonts w:ascii="Arial Narrow" w:eastAsia="Arial Narrow" w:hAnsi="Arial Narrow" w:cs="Arial Narrow"/>
          <w:spacing w:val="1"/>
          <w:sz w:val="24"/>
          <w:lang w:val="en-US"/>
        </w:rPr>
        <w:t>o</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s</w:t>
      </w:r>
      <w:r w:rsidRPr="00E161B2">
        <w:rPr>
          <w:rFonts w:ascii="Arial Narrow" w:eastAsia="Arial Narrow" w:hAnsi="Arial Narrow" w:cs="Arial Narrow"/>
          <w:spacing w:val="2"/>
          <w:sz w:val="24"/>
          <w:lang w:val="en-US"/>
        </w:rPr>
        <w:t>p</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ay</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ng</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se</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s</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tive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b</w:t>
      </w:r>
      <w:r w:rsidRPr="00E161B2">
        <w:rPr>
          <w:rFonts w:ascii="Arial Narrow" w:eastAsia="Arial Narrow" w:hAnsi="Arial Narrow" w:cs="Arial Narrow"/>
          <w:spacing w:val="-2"/>
          <w:sz w:val="24"/>
          <w:lang w:val="en-US"/>
        </w:rPr>
        <w:t>r</w:t>
      </w:r>
      <w:r w:rsidRPr="00E161B2">
        <w:rPr>
          <w:rFonts w:ascii="Arial Narrow" w:eastAsia="Arial Narrow" w:hAnsi="Arial Narrow" w:cs="Arial Narrow"/>
          <w:spacing w:val="2"/>
          <w:sz w:val="24"/>
          <w:lang w:val="en-US"/>
        </w:rPr>
        <w:t>o</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d</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f c</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p</w:t>
      </w:r>
      <w:r w:rsidRPr="00E161B2">
        <w:rPr>
          <w:rFonts w:ascii="Arial Narrow" w:eastAsia="Arial Narrow" w:hAnsi="Arial Narrow" w:cs="Arial Narrow"/>
          <w:sz w:val="24"/>
          <w:lang w:val="en-US"/>
        </w:rPr>
        <w:t xml:space="preserve">s. </w:t>
      </w:r>
      <w:r w:rsidRPr="00E161B2">
        <w:rPr>
          <w:rFonts w:ascii="Arial Narrow" w:eastAsia="Arial Narrow" w:hAnsi="Arial Narrow" w:cs="Arial Narrow"/>
          <w:spacing w:val="2"/>
          <w:sz w:val="24"/>
          <w:lang w:val="en-US"/>
        </w:rPr>
        <w:t>E</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z w:val="24"/>
          <w:lang w:val="en-US"/>
        </w:rPr>
        <w:t>p</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z w:val="24"/>
          <w:lang w:val="en-US"/>
        </w:rPr>
        <w:t>y</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2"/>
          <w:sz w:val="24"/>
          <w:lang w:val="en-US"/>
        </w:rPr>
        <w:t>t</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k co</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z w:val="24"/>
          <w:lang w:val="en-US"/>
        </w:rPr>
        <w:t>ple</w:t>
      </w:r>
      <w:r w:rsidRPr="00E161B2">
        <w:rPr>
          <w:rFonts w:ascii="Arial Narrow" w:eastAsia="Arial Narrow" w:hAnsi="Arial Narrow" w:cs="Arial Narrow"/>
          <w:spacing w:val="2"/>
          <w:sz w:val="24"/>
          <w:lang w:val="en-US"/>
        </w:rPr>
        <w:t>t</w:t>
      </w:r>
      <w:r w:rsidRPr="00E161B2">
        <w:rPr>
          <w:rFonts w:ascii="Arial Narrow" w:eastAsia="Arial Narrow" w:hAnsi="Arial Narrow" w:cs="Arial Narrow"/>
          <w:sz w:val="24"/>
          <w:lang w:val="en-US"/>
        </w:rPr>
        <w:t>ely</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nd</w:t>
      </w:r>
      <w:r w:rsidRPr="00E161B2">
        <w:rPr>
          <w:rFonts w:ascii="Arial Narrow" w:eastAsia="Arial Narrow" w:hAnsi="Arial Narrow" w:cs="Arial Narrow"/>
          <w:spacing w:val="-1"/>
          <w:sz w:val="24"/>
          <w:lang w:val="en-US"/>
        </w:rPr>
        <w:t xml:space="preserve"> dr</w:t>
      </w:r>
      <w:r w:rsidRPr="00E161B2">
        <w:rPr>
          <w:rFonts w:ascii="Arial Narrow" w:eastAsia="Arial Narrow" w:hAnsi="Arial Narrow" w:cs="Arial Narrow"/>
          <w:sz w:val="24"/>
          <w:lang w:val="en-US"/>
        </w:rPr>
        <w:t xml:space="preserve">ain </w:t>
      </w:r>
      <w:r w:rsidRPr="00E161B2">
        <w:rPr>
          <w:rFonts w:ascii="Arial Narrow" w:eastAsia="Arial Narrow" w:hAnsi="Arial Narrow" w:cs="Arial Narrow"/>
          <w:spacing w:val="8"/>
          <w:sz w:val="24"/>
          <w:lang w:val="en-US"/>
        </w:rPr>
        <w:t>t</w:t>
      </w:r>
      <w:r w:rsidRPr="00E161B2">
        <w:rPr>
          <w:rFonts w:ascii="Arial Narrow" w:eastAsia="Arial Narrow" w:hAnsi="Arial Narrow" w:cs="Arial Narrow"/>
          <w:sz w:val="24"/>
          <w:lang w:val="en-US"/>
        </w:rPr>
        <w:t>he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z w:val="24"/>
          <w:lang w:val="en-US"/>
        </w:rPr>
        <w:t>h</w:t>
      </w:r>
      <w:r w:rsidRPr="00E161B2">
        <w:rPr>
          <w:rFonts w:ascii="Arial Narrow" w:eastAsia="Arial Narrow" w:hAnsi="Arial Narrow" w:cs="Arial Narrow"/>
          <w:spacing w:val="-1"/>
          <w:sz w:val="24"/>
          <w:lang w:val="en-US"/>
        </w:rPr>
        <w:t>o</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e</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syst</w:t>
      </w:r>
      <w:r w:rsidRPr="00E161B2">
        <w:rPr>
          <w:rFonts w:ascii="Arial Narrow" w:eastAsia="Arial Narrow" w:hAnsi="Arial Narrow" w:cs="Arial Narrow"/>
          <w:spacing w:val="-1"/>
          <w:sz w:val="24"/>
          <w:lang w:val="en-US"/>
        </w:rPr>
        <w:t>em</w:t>
      </w:r>
      <w:r w:rsidRPr="00E161B2">
        <w:rPr>
          <w:rFonts w:ascii="Arial Narrow" w:eastAsia="Arial Narrow" w:hAnsi="Arial Narrow" w:cs="Arial Narrow"/>
          <w:sz w:val="24"/>
          <w:lang w:val="en-US"/>
        </w:rPr>
        <w:t>. Qu</w:t>
      </w:r>
      <w:r w:rsidRPr="00E161B2">
        <w:rPr>
          <w:rFonts w:ascii="Arial Narrow" w:eastAsia="Arial Narrow" w:hAnsi="Arial Narrow" w:cs="Arial Narrow"/>
          <w:spacing w:val="-1"/>
          <w:sz w:val="24"/>
          <w:lang w:val="en-US"/>
        </w:rPr>
        <w:t>ar</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r</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fi</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l</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 xml:space="preserve">nk </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th</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c</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pacing w:val="2"/>
          <w:sz w:val="24"/>
          <w:lang w:val="en-US"/>
        </w:rPr>
        <w:t>e</w:t>
      </w:r>
      <w:r w:rsidRPr="00E161B2">
        <w:rPr>
          <w:rFonts w:ascii="Arial Narrow" w:eastAsia="Arial Narrow" w:hAnsi="Arial Narrow" w:cs="Arial Narrow"/>
          <w:sz w:val="24"/>
          <w:lang w:val="en-US"/>
        </w:rPr>
        <w:t>r</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di</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ecting</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st</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m</w:t>
      </w:r>
      <w:r w:rsidRPr="00E161B2">
        <w:rPr>
          <w:rFonts w:ascii="Arial Narrow" w:eastAsia="Arial Narrow" w:hAnsi="Arial Narrow" w:cs="Arial Narrow"/>
          <w:spacing w:val="-1"/>
          <w:sz w:val="24"/>
          <w:lang w:val="en-US"/>
        </w:rPr>
        <w:t xml:space="preserve"> o</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z w:val="24"/>
          <w:lang w:val="en-US"/>
        </w:rPr>
        <w:t>o</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ins</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de</w:t>
      </w:r>
      <w:r w:rsidRPr="00E161B2">
        <w:rPr>
          <w:rFonts w:ascii="Arial Narrow" w:eastAsia="Arial Narrow" w:hAnsi="Arial Narrow" w:cs="Arial Narrow"/>
          <w:spacing w:val="-1"/>
          <w:sz w:val="24"/>
          <w:lang w:val="en-US"/>
        </w:rPr>
        <w:t xml:space="preserve"> o</w:t>
      </w:r>
      <w:r w:rsidRPr="00E161B2">
        <w:rPr>
          <w:rFonts w:ascii="Arial Narrow" w:eastAsia="Arial Narrow" w:hAnsi="Arial Narrow" w:cs="Arial Narrow"/>
          <w:sz w:val="24"/>
          <w:lang w:val="en-US"/>
        </w:rPr>
        <w:t xml:space="preserve">f </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k.</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pacing w:val="-1"/>
          <w:sz w:val="24"/>
          <w:lang w:val="en-US"/>
        </w:rPr>
        <w:t>C</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culate</w:t>
      </w:r>
      <w:r w:rsidRPr="00E161B2">
        <w:rPr>
          <w:rFonts w:ascii="Arial Narrow" w:eastAsia="Arial Narrow" w:hAnsi="Arial Narrow" w:cs="Arial Narrow"/>
          <w:spacing w:val="-3"/>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u</w:t>
      </w:r>
      <w:r w:rsidRPr="00E161B2">
        <w:rPr>
          <w:rFonts w:ascii="Arial Narrow" w:eastAsia="Arial Narrow" w:hAnsi="Arial Narrow" w:cs="Arial Narrow"/>
          <w:sz w:val="24"/>
          <w:lang w:val="en-US"/>
        </w:rPr>
        <w:t>gh 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2"/>
          <w:sz w:val="24"/>
          <w:lang w:val="en-US"/>
        </w:rPr>
        <w:t>p</w:t>
      </w:r>
      <w:r w:rsidRPr="00E161B2">
        <w:rPr>
          <w:rFonts w:ascii="Arial Narrow" w:eastAsia="Arial Narrow" w:hAnsi="Arial Narrow" w:cs="Arial Narrow"/>
          <w:sz w:val="24"/>
          <w:lang w:val="en-US"/>
        </w:rPr>
        <w:t>u</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z w:val="24"/>
          <w:lang w:val="en-US"/>
        </w:rPr>
        <w:t>p,</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h</w:t>
      </w:r>
      <w:r w:rsidRPr="00E161B2">
        <w:rPr>
          <w:rFonts w:ascii="Arial Narrow" w:eastAsia="Arial Narrow" w:hAnsi="Arial Narrow" w:cs="Arial Narrow"/>
          <w:spacing w:val="-1"/>
          <w:sz w:val="24"/>
          <w:lang w:val="en-US"/>
        </w:rPr>
        <w:t>o</w:t>
      </w:r>
      <w:r w:rsidRPr="00E161B2">
        <w:rPr>
          <w:rFonts w:ascii="Arial Narrow" w:eastAsia="Arial Narrow" w:hAnsi="Arial Narrow" w:cs="Arial Narrow"/>
          <w:sz w:val="24"/>
          <w:lang w:val="en-US"/>
        </w:rPr>
        <w:t>s</w:t>
      </w:r>
      <w:r w:rsidRPr="00E161B2">
        <w:rPr>
          <w:rFonts w:ascii="Arial Narrow" w:eastAsia="Arial Narrow" w:hAnsi="Arial Narrow" w:cs="Arial Narrow"/>
          <w:spacing w:val="2"/>
          <w:sz w:val="24"/>
          <w:lang w:val="en-US"/>
        </w:rPr>
        <w:t>e</w:t>
      </w:r>
      <w:r w:rsidRPr="00E161B2">
        <w:rPr>
          <w:rFonts w:ascii="Arial Narrow" w:eastAsia="Arial Narrow" w:hAnsi="Arial Narrow" w:cs="Arial Narrow"/>
          <w:sz w:val="24"/>
          <w:lang w:val="en-US"/>
        </w:rPr>
        <w:t>s</w:t>
      </w:r>
      <w:r w:rsidRPr="00E161B2">
        <w:rPr>
          <w:rFonts w:ascii="Arial Narrow" w:eastAsia="Arial Narrow" w:hAnsi="Arial Narrow" w:cs="Arial Narrow"/>
          <w:spacing w:val="5"/>
          <w:sz w:val="24"/>
          <w:lang w:val="en-US"/>
        </w:rPr>
        <w:t xml:space="preserve"> </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d</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o</w:t>
      </w:r>
      <w:r w:rsidRPr="00E161B2">
        <w:rPr>
          <w:rFonts w:ascii="Arial Narrow" w:eastAsia="Arial Narrow" w:hAnsi="Arial Narrow" w:cs="Arial Narrow"/>
          <w:sz w:val="24"/>
          <w:lang w:val="en-US"/>
        </w:rPr>
        <w:t>zz</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es 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en</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d</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ain.</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p</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if n</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cessa</w:t>
      </w:r>
      <w:r w:rsidRPr="00E161B2">
        <w:rPr>
          <w:rFonts w:ascii="Arial Narrow" w:eastAsia="Arial Narrow" w:hAnsi="Arial Narrow" w:cs="Arial Narrow"/>
          <w:spacing w:val="-2"/>
          <w:sz w:val="24"/>
          <w:lang w:val="en-US"/>
        </w:rPr>
        <w:t>r</w:t>
      </w:r>
      <w:r w:rsidRPr="00E161B2">
        <w:rPr>
          <w:rFonts w:ascii="Arial Narrow" w:eastAsia="Arial Narrow" w:hAnsi="Arial Narrow" w:cs="Arial Narrow"/>
          <w:sz w:val="24"/>
          <w:lang w:val="en-US"/>
        </w:rPr>
        <w:t>y. F</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pacing w:val="1"/>
          <w:sz w:val="24"/>
          <w:lang w:val="en-US"/>
        </w:rPr>
        <w:t>ll</w:t>
      </w:r>
      <w:r w:rsidRPr="00E161B2">
        <w:rPr>
          <w:rFonts w:ascii="Arial Narrow" w:eastAsia="Arial Narrow" w:hAnsi="Arial Narrow" w:cs="Arial Narrow"/>
          <w:sz w:val="24"/>
          <w:lang w:val="en-US"/>
        </w:rPr>
        <w:t xml:space="preserve">y </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m</w:t>
      </w:r>
      <w:r w:rsidRPr="00E161B2">
        <w:rPr>
          <w:rFonts w:ascii="Arial Narrow" w:eastAsia="Arial Narrow" w:hAnsi="Arial Narrow" w:cs="Arial Narrow"/>
          <w:sz w:val="24"/>
          <w:lang w:val="en-US"/>
        </w:rPr>
        <w:t>ove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d</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c</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all</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fi</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er</w:t>
      </w:r>
      <w:r w:rsidRPr="00E161B2">
        <w:rPr>
          <w:rFonts w:ascii="Arial Narrow" w:eastAsia="Arial Narrow" w:hAnsi="Arial Narrow" w:cs="Arial Narrow"/>
          <w:sz w:val="24"/>
          <w:lang w:val="en-US"/>
        </w:rPr>
        <w:t xml:space="preserve">s </w:t>
      </w:r>
      <w:r w:rsidRPr="00E161B2">
        <w:rPr>
          <w:rFonts w:ascii="Arial Narrow" w:eastAsia="Arial Narrow" w:hAnsi="Arial Narrow" w:cs="Arial Narrow"/>
          <w:spacing w:val="-1"/>
          <w:sz w:val="24"/>
          <w:lang w:val="en-US"/>
        </w:rPr>
        <w:t>(</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nk, i</w:t>
      </w:r>
      <w:r w:rsidRPr="00E161B2">
        <w:rPr>
          <w:rFonts w:ascii="Arial Narrow" w:eastAsia="Arial Narrow" w:hAnsi="Arial Narrow" w:cs="Arial Narrow"/>
          <w:spacing w:val="3"/>
          <w:sz w:val="24"/>
          <w:lang w:val="en-US"/>
        </w:rPr>
        <w:t>n</w:t>
      </w:r>
      <w:r w:rsidRPr="00E161B2">
        <w:rPr>
          <w:rFonts w:ascii="Arial Narrow" w:eastAsia="Arial Narrow" w:hAnsi="Arial Narrow" w:cs="Arial Narrow"/>
          <w:spacing w:val="-1"/>
          <w:sz w:val="24"/>
          <w:lang w:val="en-US"/>
        </w:rPr>
        <w:t>-</w:t>
      </w:r>
      <w:r w:rsidRPr="00E161B2">
        <w:rPr>
          <w:rFonts w:ascii="Arial Narrow" w:eastAsia="Arial Narrow" w:hAnsi="Arial Narrow" w:cs="Arial Narrow"/>
          <w:spacing w:val="1"/>
          <w:sz w:val="24"/>
          <w:lang w:val="en-US"/>
        </w:rPr>
        <w:t>li</w:t>
      </w:r>
      <w:r w:rsidRPr="00E161B2">
        <w:rPr>
          <w:rFonts w:ascii="Arial Narrow" w:eastAsia="Arial Narrow" w:hAnsi="Arial Narrow" w:cs="Arial Narrow"/>
          <w:sz w:val="24"/>
          <w:lang w:val="en-US"/>
        </w:rPr>
        <w:t>ne</w:t>
      </w:r>
      <w:r w:rsidRPr="00E161B2">
        <w:rPr>
          <w:rFonts w:ascii="Arial Narrow" w:eastAsia="Arial Narrow" w:hAnsi="Arial Narrow" w:cs="Arial Narrow"/>
          <w:spacing w:val="-1"/>
          <w:sz w:val="24"/>
          <w:lang w:val="en-US"/>
        </w:rPr>
        <w:t xml:space="preserve"> a</w:t>
      </w:r>
      <w:r w:rsidRPr="00E161B2">
        <w:rPr>
          <w:rFonts w:ascii="Arial Narrow" w:eastAsia="Arial Narrow" w:hAnsi="Arial Narrow" w:cs="Arial Narrow"/>
          <w:sz w:val="24"/>
          <w:lang w:val="en-US"/>
        </w:rPr>
        <w:t>nd</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z w:val="24"/>
          <w:lang w:val="en-US"/>
        </w:rPr>
        <w:t>ozz</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e)</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s</w:t>
      </w:r>
      <w:r w:rsidRPr="00E161B2">
        <w:rPr>
          <w:rFonts w:ascii="Arial Narrow" w:eastAsia="Arial Narrow" w:hAnsi="Arial Narrow" w:cs="Arial Narrow"/>
          <w:spacing w:val="2"/>
          <w:sz w:val="24"/>
          <w:lang w:val="en-US"/>
        </w:rPr>
        <w:t>e</w:t>
      </w:r>
      <w:r w:rsidRPr="00E161B2">
        <w:rPr>
          <w:rFonts w:ascii="Arial Narrow" w:eastAsia="Arial Narrow" w:hAnsi="Arial Narrow" w:cs="Arial Narrow"/>
          <w:sz w:val="24"/>
          <w:lang w:val="en-US"/>
        </w:rPr>
        <w:t>p</w:t>
      </w:r>
      <w:r w:rsidRPr="00E161B2">
        <w:rPr>
          <w:rFonts w:ascii="Arial Narrow" w:eastAsia="Arial Narrow" w:hAnsi="Arial Narrow" w:cs="Arial Narrow"/>
          <w:spacing w:val="-1"/>
          <w:sz w:val="24"/>
          <w:lang w:val="en-US"/>
        </w:rPr>
        <w:t>ar</w:t>
      </w:r>
      <w:r w:rsidRPr="00E161B2">
        <w:rPr>
          <w:rFonts w:ascii="Arial Narrow" w:eastAsia="Arial Narrow" w:hAnsi="Arial Narrow" w:cs="Arial Narrow"/>
          <w:sz w:val="24"/>
          <w:lang w:val="en-US"/>
        </w:rPr>
        <w:t>a</w:t>
      </w:r>
      <w:r w:rsidRPr="00E161B2">
        <w:rPr>
          <w:rFonts w:ascii="Arial Narrow" w:eastAsia="Arial Narrow" w:hAnsi="Arial Narrow" w:cs="Arial Narrow"/>
          <w:spacing w:val="-1"/>
          <w:sz w:val="24"/>
          <w:lang w:val="en-US"/>
        </w:rPr>
        <w:t>t</w:t>
      </w:r>
      <w:r w:rsidRPr="00E161B2">
        <w:rPr>
          <w:rFonts w:ascii="Arial Narrow" w:eastAsia="Arial Narrow" w:hAnsi="Arial Narrow" w:cs="Arial Narrow"/>
          <w:sz w:val="24"/>
          <w:lang w:val="en-US"/>
        </w:rPr>
        <w:t>el</w:t>
      </w:r>
      <w:r w:rsidRPr="00E161B2">
        <w:rPr>
          <w:rFonts w:ascii="Arial Narrow" w:eastAsia="Arial Narrow" w:hAnsi="Arial Narrow" w:cs="Arial Narrow"/>
          <w:spacing w:val="1"/>
          <w:sz w:val="24"/>
          <w:lang w:val="en-US"/>
        </w:rPr>
        <w:t>y</w:t>
      </w:r>
      <w:r w:rsidRPr="00E161B2">
        <w:rPr>
          <w:rFonts w:ascii="Arial Narrow" w:eastAsia="Arial Narrow" w:hAnsi="Arial Narrow" w:cs="Arial Narrow"/>
          <w:sz w:val="24"/>
          <w:lang w:val="en-US"/>
        </w:rPr>
        <w:t>. Th</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 xml:space="preserve">s </w:t>
      </w:r>
      <w:r w:rsidRPr="00E161B2">
        <w:rPr>
          <w:rFonts w:ascii="Arial Narrow" w:eastAsia="Arial Narrow" w:hAnsi="Arial Narrow" w:cs="Arial Narrow"/>
          <w:spacing w:val="-1"/>
          <w:sz w:val="24"/>
          <w:lang w:val="en-US"/>
        </w:rPr>
        <w:t>w</w:t>
      </w:r>
      <w:r w:rsidRPr="00E161B2">
        <w:rPr>
          <w:rFonts w:ascii="Arial Narrow" w:eastAsia="Arial Narrow" w:hAnsi="Arial Narrow" w:cs="Arial Narrow"/>
          <w:spacing w:val="1"/>
          <w:sz w:val="24"/>
          <w:lang w:val="en-US"/>
        </w:rPr>
        <w:t>il</w:t>
      </w:r>
      <w:r w:rsidRPr="00E161B2">
        <w:rPr>
          <w:rFonts w:ascii="Arial Narrow" w:eastAsia="Arial Narrow" w:hAnsi="Arial Narrow" w:cs="Arial Narrow"/>
          <w:sz w:val="24"/>
          <w:lang w:val="en-US"/>
        </w:rPr>
        <w:t xml:space="preserve">l </w:t>
      </w:r>
      <w:r w:rsidRPr="00E161B2">
        <w:rPr>
          <w:rFonts w:ascii="Arial Narrow" w:eastAsia="Arial Narrow" w:hAnsi="Arial Narrow" w:cs="Arial Narrow"/>
          <w:spacing w:val="-1"/>
          <w:sz w:val="24"/>
          <w:lang w:val="en-US"/>
        </w:rPr>
        <w:t>pr</w:t>
      </w:r>
      <w:r w:rsidRPr="00E161B2">
        <w:rPr>
          <w:rFonts w:ascii="Arial Narrow" w:eastAsia="Arial Narrow" w:hAnsi="Arial Narrow" w:cs="Arial Narrow"/>
          <w:sz w:val="24"/>
          <w:lang w:val="en-US"/>
        </w:rPr>
        <w:t>ov</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de</w:t>
      </w:r>
      <w:r w:rsidRPr="00E161B2">
        <w:rPr>
          <w:rFonts w:ascii="Arial Narrow" w:eastAsia="Arial Narrow" w:hAnsi="Arial Narrow" w:cs="Arial Narrow"/>
          <w:spacing w:val="-1"/>
          <w:sz w:val="24"/>
          <w:lang w:val="en-US"/>
        </w:rPr>
        <w:t xml:space="preserve"> a</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f</w:t>
      </w:r>
      <w:r w:rsidRPr="00E161B2">
        <w:rPr>
          <w:rFonts w:ascii="Arial Narrow" w:eastAsia="Arial Narrow" w:hAnsi="Arial Narrow" w:cs="Arial Narrow"/>
          <w:sz w:val="24"/>
          <w:lang w:val="en-US"/>
        </w:rPr>
        <w:t>f</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ctive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c</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ning</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ch</w:t>
      </w:r>
      <w:r w:rsidRPr="00E161B2">
        <w:rPr>
          <w:rFonts w:ascii="Arial Narrow" w:eastAsia="Arial Narrow" w:hAnsi="Arial Narrow" w:cs="Arial Narrow"/>
          <w:spacing w:val="-1"/>
          <w:sz w:val="24"/>
          <w:lang w:val="en-US"/>
        </w:rPr>
        <w:t>n</w:t>
      </w:r>
      <w:r w:rsidRPr="00E161B2">
        <w:rPr>
          <w:rFonts w:ascii="Arial Narrow" w:eastAsia="Arial Narrow" w:hAnsi="Arial Narrow" w:cs="Arial Narrow"/>
          <w:spacing w:val="1"/>
          <w:sz w:val="24"/>
          <w:lang w:val="en-US"/>
        </w:rPr>
        <w:t>i</w:t>
      </w:r>
      <w:r w:rsidRPr="00E161B2">
        <w:rPr>
          <w:rFonts w:ascii="Arial Narrow" w:eastAsia="Arial Narrow" w:hAnsi="Arial Narrow" w:cs="Arial Narrow"/>
          <w:sz w:val="24"/>
          <w:lang w:val="en-US"/>
        </w:rPr>
        <w:t>q</w:t>
      </w:r>
      <w:r w:rsidRPr="00E161B2">
        <w:rPr>
          <w:rFonts w:ascii="Arial Narrow" w:eastAsia="Arial Narrow" w:hAnsi="Arial Narrow" w:cs="Arial Narrow"/>
          <w:spacing w:val="-1"/>
          <w:sz w:val="24"/>
          <w:lang w:val="en-US"/>
        </w:rPr>
        <w:t>u</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2"/>
          <w:sz w:val="24"/>
          <w:lang w:val="en-US"/>
        </w:rPr>
        <w:t>f</w:t>
      </w:r>
      <w:r w:rsidRPr="00E161B2">
        <w:rPr>
          <w:rFonts w:ascii="Arial Narrow" w:eastAsia="Arial Narrow" w:hAnsi="Arial Narrow" w:cs="Arial Narrow"/>
          <w:sz w:val="24"/>
          <w:lang w:val="en-US"/>
        </w:rPr>
        <w:t>or</w:t>
      </w:r>
      <w:r w:rsidRPr="00E161B2">
        <w:rPr>
          <w:rFonts w:ascii="Arial Narrow" w:eastAsia="Arial Narrow" w:hAnsi="Arial Narrow" w:cs="Arial Narrow"/>
          <w:spacing w:val="3"/>
          <w:sz w:val="24"/>
          <w:lang w:val="en-US"/>
        </w:rPr>
        <w:t xml:space="preserve"> </w:t>
      </w:r>
      <w:r w:rsidRPr="00E161B2">
        <w:rPr>
          <w:rFonts w:ascii="Arial Narrow" w:eastAsia="Arial Narrow" w:hAnsi="Arial Narrow" w:cs="Arial Narrow"/>
          <w:spacing w:val="1"/>
          <w:sz w:val="24"/>
          <w:lang w:val="en-US"/>
        </w:rPr>
        <w:t>FREQUENCY</w:t>
      </w:r>
      <w:r w:rsidRPr="00E161B2">
        <w:rPr>
          <w:rFonts w:ascii="Arial Narrow" w:eastAsia="Arial Narrow" w:hAnsi="Arial Narrow" w:cs="Arial Narrow"/>
          <w:spacing w:val="1"/>
          <w:sz w:val="24"/>
          <w:vertAlign w:val="superscript"/>
          <w:lang w:val="en-US"/>
        </w:rPr>
        <w:t>®</w:t>
      </w:r>
      <w:r w:rsidRPr="00E161B2">
        <w:rPr>
          <w:rFonts w:ascii="Arial Narrow" w:eastAsia="Arial Narrow" w:hAnsi="Arial Narrow" w:cs="Arial Narrow"/>
          <w:spacing w:val="1"/>
          <w:sz w:val="24"/>
          <w:lang w:val="en-US"/>
        </w:rPr>
        <w:t xml:space="preserve"> </w:t>
      </w:r>
      <w:r w:rsidRPr="00E161B2">
        <w:rPr>
          <w:rFonts w:ascii="Arial Narrow" w:hAnsi="Arial Narrow"/>
          <w:sz w:val="24"/>
          <w:szCs w:val="20"/>
        </w:rPr>
        <w:t>Herbicide</w:t>
      </w:r>
      <w:r w:rsidRPr="00E161B2">
        <w:rPr>
          <w:rFonts w:ascii="Arial Narrow" w:eastAsia="Arial Narrow" w:hAnsi="Arial Narrow" w:cs="Arial Narrow"/>
          <w:sz w:val="24"/>
          <w:lang w:val="en-US"/>
        </w:rPr>
        <w:t>. A</w:t>
      </w:r>
      <w:r w:rsidRPr="00E161B2">
        <w:rPr>
          <w:rFonts w:ascii="Arial Narrow" w:eastAsia="Arial Narrow" w:hAnsi="Arial Narrow" w:cs="Arial Narrow"/>
          <w:spacing w:val="-1"/>
          <w:sz w:val="24"/>
          <w:lang w:val="en-US"/>
        </w:rPr>
        <w:t xml:space="preserve"> b</w:t>
      </w:r>
      <w:r w:rsidRPr="00E161B2">
        <w:rPr>
          <w:rFonts w:ascii="Arial Narrow" w:eastAsia="Arial Narrow" w:hAnsi="Arial Narrow" w:cs="Arial Narrow"/>
          <w:sz w:val="24"/>
          <w:lang w:val="en-US"/>
        </w:rPr>
        <w:t>o</w:t>
      </w:r>
      <w:r w:rsidRPr="00E161B2">
        <w:rPr>
          <w:rFonts w:ascii="Arial Narrow" w:eastAsia="Arial Narrow" w:hAnsi="Arial Narrow" w:cs="Arial Narrow"/>
          <w:spacing w:val="-1"/>
          <w:sz w:val="24"/>
          <w:lang w:val="en-US"/>
        </w:rPr>
        <w:t>o</w:t>
      </w:r>
      <w:r w:rsidRPr="00E161B2">
        <w:rPr>
          <w:rFonts w:ascii="Arial Narrow" w:eastAsia="Arial Narrow" w:hAnsi="Arial Narrow" w:cs="Arial Narrow"/>
          <w:sz w:val="24"/>
          <w:lang w:val="en-US"/>
        </w:rPr>
        <w:t>m</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c</w:t>
      </w:r>
      <w:r w:rsidRPr="00E161B2">
        <w:rPr>
          <w:rFonts w:ascii="Arial Narrow" w:eastAsia="Arial Narrow" w:hAnsi="Arial Narrow" w:cs="Arial Narrow"/>
          <w:spacing w:val="1"/>
          <w:sz w:val="24"/>
          <w:lang w:val="en-US"/>
        </w:rPr>
        <w:t>l</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a</w:t>
      </w:r>
      <w:r w:rsidRPr="00E161B2">
        <w:rPr>
          <w:rFonts w:ascii="Arial Narrow" w:eastAsia="Arial Narrow" w:hAnsi="Arial Narrow" w:cs="Arial Narrow"/>
          <w:sz w:val="24"/>
          <w:lang w:val="en-US"/>
        </w:rPr>
        <w:t>n</w:t>
      </w:r>
      <w:r w:rsidRPr="00E161B2">
        <w:rPr>
          <w:rFonts w:ascii="Arial Narrow" w:eastAsia="Arial Narrow" w:hAnsi="Arial Narrow" w:cs="Arial Narrow"/>
          <w:spacing w:val="1"/>
          <w:sz w:val="24"/>
          <w:lang w:val="en-US"/>
        </w:rPr>
        <w:t>e</w:t>
      </w:r>
      <w:r w:rsidRPr="00E161B2">
        <w:rPr>
          <w:rFonts w:ascii="Arial Narrow" w:eastAsia="Arial Narrow" w:hAnsi="Arial Narrow" w:cs="Arial Narrow"/>
          <w:sz w:val="24"/>
          <w:lang w:val="en-US"/>
        </w:rPr>
        <w:t>r</w:t>
      </w:r>
      <w:r w:rsidRPr="00E161B2">
        <w:rPr>
          <w:rFonts w:ascii="Arial Narrow" w:eastAsia="Arial Narrow" w:hAnsi="Arial Narrow" w:cs="Arial Narrow"/>
          <w:spacing w:val="-1"/>
          <w:sz w:val="24"/>
          <w:lang w:val="en-US"/>
        </w:rPr>
        <w:t xml:space="preserve"> m</w:t>
      </w:r>
      <w:r w:rsidRPr="00E161B2">
        <w:rPr>
          <w:rFonts w:ascii="Arial Narrow" w:eastAsia="Arial Narrow" w:hAnsi="Arial Narrow" w:cs="Arial Narrow"/>
          <w:sz w:val="24"/>
          <w:lang w:val="en-US"/>
        </w:rPr>
        <w:t xml:space="preserve">ay </w:t>
      </w:r>
      <w:r w:rsidRPr="00E161B2">
        <w:rPr>
          <w:rFonts w:ascii="Arial Narrow" w:eastAsia="Arial Narrow" w:hAnsi="Arial Narrow" w:cs="Arial Narrow"/>
          <w:spacing w:val="2"/>
          <w:sz w:val="24"/>
          <w:lang w:val="en-US"/>
        </w:rPr>
        <w:t>b</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used</w:t>
      </w:r>
      <w:r w:rsidRPr="00E161B2">
        <w:rPr>
          <w:rFonts w:ascii="Arial Narrow" w:eastAsia="Arial Narrow" w:hAnsi="Arial Narrow" w:cs="Arial Narrow"/>
          <w:spacing w:val="-1"/>
          <w:sz w:val="24"/>
          <w:lang w:val="en-US"/>
        </w:rPr>
        <w:t xml:space="preserve"> a</w:t>
      </w:r>
      <w:r w:rsidRPr="00E161B2">
        <w:rPr>
          <w:rFonts w:ascii="Arial Narrow" w:eastAsia="Arial Narrow" w:hAnsi="Arial Narrow" w:cs="Arial Narrow"/>
          <w:sz w:val="24"/>
          <w:lang w:val="en-US"/>
        </w:rPr>
        <w:t>s</w:t>
      </w:r>
      <w:r w:rsidRPr="00E161B2">
        <w:rPr>
          <w:rFonts w:ascii="Arial Narrow" w:eastAsia="Arial Narrow" w:hAnsi="Arial Narrow" w:cs="Arial Narrow"/>
          <w:spacing w:val="2"/>
          <w:sz w:val="24"/>
          <w:lang w:val="en-US"/>
        </w:rPr>
        <w:t xml:space="preserve"> </w:t>
      </w:r>
      <w:r w:rsidRPr="00E161B2">
        <w:rPr>
          <w:rFonts w:ascii="Arial Narrow" w:eastAsia="Arial Narrow" w:hAnsi="Arial Narrow" w:cs="Arial Narrow"/>
          <w:sz w:val="24"/>
          <w:lang w:val="en-US"/>
        </w:rPr>
        <w:t>p</w:t>
      </w:r>
      <w:r w:rsidRPr="00E161B2">
        <w:rPr>
          <w:rFonts w:ascii="Arial Narrow" w:eastAsia="Arial Narrow" w:hAnsi="Arial Narrow" w:cs="Arial Narrow"/>
          <w:spacing w:val="-1"/>
          <w:sz w:val="24"/>
          <w:lang w:val="en-US"/>
        </w:rPr>
        <w:t>ar</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of</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z w:val="24"/>
          <w:lang w:val="en-US"/>
        </w:rPr>
        <w:t>t</w:t>
      </w:r>
      <w:r w:rsidRPr="00E161B2">
        <w:rPr>
          <w:rFonts w:ascii="Arial Narrow" w:eastAsia="Arial Narrow" w:hAnsi="Arial Narrow" w:cs="Arial Narrow"/>
          <w:spacing w:val="-1"/>
          <w:sz w:val="24"/>
          <w:lang w:val="en-US"/>
        </w:rPr>
        <w:t>h</w:t>
      </w:r>
      <w:r w:rsidRPr="00E161B2">
        <w:rPr>
          <w:rFonts w:ascii="Arial Narrow" w:eastAsia="Arial Narrow" w:hAnsi="Arial Narrow" w:cs="Arial Narrow"/>
          <w:sz w:val="24"/>
          <w:lang w:val="en-US"/>
        </w:rPr>
        <w:t>e</w:t>
      </w:r>
      <w:r w:rsidRPr="00E161B2">
        <w:rPr>
          <w:rFonts w:ascii="Arial Narrow" w:eastAsia="Arial Narrow" w:hAnsi="Arial Narrow" w:cs="Arial Narrow"/>
          <w:spacing w:val="-1"/>
          <w:sz w:val="24"/>
          <w:lang w:val="en-US"/>
        </w:rPr>
        <w:t xml:space="preserve"> </w:t>
      </w:r>
      <w:r w:rsidRPr="00E161B2">
        <w:rPr>
          <w:rFonts w:ascii="Arial Narrow" w:eastAsia="Arial Narrow" w:hAnsi="Arial Narrow" w:cs="Arial Narrow"/>
          <w:spacing w:val="2"/>
          <w:sz w:val="24"/>
          <w:lang w:val="en-US"/>
        </w:rPr>
        <w:t>p</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oce</w:t>
      </w:r>
      <w:r w:rsidRPr="00E161B2">
        <w:rPr>
          <w:rFonts w:ascii="Arial Narrow" w:eastAsia="Arial Narrow" w:hAnsi="Arial Narrow" w:cs="Arial Narrow"/>
          <w:spacing w:val="-1"/>
          <w:sz w:val="24"/>
          <w:lang w:val="en-US"/>
        </w:rPr>
        <w:t>d</w:t>
      </w:r>
      <w:r w:rsidRPr="00E161B2">
        <w:rPr>
          <w:rFonts w:ascii="Arial Narrow" w:eastAsia="Arial Narrow" w:hAnsi="Arial Narrow" w:cs="Arial Narrow"/>
          <w:spacing w:val="2"/>
          <w:sz w:val="24"/>
          <w:lang w:val="en-US"/>
        </w:rPr>
        <w:t>u</w:t>
      </w:r>
      <w:r w:rsidRPr="00E161B2">
        <w:rPr>
          <w:rFonts w:ascii="Arial Narrow" w:eastAsia="Arial Narrow" w:hAnsi="Arial Narrow" w:cs="Arial Narrow"/>
          <w:spacing w:val="-1"/>
          <w:sz w:val="24"/>
          <w:lang w:val="en-US"/>
        </w:rPr>
        <w:t>r</w:t>
      </w:r>
      <w:r w:rsidRPr="00E161B2">
        <w:rPr>
          <w:rFonts w:ascii="Arial Narrow" w:eastAsia="Arial Narrow" w:hAnsi="Arial Narrow" w:cs="Arial Narrow"/>
          <w:sz w:val="24"/>
          <w:lang w:val="en-US"/>
        </w:rPr>
        <w:t>e.</w:t>
      </w:r>
      <w:r w:rsidRPr="00E161B2">
        <w:rPr>
          <w:rFonts w:ascii="Arial Narrow" w:eastAsia="Arial Narrow" w:hAnsi="Arial Narrow" w:cs="Arial Narrow"/>
          <w:spacing w:val="-2"/>
          <w:sz w:val="24"/>
          <w:lang w:val="en-US"/>
        </w:rPr>
        <w:t xml:space="preserve"> </w:t>
      </w:r>
    </w:p>
    <w:p w14:paraId="47F92C3C" w14:textId="77777777" w:rsidR="004631F2" w:rsidRPr="00E161B2" w:rsidRDefault="004631F2" w:rsidP="004631F2">
      <w:pPr>
        <w:spacing w:before="120"/>
        <w:jc w:val="both"/>
        <w:rPr>
          <w:rFonts w:ascii="Arial Narrow" w:hAnsi="Arial Narrow"/>
          <w:b/>
          <w:sz w:val="24"/>
          <w:szCs w:val="20"/>
        </w:rPr>
      </w:pPr>
      <w:r w:rsidRPr="00E161B2">
        <w:rPr>
          <w:rFonts w:ascii="Arial Narrow" w:hAnsi="Arial Narrow"/>
          <w:b/>
          <w:sz w:val="24"/>
          <w:szCs w:val="20"/>
        </w:rPr>
        <w:t>HERBICIDE RESISTANCE WARNING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
        <w:gridCol w:w="1530"/>
      </w:tblGrid>
      <w:tr w:rsidR="004631F2" w:rsidRPr="00E161B2" w14:paraId="33081CC6" w14:textId="77777777" w:rsidTr="00F142B9">
        <w:tc>
          <w:tcPr>
            <w:tcW w:w="1080" w:type="dxa"/>
            <w:vAlign w:val="center"/>
          </w:tcPr>
          <w:p w14:paraId="3D22C46D" w14:textId="77777777" w:rsidR="004631F2" w:rsidRPr="00E161B2" w:rsidRDefault="004631F2" w:rsidP="00F142B9">
            <w:pPr>
              <w:autoSpaceDE w:val="0"/>
              <w:autoSpaceDN w:val="0"/>
              <w:adjustRightInd w:val="0"/>
              <w:ind w:left="34"/>
              <w:jc w:val="both"/>
              <w:rPr>
                <w:rFonts w:ascii="Arial Narrow" w:hAnsi="Arial Narrow" w:cs="Arial"/>
                <w:b/>
                <w:bCs/>
                <w:sz w:val="24"/>
              </w:rPr>
            </w:pPr>
            <w:r w:rsidRPr="00E161B2">
              <w:rPr>
                <w:rFonts w:ascii="Arial Narrow" w:hAnsi="Arial Narrow" w:cs="Arial"/>
                <w:b/>
                <w:bCs/>
                <w:sz w:val="24"/>
              </w:rPr>
              <w:t xml:space="preserve">GROUP </w:t>
            </w:r>
          </w:p>
        </w:tc>
        <w:tc>
          <w:tcPr>
            <w:tcW w:w="360" w:type="dxa"/>
            <w:tcBorders>
              <w:left w:val="single" w:sz="4" w:space="0" w:color="FFFFFF"/>
              <w:right w:val="single" w:sz="4" w:space="0" w:color="FFFFFF"/>
            </w:tcBorders>
            <w:shd w:val="clear" w:color="auto" w:fill="000000"/>
            <w:vAlign w:val="center"/>
          </w:tcPr>
          <w:p w14:paraId="79D66023" w14:textId="77777777" w:rsidR="004631F2" w:rsidRPr="00E161B2" w:rsidRDefault="004631F2" w:rsidP="00F142B9">
            <w:pPr>
              <w:autoSpaceDE w:val="0"/>
              <w:autoSpaceDN w:val="0"/>
              <w:adjustRightInd w:val="0"/>
              <w:ind w:right="-73"/>
              <w:jc w:val="both"/>
              <w:rPr>
                <w:rFonts w:ascii="Arial Narrow" w:hAnsi="Arial Narrow" w:cs="Arial"/>
                <w:b/>
                <w:bCs/>
                <w:sz w:val="24"/>
              </w:rPr>
            </w:pPr>
            <w:r w:rsidRPr="00E161B2">
              <w:rPr>
                <w:rFonts w:ascii="Arial Narrow" w:hAnsi="Arial Narrow" w:cs="Arial"/>
                <w:b/>
                <w:bCs/>
                <w:sz w:val="24"/>
              </w:rPr>
              <w:t>H</w:t>
            </w:r>
          </w:p>
        </w:tc>
        <w:tc>
          <w:tcPr>
            <w:tcW w:w="1530" w:type="dxa"/>
            <w:tcBorders>
              <w:left w:val="single" w:sz="4" w:space="0" w:color="FFFFFF"/>
            </w:tcBorders>
            <w:vAlign w:val="center"/>
          </w:tcPr>
          <w:p w14:paraId="3033170D" w14:textId="77777777" w:rsidR="004631F2" w:rsidRPr="00E161B2" w:rsidRDefault="004631F2" w:rsidP="00F142B9">
            <w:pPr>
              <w:autoSpaceDE w:val="0"/>
              <w:autoSpaceDN w:val="0"/>
              <w:adjustRightInd w:val="0"/>
              <w:ind w:left="188" w:hanging="154"/>
              <w:jc w:val="both"/>
              <w:rPr>
                <w:rFonts w:ascii="Arial Narrow" w:hAnsi="Arial Narrow" w:cs="Arial"/>
                <w:b/>
                <w:bCs/>
                <w:sz w:val="24"/>
              </w:rPr>
            </w:pPr>
            <w:r w:rsidRPr="00E161B2">
              <w:rPr>
                <w:rFonts w:ascii="Arial Narrow" w:hAnsi="Arial Narrow" w:cs="Arial"/>
                <w:b/>
                <w:bCs/>
                <w:sz w:val="24"/>
              </w:rPr>
              <w:t>HERBICIDE</w:t>
            </w:r>
          </w:p>
        </w:tc>
      </w:tr>
    </w:tbl>
    <w:p w14:paraId="5944A39B" w14:textId="1F7DD2B8" w:rsidR="004631F2" w:rsidRPr="00E161B2" w:rsidRDefault="004631F2" w:rsidP="004631F2">
      <w:pPr>
        <w:spacing w:before="120"/>
        <w:jc w:val="both"/>
        <w:rPr>
          <w:rFonts w:ascii="Arial Narrow" w:hAnsi="Arial Narrow"/>
          <w:bCs/>
          <w:sz w:val="24"/>
          <w:szCs w:val="20"/>
        </w:rPr>
      </w:pPr>
      <w:r w:rsidRPr="00E161B2">
        <w:rPr>
          <w:rFonts w:ascii="Arial Narrow" w:hAnsi="Arial Narrow"/>
          <w:bCs/>
          <w:sz w:val="24"/>
          <w:szCs w:val="20"/>
        </w:rPr>
        <w:t>FREQUENCY</w:t>
      </w:r>
      <w:r w:rsidRPr="00E161B2">
        <w:rPr>
          <w:rFonts w:ascii="Arial Narrow" w:hAnsi="Arial Narrow"/>
          <w:bCs/>
          <w:sz w:val="24"/>
          <w:szCs w:val="20"/>
          <w:vertAlign w:val="superscript"/>
        </w:rPr>
        <w:t>®</w:t>
      </w:r>
      <w:r w:rsidRPr="00E161B2">
        <w:rPr>
          <w:rFonts w:ascii="Arial Narrow" w:hAnsi="Arial Narrow"/>
          <w:bCs/>
          <w:sz w:val="24"/>
          <w:szCs w:val="20"/>
        </w:rPr>
        <w:t xml:space="preserve"> </w:t>
      </w:r>
      <w:r w:rsidRPr="00E161B2">
        <w:rPr>
          <w:rFonts w:ascii="Arial Narrow" w:hAnsi="Arial Narrow"/>
          <w:sz w:val="24"/>
          <w:szCs w:val="20"/>
        </w:rPr>
        <w:t>Herbicide</w:t>
      </w:r>
      <w:r w:rsidRPr="00E161B2">
        <w:rPr>
          <w:rFonts w:ascii="Arial Narrow" w:hAnsi="Arial Narrow"/>
          <w:bCs/>
          <w:sz w:val="24"/>
          <w:szCs w:val="20"/>
        </w:rPr>
        <w:t xml:space="preserve"> is a member of the </w:t>
      </w:r>
      <w:proofErr w:type="spellStart"/>
      <w:r w:rsidRPr="00E161B2">
        <w:rPr>
          <w:rFonts w:ascii="Arial Narrow" w:hAnsi="Arial Narrow"/>
          <w:bCs/>
          <w:sz w:val="24"/>
          <w:szCs w:val="20"/>
        </w:rPr>
        <w:t>benzoylpyrazole</w:t>
      </w:r>
      <w:proofErr w:type="spellEnd"/>
      <w:r w:rsidRPr="00E161B2">
        <w:rPr>
          <w:rFonts w:ascii="Arial Narrow" w:hAnsi="Arial Narrow"/>
          <w:bCs/>
          <w:sz w:val="24"/>
          <w:szCs w:val="20"/>
        </w:rPr>
        <w:t xml:space="preserve"> group of herbicides and acts by inhibiting 4-hydroxyphynlpyruvate dioxygenase (4-HPPD). For weed resistance management FREQUENCY</w:t>
      </w:r>
      <w:r w:rsidRPr="00E161B2">
        <w:rPr>
          <w:rFonts w:ascii="Arial Narrow" w:hAnsi="Arial Narrow"/>
          <w:bCs/>
          <w:sz w:val="24"/>
          <w:szCs w:val="20"/>
          <w:vertAlign w:val="superscript"/>
        </w:rPr>
        <w:t>®</w:t>
      </w:r>
      <w:r w:rsidRPr="00E161B2">
        <w:rPr>
          <w:rFonts w:ascii="Arial Narrow" w:hAnsi="Arial Narrow"/>
          <w:bCs/>
          <w:sz w:val="24"/>
          <w:szCs w:val="20"/>
        </w:rPr>
        <w:t xml:space="preserve"> </w:t>
      </w:r>
      <w:r w:rsidRPr="00E161B2">
        <w:rPr>
          <w:rFonts w:ascii="Arial Narrow" w:hAnsi="Arial Narrow"/>
          <w:sz w:val="24"/>
          <w:szCs w:val="20"/>
        </w:rPr>
        <w:t>Herbicide</w:t>
      </w:r>
      <w:r w:rsidRPr="00E161B2">
        <w:rPr>
          <w:rFonts w:ascii="Arial Narrow" w:hAnsi="Arial Narrow"/>
          <w:bCs/>
          <w:sz w:val="24"/>
          <w:szCs w:val="20"/>
        </w:rPr>
        <w:t xml:space="preserve"> is a Group H herbicide. Some naturally occurring weed biotypes resistant to this product and other Group H herbicides may exist through normal genetic varia</w:t>
      </w:r>
      <w:r w:rsidR="00276C28">
        <w:rPr>
          <w:rFonts w:ascii="Arial Narrow" w:hAnsi="Arial Narrow"/>
          <w:bCs/>
          <w:sz w:val="24"/>
          <w:szCs w:val="20"/>
        </w:rPr>
        <w:t xml:space="preserve">bility in any weed population. </w:t>
      </w:r>
      <w:r w:rsidRPr="00E161B2">
        <w:rPr>
          <w:rFonts w:ascii="Arial Narrow" w:hAnsi="Arial Narrow"/>
          <w:bCs/>
          <w:sz w:val="24"/>
          <w:szCs w:val="20"/>
        </w:rPr>
        <w:t>The resistant individuals can eventually dominate the weed population if these herbicides are used repeatedly. These resistant weeds will not be controlled by this product or other H herbicides. Since the occurrence of resistant weeds is difficult to detect prior to use, BASF Australia Limited accepts no liability for any losses that may result from the failure of this product to control resistant weeds.</w:t>
      </w:r>
    </w:p>
    <w:p w14:paraId="39455CAE" w14:textId="77777777" w:rsidR="004631F2" w:rsidRPr="00E161B2" w:rsidRDefault="004631F2" w:rsidP="004631F2">
      <w:pPr>
        <w:spacing w:before="120"/>
        <w:jc w:val="both"/>
        <w:rPr>
          <w:rFonts w:ascii="Arial Narrow" w:hAnsi="Arial Narrow"/>
          <w:b/>
          <w:bCs/>
          <w:sz w:val="24"/>
          <w:szCs w:val="20"/>
        </w:rPr>
      </w:pPr>
      <w:r w:rsidRPr="00E161B2">
        <w:rPr>
          <w:rFonts w:ascii="Arial Narrow" w:hAnsi="Arial Narrow"/>
          <w:b/>
          <w:bCs/>
          <w:sz w:val="24"/>
          <w:szCs w:val="20"/>
        </w:rPr>
        <w:t>Resistance Management</w:t>
      </w:r>
    </w:p>
    <w:p w14:paraId="35016437" w14:textId="77777777" w:rsidR="004631F2" w:rsidRDefault="004631F2" w:rsidP="004631F2">
      <w:pPr>
        <w:spacing w:before="120"/>
        <w:jc w:val="both"/>
        <w:rPr>
          <w:rFonts w:ascii="Arial Narrow" w:hAnsi="Arial Narrow"/>
          <w:bCs/>
          <w:sz w:val="24"/>
          <w:szCs w:val="20"/>
        </w:rPr>
      </w:pPr>
      <w:r w:rsidRPr="00E161B2">
        <w:rPr>
          <w:rFonts w:ascii="Arial Narrow" w:hAnsi="Arial Narrow"/>
          <w:bCs/>
          <w:sz w:val="24"/>
          <w:szCs w:val="20"/>
        </w:rPr>
        <w:t>Management of weed resistance to Group H herbicides is important to maintain this critical mode of action for broadleaf weed control and particularly for wild radish control. Where possible, FREQUENCY</w:t>
      </w:r>
      <w:r w:rsidRPr="00E161B2">
        <w:rPr>
          <w:rFonts w:ascii="Arial Narrow" w:hAnsi="Arial Narrow"/>
          <w:bCs/>
          <w:sz w:val="24"/>
          <w:szCs w:val="20"/>
          <w:vertAlign w:val="superscript"/>
        </w:rPr>
        <w:t>®</w:t>
      </w:r>
      <w:r w:rsidRPr="00E161B2">
        <w:rPr>
          <w:rFonts w:ascii="Arial Narrow" w:hAnsi="Arial Narrow"/>
          <w:bCs/>
          <w:sz w:val="24"/>
          <w:szCs w:val="20"/>
        </w:rPr>
        <w:t xml:space="preserve"> Herbicide should be used as a part of an integrated weed management program which includes herbicides from other modes of action and non-chemical methods. </w:t>
      </w:r>
      <w:proofErr w:type="spellStart"/>
      <w:r w:rsidRPr="00E161B2">
        <w:rPr>
          <w:rFonts w:ascii="Arial Narrow" w:hAnsi="Arial Narrow"/>
          <w:bCs/>
          <w:sz w:val="24"/>
          <w:szCs w:val="20"/>
        </w:rPr>
        <w:t>CropLife</w:t>
      </w:r>
      <w:proofErr w:type="spellEnd"/>
      <w:r w:rsidRPr="00E161B2">
        <w:rPr>
          <w:rFonts w:ascii="Arial Narrow" w:hAnsi="Arial Narrow"/>
          <w:bCs/>
          <w:sz w:val="24"/>
          <w:szCs w:val="20"/>
        </w:rPr>
        <w:t xml:space="preserve"> resistance management strategies are available from BASF sales representatives and from </w:t>
      </w:r>
      <w:proofErr w:type="spellStart"/>
      <w:r w:rsidRPr="00E161B2">
        <w:rPr>
          <w:rFonts w:ascii="Arial Narrow" w:hAnsi="Arial Narrow"/>
          <w:bCs/>
          <w:sz w:val="24"/>
          <w:szCs w:val="20"/>
        </w:rPr>
        <w:t>CropLife</w:t>
      </w:r>
      <w:proofErr w:type="spellEnd"/>
      <w:r w:rsidRPr="00E161B2">
        <w:rPr>
          <w:rFonts w:ascii="Arial Narrow" w:hAnsi="Arial Narrow"/>
          <w:bCs/>
          <w:sz w:val="24"/>
          <w:szCs w:val="20"/>
        </w:rPr>
        <w:t xml:space="preserve"> at </w:t>
      </w:r>
      <w:hyperlink r:id="rId46" w:history="1">
        <w:r w:rsidRPr="00C73F1B">
          <w:rPr>
            <w:rStyle w:val="Hyperlink"/>
            <w:rFonts w:ascii="Arial Narrow" w:hAnsi="Arial Narrow"/>
            <w:bCs/>
            <w:sz w:val="24"/>
            <w:szCs w:val="20"/>
          </w:rPr>
          <w:t>www.croplife.com.au</w:t>
        </w:r>
      </w:hyperlink>
      <w:r w:rsidRPr="00E161B2">
        <w:rPr>
          <w:rFonts w:ascii="Arial Narrow" w:hAnsi="Arial Narrow"/>
          <w:bCs/>
          <w:sz w:val="24"/>
          <w:szCs w:val="20"/>
        </w:rPr>
        <w:t>.</w:t>
      </w:r>
    </w:p>
    <w:p w14:paraId="594B83F4" w14:textId="1B75179D" w:rsidR="004631F2" w:rsidRDefault="004631F2" w:rsidP="004631F2">
      <w:pPr>
        <w:widowControl w:val="0"/>
        <w:ind w:right="-20"/>
        <w:jc w:val="both"/>
        <w:rPr>
          <w:rFonts w:ascii="Arial Narrow" w:eastAsia="Arial Narrow" w:hAnsi="Arial Narrow" w:cs="Arial Narrow"/>
          <w:sz w:val="24"/>
          <w:lang w:val="en-US"/>
        </w:rPr>
      </w:pPr>
    </w:p>
    <w:p w14:paraId="17443146" w14:textId="77777777" w:rsidR="004631F2" w:rsidRPr="00E161B2" w:rsidRDefault="004631F2" w:rsidP="004631F2">
      <w:pPr>
        <w:autoSpaceDE w:val="0"/>
        <w:autoSpaceDN w:val="0"/>
        <w:adjustRightInd w:val="0"/>
        <w:spacing w:before="120"/>
        <w:jc w:val="both"/>
        <w:rPr>
          <w:rFonts w:ascii="Arial Narrow" w:hAnsi="Arial Narrow" w:cs="Helvetica"/>
          <w:b/>
          <w:sz w:val="24"/>
          <w:lang w:val="en-US"/>
        </w:rPr>
      </w:pPr>
      <w:r w:rsidRPr="00E161B2">
        <w:rPr>
          <w:rFonts w:ascii="Arial Narrow" w:hAnsi="Arial Narrow" w:cs="Helvetica"/>
          <w:b/>
          <w:sz w:val="24"/>
          <w:lang w:val="en-US"/>
        </w:rPr>
        <w:t>CROP PLANT BACK &amp; ROTATION RECOMMENDATIONS</w:t>
      </w:r>
    </w:p>
    <w:p w14:paraId="2E22FD28" w14:textId="77777777" w:rsidR="004631F2" w:rsidRPr="00E161B2" w:rsidRDefault="004631F2" w:rsidP="00276C28">
      <w:pPr>
        <w:autoSpaceDE w:val="0"/>
        <w:autoSpaceDN w:val="0"/>
        <w:adjustRightInd w:val="0"/>
        <w:spacing w:before="120" w:after="240"/>
        <w:jc w:val="both"/>
        <w:rPr>
          <w:rFonts w:ascii="Arial Narrow" w:hAnsi="Arial Narrow" w:cs="Helvetica"/>
          <w:sz w:val="24"/>
          <w:lang w:val="en-US"/>
        </w:rPr>
      </w:pPr>
      <w:r w:rsidRPr="00E161B2">
        <w:rPr>
          <w:rFonts w:ascii="Arial Narrow" w:hAnsi="Arial Narrow"/>
          <w:bCs/>
          <w:sz w:val="24"/>
          <w:szCs w:val="20"/>
        </w:rPr>
        <w:t>FREQUENCY</w:t>
      </w:r>
      <w:r w:rsidRPr="00E161B2">
        <w:rPr>
          <w:rFonts w:ascii="Arial Narrow" w:hAnsi="Arial Narrow"/>
          <w:bCs/>
          <w:sz w:val="24"/>
          <w:szCs w:val="20"/>
          <w:vertAlign w:val="superscript"/>
        </w:rPr>
        <w:t>®</w:t>
      </w:r>
      <w:r w:rsidRPr="00E161B2">
        <w:rPr>
          <w:rFonts w:ascii="Arial Narrow" w:hAnsi="Arial Narrow"/>
          <w:bCs/>
          <w:sz w:val="24"/>
          <w:szCs w:val="20"/>
        </w:rPr>
        <w:t xml:space="preserve"> Herbicide</w:t>
      </w:r>
      <w:r w:rsidRPr="00E161B2">
        <w:rPr>
          <w:rFonts w:ascii="Arial Narrow" w:hAnsi="Arial Narrow"/>
          <w:b/>
          <w:bCs/>
          <w:sz w:val="24"/>
          <w:szCs w:val="20"/>
        </w:rPr>
        <w:t xml:space="preserve"> </w:t>
      </w:r>
      <w:r w:rsidRPr="00E161B2">
        <w:rPr>
          <w:rFonts w:ascii="Arial Narrow" w:hAnsi="Arial Narrow" w:cs="Helvetica"/>
          <w:sz w:val="24"/>
          <w:lang w:val="en-US"/>
        </w:rPr>
        <w:t>does not provide long-term residual activity; however, certain crops show sensitivity to soil residues. Refer to the following table for application-to-sow intervals applicable to the maximum label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4631F2" w:rsidRPr="00E161B2" w14:paraId="77777A58" w14:textId="77777777" w:rsidTr="00F142B9">
        <w:trPr>
          <w:trHeight w:val="559"/>
        </w:trPr>
        <w:tc>
          <w:tcPr>
            <w:tcW w:w="1250" w:type="pct"/>
            <w:shd w:val="clear" w:color="auto" w:fill="auto"/>
          </w:tcPr>
          <w:p w14:paraId="71789166" w14:textId="77777777" w:rsidR="004631F2" w:rsidRPr="00BF1045" w:rsidRDefault="004631F2" w:rsidP="00F142B9">
            <w:pPr>
              <w:jc w:val="both"/>
              <w:rPr>
                <w:rFonts w:ascii="Arial Narrow" w:eastAsia="SimSun" w:hAnsi="Arial Narrow" w:cs="Arial"/>
                <w:b/>
              </w:rPr>
            </w:pPr>
            <w:r w:rsidRPr="00BF1045">
              <w:rPr>
                <w:rFonts w:ascii="Arial Narrow" w:eastAsia="SimSun" w:hAnsi="Arial Narrow" w:cs="Arial"/>
                <w:b/>
              </w:rPr>
              <w:t>Plant Back Interval</w:t>
            </w:r>
          </w:p>
        </w:tc>
        <w:tc>
          <w:tcPr>
            <w:tcW w:w="1250" w:type="pct"/>
            <w:shd w:val="clear" w:color="auto" w:fill="auto"/>
          </w:tcPr>
          <w:p w14:paraId="396EE7DF" w14:textId="77777777" w:rsidR="004631F2" w:rsidRDefault="004631F2" w:rsidP="00F142B9">
            <w:pPr>
              <w:rPr>
                <w:rFonts w:ascii="Arial Narrow" w:eastAsia="SimSun" w:hAnsi="Arial Narrow" w:cs="Arial"/>
              </w:rPr>
            </w:pPr>
            <w:r w:rsidRPr="00E161B2">
              <w:rPr>
                <w:rFonts w:ascii="Arial Narrow" w:eastAsia="SimSun" w:hAnsi="Arial Narrow" w:cs="Arial"/>
                <w:b/>
              </w:rPr>
              <w:t>6 weeks</w:t>
            </w:r>
            <w:r w:rsidRPr="00E161B2">
              <w:rPr>
                <w:rFonts w:ascii="Arial Narrow" w:eastAsia="SimSun" w:hAnsi="Arial Narrow" w:cs="Arial"/>
              </w:rPr>
              <w:t xml:space="preserve"> </w:t>
            </w:r>
          </w:p>
          <w:p w14:paraId="6EC22C8D" w14:textId="77777777" w:rsidR="004631F2" w:rsidRPr="00E161B2" w:rsidRDefault="004631F2" w:rsidP="00F142B9">
            <w:pPr>
              <w:rPr>
                <w:rFonts w:ascii="Arial Narrow" w:eastAsia="SimSun" w:hAnsi="Arial Narrow" w:cs="Arial"/>
              </w:rPr>
            </w:pPr>
            <w:r w:rsidRPr="00E161B2">
              <w:rPr>
                <w:rFonts w:ascii="Arial Narrow" w:eastAsia="SimSun" w:hAnsi="Arial Narrow" w:cs="Arial"/>
              </w:rPr>
              <w:t xml:space="preserve">after </w:t>
            </w:r>
            <w:r w:rsidRPr="00E161B2">
              <w:rPr>
                <w:rFonts w:ascii="Arial Narrow" w:eastAsia="SimSun" w:hAnsi="Arial Narrow" w:cs="Arial"/>
                <w:bCs/>
              </w:rPr>
              <w:t>FREQUENCY</w:t>
            </w:r>
            <w:r w:rsidRPr="00E161B2">
              <w:rPr>
                <w:rFonts w:ascii="Arial Narrow" w:eastAsia="SimSun" w:hAnsi="Arial Narrow" w:cs="Arial"/>
                <w:bCs/>
                <w:vertAlign w:val="superscript"/>
              </w:rPr>
              <w:t>®</w:t>
            </w:r>
            <w:r w:rsidRPr="00E161B2">
              <w:rPr>
                <w:rFonts w:ascii="Arial Narrow" w:eastAsia="SimSun" w:hAnsi="Arial Narrow" w:cs="Arial"/>
                <w:bCs/>
              </w:rPr>
              <w:t xml:space="preserve"> Herbicide</w:t>
            </w:r>
            <w:r w:rsidRPr="00E161B2">
              <w:rPr>
                <w:rFonts w:ascii="Arial Narrow" w:eastAsia="SimSun" w:hAnsi="Arial Narrow" w:cs="Arial"/>
              </w:rPr>
              <w:t xml:space="preserve"> application</w:t>
            </w:r>
          </w:p>
        </w:tc>
        <w:tc>
          <w:tcPr>
            <w:tcW w:w="1250" w:type="pct"/>
            <w:shd w:val="clear" w:color="auto" w:fill="auto"/>
          </w:tcPr>
          <w:p w14:paraId="2A34158F" w14:textId="77777777" w:rsidR="004631F2" w:rsidRDefault="004631F2" w:rsidP="00F142B9">
            <w:pPr>
              <w:rPr>
                <w:rFonts w:ascii="Arial Narrow" w:eastAsia="SimSun" w:hAnsi="Arial Narrow" w:cs="Arial"/>
                <w:b/>
              </w:rPr>
            </w:pPr>
            <w:r w:rsidRPr="00E161B2">
              <w:rPr>
                <w:rFonts w:ascii="Arial Narrow" w:eastAsia="SimSun" w:hAnsi="Arial Narrow" w:cs="Arial"/>
                <w:b/>
              </w:rPr>
              <w:t>4 months</w:t>
            </w:r>
          </w:p>
          <w:p w14:paraId="2B2BDE00" w14:textId="77777777" w:rsidR="004631F2" w:rsidRPr="00E161B2" w:rsidRDefault="004631F2" w:rsidP="00F142B9">
            <w:pPr>
              <w:rPr>
                <w:rFonts w:ascii="Arial Narrow" w:eastAsia="SimSun" w:hAnsi="Arial Narrow" w:cs="Arial"/>
              </w:rPr>
            </w:pPr>
            <w:r w:rsidRPr="00E161B2">
              <w:rPr>
                <w:rFonts w:ascii="Arial Narrow" w:eastAsia="SimSun" w:hAnsi="Arial Narrow" w:cs="Arial"/>
              </w:rPr>
              <w:t xml:space="preserve">after </w:t>
            </w:r>
            <w:r w:rsidRPr="00E161B2">
              <w:rPr>
                <w:rFonts w:ascii="Arial Narrow" w:eastAsia="SimSun" w:hAnsi="Arial Narrow" w:cs="Arial"/>
                <w:bCs/>
              </w:rPr>
              <w:t>FREQUENCY</w:t>
            </w:r>
            <w:r w:rsidRPr="00E161B2">
              <w:rPr>
                <w:rFonts w:ascii="Arial Narrow" w:eastAsia="SimSun" w:hAnsi="Arial Narrow" w:cs="Arial"/>
                <w:bCs/>
                <w:vertAlign w:val="superscript"/>
              </w:rPr>
              <w:t>®</w:t>
            </w:r>
            <w:r w:rsidRPr="00E161B2">
              <w:rPr>
                <w:rFonts w:ascii="Arial Narrow" w:eastAsia="SimSun" w:hAnsi="Arial Narrow" w:cs="Arial"/>
                <w:bCs/>
              </w:rPr>
              <w:t xml:space="preserve"> Herbicide</w:t>
            </w:r>
            <w:r w:rsidRPr="00E161B2">
              <w:rPr>
                <w:rFonts w:ascii="Arial Narrow" w:eastAsia="SimSun" w:hAnsi="Arial Narrow" w:cs="Arial"/>
              </w:rPr>
              <w:t xml:space="preserve"> application</w:t>
            </w:r>
          </w:p>
        </w:tc>
        <w:tc>
          <w:tcPr>
            <w:tcW w:w="1250" w:type="pct"/>
          </w:tcPr>
          <w:p w14:paraId="4CF071AD" w14:textId="77777777" w:rsidR="004631F2" w:rsidRPr="00BF1045" w:rsidRDefault="004631F2" w:rsidP="00F142B9">
            <w:pPr>
              <w:pStyle w:val="NoSpacing"/>
              <w:rPr>
                <w:rFonts w:ascii="Arial Narrow" w:hAnsi="Arial Narrow"/>
                <w:b/>
              </w:rPr>
            </w:pPr>
            <w:r w:rsidRPr="00BF1045">
              <w:rPr>
                <w:rFonts w:ascii="Arial Narrow" w:hAnsi="Arial Narrow"/>
                <w:b/>
              </w:rPr>
              <w:t xml:space="preserve">9 months </w:t>
            </w:r>
          </w:p>
          <w:p w14:paraId="3F45E538" w14:textId="77777777" w:rsidR="004631F2" w:rsidRPr="00BF1045" w:rsidRDefault="004631F2" w:rsidP="00F142B9">
            <w:pPr>
              <w:pStyle w:val="NoSpacing"/>
              <w:rPr>
                <w:lang w:val="en-AU"/>
              </w:rPr>
            </w:pPr>
            <w:r w:rsidRPr="00BF1045">
              <w:rPr>
                <w:rFonts w:ascii="Arial Narrow" w:hAnsi="Arial Narrow"/>
              </w:rPr>
              <w:t xml:space="preserve">after </w:t>
            </w:r>
            <w:r w:rsidRPr="00BF1045">
              <w:rPr>
                <w:rFonts w:ascii="Arial Narrow" w:hAnsi="Arial Narrow"/>
                <w:bCs/>
              </w:rPr>
              <w:t>FREQUENCY</w:t>
            </w:r>
            <w:r w:rsidRPr="00BF1045">
              <w:rPr>
                <w:rFonts w:ascii="Arial Narrow" w:hAnsi="Arial Narrow"/>
                <w:bCs/>
                <w:vertAlign w:val="superscript"/>
              </w:rPr>
              <w:t>®</w:t>
            </w:r>
            <w:r w:rsidRPr="00BF1045">
              <w:rPr>
                <w:rFonts w:ascii="Arial Narrow" w:hAnsi="Arial Narrow"/>
                <w:bCs/>
              </w:rPr>
              <w:t xml:space="preserve"> Herbicide</w:t>
            </w:r>
            <w:r w:rsidRPr="00BF1045">
              <w:rPr>
                <w:rFonts w:ascii="Arial Narrow" w:hAnsi="Arial Narrow"/>
              </w:rPr>
              <w:t xml:space="preserve"> application</w:t>
            </w:r>
          </w:p>
        </w:tc>
      </w:tr>
      <w:tr w:rsidR="004631F2" w:rsidRPr="00E161B2" w14:paraId="5E05F9E9" w14:textId="77777777" w:rsidTr="00F142B9">
        <w:trPr>
          <w:trHeight w:val="2471"/>
        </w:trPr>
        <w:tc>
          <w:tcPr>
            <w:tcW w:w="1250" w:type="pct"/>
            <w:shd w:val="clear" w:color="auto" w:fill="auto"/>
          </w:tcPr>
          <w:p w14:paraId="3D9D7C7A"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lastRenderedPageBreak/>
              <w:t>Crop</w:t>
            </w:r>
          </w:p>
        </w:tc>
        <w:tc>
          <w:tcPr>
            <w:tcW w:w="1250" w:type="pct"/>
            <w:shd w:val="clear" w:color="auto" w:fill="auto"/>
          </w:tcPr>
          <w:p w14:paraId="5DBD2D8F"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Wheat</w:t>
            </w:r>
          </w:p>
          <w:p w14:paraId="3D89AD9A"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Barley</w:t>
            </w:r>
          </w:p>
          <w:p w14:paraId="65D5C0F0"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Maize</w:t>
            </w:r>
          </w:p>
        </w:tc>
        <w:tc>
          <w:tcPr>
            <w:tcW w:w="1250" w:type="pct"/>
            <w:shd w:val="clear" w:color="auto" w:fill="auto"/>
          </w:tcPr>
          <w:p w14:paraId="5457A8C7"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Canola</w:t>
            </w:r>
          </w:p>
          <w:p w14:paraId="41F2C238"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Chickpeas</w:t>
            </w:r>
          </w:p>
          <w:p w14:paraId="1911B5B6" w14:textId="77777777" w:rsidR="004631F2" w:rsidRPr="00E161B2" w:rsidRDefault="004631F2" w:rsidP="00F142B9">
            <w:pPr>
              <w:jc w:val="both"/>
              <w:rPr>
                <w:rFonts w:ascii="Arial Narrow" w:eastAsia="SimSun" w:hAnsi="Arial Narrow" w:cs="Arial"/>
              </w:rPr>
            </w:pPr>
            <w:proofErr w:type="spellStart"/>
            <w:r w:rsidRPr="00E161B2">
              <w:rPr>
                <w:rFonts w:ascii="Arial Narrow" w:eastAsia="SimSun" w:hAnsi="Arial Narrow" w:cs="Arial"/>
              </w:rPr>
              <w:t>Faba</w:t>
            </w:r>
            <w:proofErr w:type="spellEnd"/>
            <w:r w:rsidRPr="00E161B2">
              <w:rPr>
                <w:rFonts w:ascii="Arial Narrow" w:eastAsia="SimSun" w:hAnsi="Arial Narrow" w:cs="Arial"/>
              </w:rPr>
              <w:t xml:space="preserve"> beans</w:t>
            </w:r>
          </w:p>
          <w:p w14:paraId="5774D903"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Field peas</w:t>
            </w:r>
          </w:p>
          <w:p w14:paraId="38B63663"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Lentils</w:t>
            </w:r>
          </w:p>
          <w:p w14:paraId="415135D4"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Lupins</w:t>
            </w:r>
          </w:p>
          <w:p w14:paraId="638AD2E4" w14:textId="77777777" w:rsidR="004631F2" w:rsidRPr="00E161B2" w:rsidRDefault="004631F2" w:rsidP="00F142B9">
            <w:pPr>
              <w:jc w:val="both"/>
              <w:rPr>
                <w:rFonts w:ascii="Arial Narrow" w:eastAsia="SimSun" w:hAnsi="Arial Narrow" w:cs="Arial"/>
              </w:rPr>
            </w:pPr>
            <w:proofErr w:type="spellStart"/>
            <w:r w:rsidRPr="00E161B2">
              <w:rPr>
                <w:rFonts w:ascii="Arial Narrow" w:eastAsia="SimSun" w:hAnsi="Arial Narrow" w:cs="Arial"/>
              </w:rPr>
              <w:t>Mungbeans</w:t>
            </w:r>
            <w:proofErr w:type="spellEnd"/>
          </w:p>
          <w:p w14:paraId="5FC95C9A"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Safflower</w:t>
            </w:r>
          </w:p>
          <w:p w14:paraId="4AF26FBD"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Sorghum</w:t>
            </w:r>
          </w:p>
          <w:p w14:paraId="51B57FCC"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Sunflower</w:t>
            </w:r>
          </w:p>
          <w:p w14:paraId="3AF4A2A8" w14:textId="77777777" w:rsidR="004631F2" w:rsidRPr="00E161B2" w:rsidRDefault="004631F2" w:rsidP="00F142B9">
            <w:pPr>
              <w:jc w:val="both"/>
              <w:rPr>
                <w:rFonts w:ascii="Arial Narrow" w:eastAsia="SimSun" w:hAnsi="Arial Narrow" w:cs="Arial"/>
              </w:rPr>
            </w:pPr>
            <w:r w:rsidRPr="00E161B2">
              <w:rPr>
                <w:rFonts w:ascii="Arial Narrow" w:eastAsia="SimSun" w:hAnsi="Arial Narrow" w:cs="Arial"/>
              </w:rPr>
              <w:t>Cotton</w:t>
            </w:r>
          </w:p>
        </w:tc>
        <w:tc>
          <w:tcPr>
            <w:tcW w:w="1250" w:type="pct"/>
          </w:tcPr>
          <w:p w14:paraId="5610CFEF" w14:textId="77777777" w:rsidR="004631F2" w:rsidRPr="00BF1045" w:rsidRDefault="004631F2" w:rsidP="00F142B9">
            <w:pPr>
              <w:jc w:val="both"/>
              <w:rPr>
                <w:rFonts w:ascii="Arial Narrow" w:eastAsia="SimSun" w:hAnsi="Arial Narrow" w:cs="Arial"/>
              </w:rPr>
            </w:pPr>
            <w:r w:rsidRPr="00BF1045">
              <w:rPr>
                <w:rFonts w:ascii="Arial Narrow" w:eastAsia="SimSun" w:hAnsi="Arial Narrow" w:cs="Arial"/>
              </w:rPr>
              <w:t>All other crops</w:t>
            </w:r>
          </w:p>
        </w:tc>
      </w:tr>
    </w:tbl>
    <w:p w14:paraId="19A5D97A" w14:textId="77777777" w:rsidR="004631F2" w:rsidRPr="00E161B2" w:rsidRDefault="004631F2" w:rsidP="00276C28">
      <w:pPr>
        <w:autoSpaceDE w:val="0"/>
        <w:autoSpaceDN w:val="0"/>
        <w:adjustRightInd w:val="0"/>
        <w:spacing w:before="120" w:after="240"/>
        <w:jc w:val="both"/>
        <w:rPr>
          <w:rFonts w:ascii="Arial Narrow" w:hAnsi="Arial Narrow" w:cs="Helvetica"/>
          <w:sz w:val="24"/>
          <w:lang w:val="en-US"/>
        </w:rPr>
      </w:pPr>
      <w:r w:rsidRPr="00E161B2">
        <w:rPr>
          <w:rFonts w:ascii="Arial Narrow" w:hAnsi="Arial Narrow" w:cs="Helvetica"/>
          <w:sz w:val="24"/>
          <w:lang w:val="en-US"/>
        </w:rPr>
        <w:t xml:space="preserve">Check the label of any product mixed with </w:t>
      </w:r>
      <w:r w:rsidRPr="00E161B2">
        <w:rPr>
          <w:rFonts w:ascii="Arial Narrow" w:hAnsi="Arial Narrow"/>
          <w:bCs/>
          <w:sz w:val="24"/>
          <w:szCs w:val="20"/>
        </w:rPr>
        <w:t>FREQUENCY</w:t>
      </w:r>
      <w:r w:rsidRPr="00E161B2">
        <w:rPr>
          <w:rFonts w:ascii="Arial Narrow" w:hAnsi="Arial Narrow"/>
          <w:bCs/>
          <w:sz w:val="24"/>
          <w:szCs w:val="20"/>
          <w:vertAlign w:val="superscript"/>
        </w:rPr>
        <w:t>®</w:t>
      </w:r>
      <w:r w:rsidRPr="00E161B2">
        <w:rPr>
          <w:rFonts w:ascii="Arial Narrow" w:hAnsi="Arial Narrow"/>
          <w:bCs/>
          <w:sz w:val="24"/>
          <w:szCs w:val="20"/>
        </w:rPr>
        <w:t xml:space="preserve"> </w:t>
      </w:r>
      <w:r w:rsidRPr="00E161B2">
        <w:rPr>
          <w:rFonts w:ascii="Arial Narrow" w:hAnsi="Arial Narrow" w:cs="Helvetica"/>
          <w:sz w:val="24"/>
          <w:lang w:val="en-US"/>
        </w:rPr>
        <w:t>Herbicide, to determine any plant back periods or restrictions on use.</w:t>
      </w:r>
    </w:p>
    <w:p w14:paraId="71996117" w14:textId="429DE40E" w:rsidR="004631F2" w:rsidRPr="00E161B2" w:rsidRDefault="004631F2" w:rsidP="00276C28">
      <w:pPr>
        <w:jc w:val="both"/>
        <w:rPr>
          <w:rFonts w:ascii="Arial Narrow" w:hAnsi="Arial Narrow"/>
          <w:b/>
          <w:sz w:val="24"/>
          <w:szCs w:val="20"/>
        </w:rPr>
      </w:pPr>
      <w:r w:rsidRPr="00E161B2">
        <w:rPr>
          <w:rFonts w:ascii="Arial Narrow" w:hAnsi="Arial Narrow"/>
          <w:b/>
          <w:sz w:val="24"/>
          <w:szCs w:val="20"/>
        </w:rPr>
        <w:t>PROTECTION OF WILDLIFE, FISH, CRUSTACEA AND ENVIRONMENT</w:t>
      </w:r>
    </w:p>
    <w:p w14:paraId="242EA119" w14:textId="51F105F5" w:rsidR="004631F2" w:rsidRPr="00E161B2" w:rsidRDefault="004631F2" w:rsidP="00276C28">
      <w:pPr>
        <w:pStyle w:val="NoSpacing"/>
        <w:spacing w:after="240"/>
        <w:jc w:val="both"/>
        <w:rPr>
          <w:rFonts w:ascii="Arial Narrow" w:hAnsi="Arial Narrow"/>
          <w:sz w:val="24"/>
          <w:szCs w:val="24"/>
        </w:rPr>
      </w:pPr>
      <w:r w:rsidRPr="00E161B2">
        <w:rPr>
          <w:rFonts w:ascii="Arial Narrow" w:hAnsi="Arial Narrow"/>
          <w:sz w:val="24"/>
          <w:szCs w:val="24"/>
        </w:rPr>
        <w:t xml:space="preserve">Very toxic to aquatic life. DO NOT contaminate wetlands or watercourses with this product or </w:t>
      </w:r>
      <w:r w:rsidR="00276C28">
        <w:rPr>
          <w:rFonts w:ascii="Arial Narrow" w:hAnsi="Arial Narrow"/>
          <w:sz w:val="24"/>
          <w:szCs w:val="24"/>
        </w:rPr>
        <w:t>used containers.</w:t>
      </w:r>
    </w:p>
    <w:p w14:paraId="2BE70BBB" w14:textId="77777777" w:rsidR="004631F2" w:rsidRPr="00E161B2" w:rsidRDefault="004631F2" w:rsidP="004631F2">
      <w:pPr>
        <w:pStyle w:val="NoSpacing"/>
        <w:jc w:val="both"/>
        <w:rPr>
          <w:rFonts w:ascii="Arial Narrow" w:eastAsia="Times New Roman" w:hAnsi="Arial Narrow" w:cs="Times New Roman"/>
          <w:b/>
          <w:sz w:val="8"/>
          <w:szCs w:val="8"/>
          <w:lang w:val="en-AU"/>
        </w:rPr>
      </w:pPr>
    </w:p>
    <w:p w14:paraId="59B9E1FE" w14:textId="77777777" w:rsidR="004631F2" w:rsidRPr="00E161B2" w:rsidRDefault="004631F2" w:rsidP="00276C28">
      <w:pPr>
        <w:pStyle w:val="NoSpacing"/>
        <w:spacing w:before="240"/>
        <w:jc w:val="both"/>
        <w:rPr>
          <w:rFonts w:ascii="Arial Narrow" w:eastAsia="Times New Roman" w:hAnsi="Arial Narrow" w:cs="Times New Roman"/>
          <w:b/>
          <w:sz w:val="24"/>
          <w:szCs w:val="24"/>
          <w:lang w:val="en-AU"/>
        </w:rPr>
      </w:pPr>
      <w:r w:rsidRPr="00E161B2">
        <w:rPr>
          <w:rFonts w:ascii="Arial Narrow" w:eastAsia="Times New Roman" w:hAnsi="Arial Narrow" w:cs="Times New Roman"/>
          <w:b/>
          <w:sz w:val="24"/>
          <w:szCs w:val="24"/>
          <w:lang w:val="en-AU"/>
        </w:rPr>
        <w:t>STORAGE</w:t>
      </w:r>
    </w:p>
    <w:p w14:paraId="4B1FBE0A" w14:textId="77777777" w:rsidR="004631F2" w:rsidRPr="00E161B2" w:rsidRDefault="004631F2" w:rsidP="004631F2">
      <w:pPr>
        <w:pStyle w:val="NoSpacing"/>
        <w:jc w:val="both"/>
        <w:rPr>
          <w:rFonts w:ascii="Arial Narrow" w:eastAsia="Times New Roman" w:hAnsi="Arial Narrow" w:cs="Times New Roman"/>
          <w:b/>
          <w:sz w:val="24"/>
          <w:szCs w:val="24"/>
          <w:lang w:val="en-AU"/>
        </w:rPr>
      </w:pPr>
      <w:r w:rsidRPr="00E161B2">
        <w:rPr>
          <w:rFonts w:ascii="Arial Narrow" w:eastAsia="SimSun" w:hAnsi="Arial Narrow" w:cs="Times New Roman"/>
          <w:sz w:val="24"/>
          <w:szCs w:val="24"/>
          <w:lang w:val="en-AU"/>
        </w:rPr>
        <w:t>Store in the closed, original container in a cool, well-ventilated area. DO NOT store for prolonged periods in direct sunlight.</w:t>
      </w:r>
    </w:p>
    <w:p w14:paraId="1BCA6DA3" w14:textId="77777777" w:rsidR="004631F2" w:rsidRPr="00E161B2" w:rsidRDefault="004631F2" w:rsidP="004631F2">
      <w:pPr>
        <w:pStyle w:val="NoSpacing"/>
        <w:jc w:val="both"/>
        <w:rPr>
          <w:rFonts w:ascii="Arial Narrow" w:eastAsia="Times New Roman" w:hAnsi="Arial Narrow" w:cs="Times New Roman"/>
          <w:b/>
          <w:sz w:val="8"/>
          <w:szCs w:val="8"/>
          <w:lang w:val="en-AU"/>
        </w:rPr>
      </w:pPr>
    </w:p>
    <w:p w14:paraId="3FDCBE30" w14:textId="77777777" w:rsidR="004631F2" w:rsidRDefault="004631F2" w:rsidP="00276C28">
      <w:pPr>
        <w:pStyle w:val="NoSpacing"/>
        <w:spacing w:before="240"/>
        <w:jc w:val="both"/>
        <w:rPr>
          <w:rFonts w:ascii="Arial Narrow" w:eastAsia="Times New Roman" w:hAnsi="Arial Narrow" w:cs="Times New Roman"/>
          <w:b/>
          <w:sz w:val="24"/>
          <w:szCs w:val="24"/>
          <w:lang w:val="en-AU"/>
        </w:rPr>
      </w:pPr>
      <w:r w:rsidRPr="00E161B2">
        <w:rPr>
          <w:rFonts w:ascii="Arial Narrow" w:eastAsia="Times New Roman" w:hAnsi="Arial Narrow" w:cs="Times New Roman"/>
          <w:b/>
          <w:sz w:val="24"/>
          <w:szCs w:val="24"/>
          <w:lang w:val="en-AU"/>
        </w:rPr>
        <w:t>DISPOSAL</w:t>
      </w:r>
    </w:p>
    <w:p w14:paraId="12790537" w14:textId="77777777" w:rsidR="004631F2" w:rsidRPr="00774E85" w:rsidRDefault="004631F2" w:rsidP="004631F2">
      <w:pPr>
        <w:pStyle w:val="NoSpacing"/>
        <w:jc w:val="both"/>
        <w:rPr>
          <w:rFonts w:ascii="Arial Narrow" w:eastAsia="Times New Roman" w:hAnsi="Arial Narrow" w:cs="Times New Roman"/>
          <w:b/>
          <w:sz w:val="8"/>
          <w:szCs w:val="8"/>
          <w:lang w:val="en-AU"/>
        </w:rPr>
      </w:pPr>
    </w:p>
    <w:p w14:paraId="47C9D749" w14:textId="77777777" w:rsidR="004631F2" w:rsidRPr="00E161B2" w:rsidRDefault="004631F2" w:rsidP="004631F2">
      <w:pPr>
        <w:pStyle w:val="NoSpacing"/>
        <w:jc w:val="both"/>
        <w:rPr>
          <w:rFonts w:ascii="Arial Narrow" w:eastAsia="Times New Roman" w:hAnsi="Arial Narrow" w:cs="Times New Roman"/>
          <w:b/>
          <w:sz w:val="24"/>
          <w:szCs w:val="24"/>
          <w:lang w:val="en-AU"/>
        </w:rPr>
      </w:pPr>
      <w:r w:rsidRPr="00774E85">
        <w:rPr>
          <w:rFonts w:ascii="Arial Narrow" w:eastAsia="Times New Roman" w:hAnsi="Arial Narrow" w:cs="Times New Roman"/>
          <w:b/>
          <w:sz w:val="24"/>
          <w:szCs w:val="24"/>
          <w:lang w:val="en-AU"/>
        </w:rPr>
        <w:t>5L, 10L, 15L, 20L</w:t>
      </w:r>
    </w:p>
    <w:p w14:paraId="2554F03A" w14:textId="77777777" w:rsidR="004631F2" w:rsidRPr="00283E36" w:rsidRDefault="004631F2" w:rsidP="004631F2">
      <w:pPr>
        <w:pStyle w:val="NoSpacing"/>
        <w:jc w:val="both"/>
        <w:rPr>
          <w:rFonts w:ascii="Arial Narrow" w:hAnsi="Arial Narrow"/>
          <w:sz w:val="24"/>
          <w:szCs w:val="24"/>
        </w:rPr>
      </w:pPr>
      <w:r w:rsidRPr="00E161B2">
        <w:rPr>
          <w:rFonts w:ascii="Arial Narrow" w:hAnsi="Arial Narrow"/>
          <w:sz w:val="24"/>
          <w:szCs w:val="24"/>
        </w:rPr>
        <w:t xml:space="preserve">Triple-rinse containers before disposal. Add rinsings to spray tank. Do not dispose of undiluted chemicals on site. If recycling, replace cap and return clean containers to recycler or designated collection point. If not recycling, break, crush, or puncture and deliver empty packaging to an approved waste management facility. If </w:t>
      </w:r>
      <w:r w:rsidRPr="00283E36">
        <w:rPr>
          <w:rFonts w:ascii="Arial Narrow" w:hAnsi="Arial Narrow"/>
          <w:sz w:val="24"/>
          <w:szCs w:val="24"/>
        </w:rPr>
        <w:t>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46909957" w14:textId="77777777" w:rsidR="004631F2" w:rsidRPr="00774E85" w:rsidRDefault="004631F2" w:rsidP="004631F2">
      <w:pPr>
        <w:pStyle w:val="NoSpacing"/>
        <w:jc w:val="both"/>
        <w:rPr>
          <w:rFonts w:ascii="Arial Narrow" w:hAnsi="Arial Narrow" w:cs="ArialUnicodeMS"/>
          <w:sz w:val="8"/>
          <w:szCs w:val="8"/>
          <w:lang w:val="en-AU"/>
        </w:rPr>
      </w:pPr>
    </w:p>
    <w:p w14:paraId="34578841" w14:textId="77777777" w:rsidR="004631F2" w:rsidRPr="00774E85" w:rsidRDefault="004631F2" w:rsidP="004631F2">
      <w:pPr>
        <w:pStyle w:val="NoSpacing"/>
        <w:jc w:val="both"/>
        <w:rPr>
          <w:rFonts w:ascii="Arial Narrow" w:hAnsi="Arial Narrow" w:cs="ArialUnicodeMS"/>
          <w:b/>
          <w:sz w:val="24"/>
          <w:szCs w:val="24"/>
          <w:lang w:val="en-AU"/>
        </w:rPr>
      </w:pPr>
      <w:r w:rsidRPr="00774E85">
        <w:rPr>
          <w:rFonts w:ascii="Arial Narrow" w:hAnsi="Arial Narrow" w:cs="ArialUnicodeMS"/>
          <w:b/>
          <w:sz w:val="24"/>
          <w:szCs w:val="24"/>
          <w:lang w:val="en-AU"/>
        </w:rPr>
        <w:t>110L</w:t>
      </w:r>
    </w:p>
    <w:p w14:paraId="1D1303CD" w14:textId="77777777" w:rsidR="004631F2" w:rsidRPr="00283E36" w:rsidRDefault="004631F2" w:rsidP="004631F2">
      <w:pPr>
        <w:autoSpaceDE w:val="0"/>
        <w:autoSpaceDN w:val="0"/>
        <w:adjustRightInd w:val="0"/>
        <w:rPr>
          <w:rFonts w:ascii="Arial Narrow" w:hAnsi="Arial Narrow" w:cs="ArialUnicodeMS"/>
          <w:sz w:val="24"/>
        </w:rPr>
      </w:pPr>
      <w:r w:rsidRPr="00283E36">
        <w:rPr>
          <w:rFonts w:ascii="Arial Narrow" w:hAnsi="Arial Narrow" w:cs="ArialUnicodeMS"/>
          <w:sz w:val="24"/>
        </w:rPr>
        <w:t xml:space="preserve">Empty container by pumping through the </w:t>
      </w:r>
      <w:proofErr w:type="spellStart"/>
      <w:r w:rsidRPr="00283E36">
        <w:rPr>
          <w:rFonts w:ascii="Arial Narrow" w:hAnsi="Arial Narrow" w:cs="ArialUnicodeMS"/>
          <w:sz w:val="24"/>
        </w:rPr>
        <w:t>drybreak</w:t>
      </w:r>
      <w:proofErr w:type="spellEnd"/>
      <w:r w:rsidRPr="00283E36">
        <w:rPr>
          <w:rFonts w:ascii="Arial Narrow" w:hAnsi="Arial Narrow" w:cs="ArialUnicodeMS"/>
          <w:sz w:val="24"/>
        </w:rPr>
        <w:t xml:space="preserve"> Micro </w:t>
      </w:r>
      <w:proofErr w:type="spellStart"/>
      <w:r w:rsidRPr="00283E36">
        <w:rPr>
          <w:rFonts w:ascii="Arial Narrow" w:hAnsi="Arial Narrow" w:cs="ArialUnicodeMS"/>
          <w:sz w:val="24"/>
        </w:rPr>
        <w:t>Matic</w:t>
      </w:r>
      <w:proofErr w:type="spellEnd"/>
      <w:r w:rsidRPr="00283E36">
        <w:rPr>
          <w:rFonts w:ascii="Arial Narrow" w:hAnsi="Arial Narrow" w:cs="ArialUnicodeMS"/>
          <w:sz w:val="24"/>
        </w:rPr>
        <w:t xml:space="preserve"> connection system. DO NOT attempt to unscrew the Micro </w:t>
      </w:r>
      <w:proofErr w:type="spellStart"/>
      <w:r w:rsidRPr="00283E36">
        <w:rPr>
          <w:rFonts w:ascii="Arial Narrow" w:hAnsi="Arial Narrow" w:cs="ArialUnicodeMS"/>
          <w:sz w:val="24"/>
        </w:rPr>
        <w:t>Matic</w:t>
      </w:r>
      <w:proofErr w:type="spellEnd"/>
      <w:r w:rsidRPr="00283E36">
        <w:rPr>
          <w:rFonts w:ascii="Arial Narrow" w:hAnsi="Arial Narrow" w:cs="ArialUnicodeMS"/>
          <w:sz w:val="24"/>
        </w:rPr>
        <w:t xml:space="preserve"> valve or breach the locked filing point. DO NOT contaminate the container with water or other foreign material. Ensure that the Micro </w:t>
      </w:r>
      <w:proofErr w:type="spellStart"/>
      <w:r w:rsidRPr="00283E36">
        <w:rPr>
          <w:rFonts w:ascii="Arial Narrow" w:hAnsi="Arial Narrow" w:cs="ArialUnicodeMS"/>
          <w:sz w:val="24"/>
        </w:rPr>
        <w:t>Matic</w:t>
      </w:r>
      <w:proofErr w:type="spellEnd"/>
      <w:r w:rsidRPr="00283E36">
        <w:rPr>
          <w:rFonts w:ascii="Arial Narrow" w:hAnsi="Arial Narrow" w:cs="ArialUnicodeMS"/>
          <w:sz w:val="24"/>
        </w:rPr>
        <w:t xml:space="preserve"> coupler, pump, meter and hoses are disconnected, triple rinsed with clean water and drained after each use. When empty, or contents no longer required, return the container to the point of purchase. DO NOT dispose of undiluted chemicals on-site.</w:t>
      </w:r>
    </w:p>
    <w:p w14:paraId="7D858F4F" w14:textId="77777777" w:rsidR="004631F2" w:rsidRPr="005A7B49" w:rsidRDefault="004631F2" w:rsidP="004631F2">
      <w:pPr>
        <w:autoSpaceDE w:val="0"/>
        <w:autoSpaceDN w:val="0"/>
        <w:adjustRightInd w:val="0"/>
        <w:rPr>
          <w:rFonts w:cs="Arial"/>
          <w:sz w:val="8"/>
          <w:szCs w:val="8"/>
        </w:rPr>
      </w:pPr>
    </w:p>
    <w:p w14:paraId="07D7C09D" w14:textId="77777777" w:rsidR="004631F2" w:rsidRPr="00E161B2" w:rsidRDefault="004631F2" w:rsidP="00276C28">
      <w:pPr>
        <w:shd w:val="clear" w:color="auto" w:fill="FFFFFF" w:themeFill="background1"/>
        <w:spacing w:before="240"/>
        <w:jc w:val="both"/>
        <w:rPr>
          <w:rFonts w:ascii="Arial Narrow" w:eastAsia="SimSun" w:hAnsi="Arial Narrow"/>
          <w:b/>
          <w:bCs/>
          <w:sz w:val="24"/>
          <w:szCs w:val="20"/>
        </w:rPr>
      </w:pPr>
      <w:r w:rsidRPr="00E161B2">
        <w:rPr>
          <w:rFonts w:ascii="Arial Narrow" w:eastAsia="SimSun" w:hAnsi="Arial Narrow"/>
          <w:b/>
          <w:bCs/>
          <w:sz w:val="24"/>
          <w:szCs w:val="20"/>
        </w:rPr>
        <w:t>SAFETY DIRECTIONS</w:t>
      </w:r>
    </w:p>
    <w:p w14:paraId="7B0504B3" w14:textId="5459365B" w:rsidR="004631F2" w:rsidRPr="00E161B2" w:rsidRDefault="004631F2" w:rsidP="004631F2">
      <w:pPr>
        <w:pStyle w:val="Default"/>
        <w:shd w:val="clear" w:color="auto" w:fill="FFFFFF" w:themeFill="background1"/>
        <w:jc w:val="both"/>
        <w:rPr>
          <w:rFonts w:ascii="Arial Narrow" w:hAnsi="Arial Narrow"/>
          <w:color w:val="auto"/>
        </w:rPr>
      </w:pPr>
      <w:r w:rsidRPr="00E161B2">
        <w:rPr>
          <w:rFonts w:ascii="Arial Narrow" w:hAnsi="Arial Narrow"/>
          <w:color w:val="auto"/>
        </w:rPr>
        <w:t>Harmful if inhaled. Will irritate the eyes and skin. Repeated exposur</w:t>
      </w:r>
      <w:r w:rsidR="00276C28">
        <w:rPr>
          <w:rFonts w:ascii="Arial Narrow" w:hAnsi="Arial Narrow"/>
          <w:color w:val="auto"/>
        </w:rPr>
        <w:t>e may cause allergic disorders.</w:t>
      </w:r>
      <w:r w:rsidRPr="00E161B2">
        <w:rPr>
          <w:rFonts w:ascii="Arial Narrow" w:hAnsi="Arial Narrow"/>
          <w:color w:val="auto"/>
        </w:rPr>
        <w:t xml:space="preserve"> Avoid contact with eyes and skin. Do not inhale vapour. If product on skin immediately wash area with soap and water. If product in eyes, wash it out immediately with water. When opening the container and preparing spray, wear cotton overalls buttoned to the neck and wrist (or equivalent clothing), elbow length chemical resistant gloves and face shield or goggles. If applying by </w:t>
      </w:r>
      <w:proofErr w:type="spellStart"/>
      <w:r w:rsidRPr="00E161B2">
        <w:rPr>
          <w:rFonts w:ascii="Arial Narrow" w:hAnsi="Arial Narrow"/>
          <w:color w:val="auto"/>
        </w:rPr>
        <w:t>boomspray</w:t>
      </w:r>
      <w:proofErr w:type="spellEnd"/>
      <w:r w:rsidRPr="00E161B2">
        <w:rPr>
          <w:rFonts w:ascii="Arial Narrow" w:hAnsi="Arial Narrow"/>
          <w:color w:val="auto"/>
        </w:rPr>
        <w:t xml:space="preserve"> equipment (open cab) wear cotton overalls buttoned to the neck and </w:t>
      </w:r>
      <w:r w:rsidR="00276C28">
        <w:rPr>
          <w:rFonts w:ascii="Arial Narrow" w:hAnsi="Arial Narrow"/>
          <w:color w:val="auto"/>
        </w:rPr>
        <w:t>wrist (or equivalent clothing).</w:t>
      </w:r>
      <w:r w:rsidRPr="00E161B2">
        <w:rPr>
          <w:rFonts w:ascii="Arial Narrow" w:hAnsi="Arial Narrow"/>
          <w:color w:val="auto"/>
        </w:rPr>
        <w:t xml:space="preserve"> Wash hands after use. After each day use, wash gloves, face shield or goggles and contaminated clothing. </w:t>
      </w:r>
    </w:p>
    <w:p w14:paraId="0A9233AD" w14:textId="77777777" w:rsidR="004631F2" w:rsidRPr="00E161B2" w:rsidRDefault="004631F2" w:rsidP="004631F2">
      <w:pPr>
        <w:shd w:val="clear" w:color="auto" w:fill="FFFFFF" w:themeFill="background1"/>
        <w:spacing w:before="120"/>
        <w:jc w:val="both"/>
        <w:rPr>
          <w:rFonts w:ascii="Arial Narrow" w:hAnsi="Arial Narrow"/>
          <w:b/>
          <w:sz w:val="24"/>
        </w:rPr>
      </w:pPr>
      <w:r w:rsidRPr="00E161B2">
        <w:rPr>
          <w:rFonts w:ascii="Arial Narrow" w:hAnsi="Arial Narrow"/>
          <w:b/>
          <w:sz w:val="24"/>
        </w:rPr>
        <w:lastRenderedPageBreak/>
        <w:t>FIRST AID</w:t>
      </w:r>
    </w:p>
    <w:p w14:paraId="25D53603" w14:textId="77777777" w:rsidR="004631F2" w:rsidRPr="00E161B2" w:rsidRDefault="004631F2" w:rsidP="004631F2">
      <w:pPr>
        <w:pStyle w:val="Default"/>
        <w:shd w:val="clear" w:color="auto" w:fill="FFFFFF" w:themeFill="background1"/>
        <w:jc w:val="both"/>
        <w:rPr>
          <w:rFonts w:ascii="Arial Narrow" w:hAnsi="Arial Narrow"/>
          <w:color w:val="auto"/>
        </w:rPr>
      </w:pPr>
      <w:r w:rsidRPr="00E161B2">
        <w:rPr>
          <w:rFonts w:ascii="Arial Narrow" w:hAnsi="Arial Narrow"/>
          <w:color w:val="auto"/>
        </w:rPr>
        <w:t xml:space="preserve">If poisoning occurs, contact a doctor or Poisons Information Centre. </w:t>
      </w:r>
      <w:r w:rsidRPr="00E161B2">
        <w:rPr>
          <w:rFonts w:ascii="Arial Narrow" w:hAnsi="Arial Narrow"/>
          <w:i/>
          <w:iCs/>
          <w:color w:val="auto"/>
        </w:rPr>
        <w:t xml:space="preserve">Phone Australia 131126; New Zealand 0800 764 766. </w:t>
      </w:r>
      <w:r w:rsidRPr="00E161B2">
        <w:rPr>
          <w:rFonts w:ascii="Arial Narrow" w:hAnsi="Arial Narrow"/>
          <w:color w:val="auto"/>
        </w:rPr>
        <w:t>If swallowed, do NOT induce vomiting</w:t>
      </w:r>
      <w:r>
        <w:rPr>
          <w:rFonts w:ascii="Arial Narrow" w:hAnsi="Arial Narrow"/>
          <w:color w:val="auto"/>
        </w:rPr>
        <w:t>.</w:t>
      </w:r>
      <w:r w:rsidRPr="00E161B2">
        <w:rPr>
          <w:rFonts w:ascii="Arial Narrow" w:hAnsi="Arial Narrow"/>
          <w:color w:val="auto"/>
        </w:rPr>
        <w:t xml:space="preserve"> </w:t>
      </w:r>
    </w:p>
    <w:p w14:paraId="7F85D379" w14:textId="77777777" w:rsidR="004631F2" w:rsidRPr="00E161B2" w:rsidRDefault="004631F2" w:rsidP="00276C28">
      <w:pPr>
        <w:spacing w:before="240"/>
        <w:jc w:val="both"/>
        <w:rPr>
          <w:rFonts w:ascii="Arial Narrow" w:hAnsi="Arial Narrow"/>
          <w:b/>
          <w:sz w:val="24"/>
          <w:szCs w:val="20"/>
        </w:rPr>
      </w:pPr>
      <w:r w:rsidRPr="00E161B2">
        <w:rPr>
          <w:rFonts w:ascii="Arial Narrow" w:hAnsi="Arial Narrow"/>
          <w:b/>
          <w:sz w:val="24"/>
          <w:szCs w:val="20"/>
        </w:rPr>
        <w:t>SAFETY DATA SHEET</w:t>
      </w:r>
    </w:p>
    <w:p w14:paraId="4C0EC69D" w14:textId="77777777" w:rsidR="004631F2" w:rsidRPr="00E161B2" w:rsidRDefault="004631F2" w:rsidP="004631F2">
      <w:pPr>
        <w:jc w:val="both"/>
        <w:rPr>
          <w:rFonts w:ascii="Arial Narrow" w:hAnsi="Arial Narrow"/>
          <w:sz w:val="24"/>
          <w:szCs w:val="20"/>
        </w:rPr>
      </w:pPr>
      <w:r w:rsidRPr="00E161B2">
        <w:rPr>
          <w:rFonts w:ascii="Arial Narrow" w:hAnsi="Arial Narrow"/>
          <w:sz w:val="24"/>
          <w:szCs w:val="20"/>
        </w:rPr>
        <w:t>Additional information is listed in the Safety Data Sheet available from your supplier.</w:t>
      </w:r>
    </w:p>
    <w:p w14:paraId="6DE64009" w14:textId="77777777" w:rsidR="004631F2" w:rsidRPr="00E161B2" w:rsidRDefault="004631F2" w:rsidP="00276C28">
      <w:pPr>
        <w:spacing w:before="240"/>
        <w:jc w:val="both"/>
        <w:rPr>
          <w:rFonts w:ascii="Arial Narrow" w:hAnsi="Arial Narrow"/>
          <w:b/>
          <w:sz w:val="24"/>
          <w:szCs w:val="20"/>
        </w:rPr>
      </w:pPr>
      <w:r w:rsidRPr="00E161B2">
        <w:rPr>
          <w:rFonts w:ascii="Arial Narrow" w:hAnsi="Arial Narrow"/>
          <w:b/>
          <w:sz w:val="24"/>
          <w:szCs w:val="20"/>
        </w:rPr>
        <w:t>CONDITIONS OF SALE</w:t>
      </w:r>
    </w:p>
    <w:p w14:paraId="129B1047" w14:textId="6C3C6E11" w:rsidR="004631F2" w:rsidRPr="00E161B2" w:rsidRDefault="004631F2" w:rsidP="004631F2">
      <w:pPr>
        <w:jc w:val="both"/>
        <w:rPr>
          <w:rFonts w:ascii="Arial Narrow" w:hAnsi="Arial Narrow"/>
          <w:sz w:val="24"/>
        </w:rPr>
      </w:pPr>
      <w:r w:rsidRPr="00E161B2">
        <w:rPr>
          <w:rFonts w:ascii="Arial Narrow" w:hAnsi="Arial Narrow"/>
          <w:sz w:val="24"/>
          <w:szCs w:val="20"/>
        </w:rPr>
        <w:t>All conditions and warranties rights and remedies implied by law or arising in contract or tort whether due to the negligence of BASF Australia Ltd or otherwise are hereby expressly excluded so far as the same may legally be done provided however that any rights of the Buyer pursuant to non- excludable conditions or warranties of the Competition and Consumer Act 2010 or any relevant legislation of any State are expressly preserved but the</w:t>
      </w:r>
      <w:r w:rsidRPr="004631F2">
        <w:rPr>
          <w:rFonts w:ascii="Arial Narrow" w:hAnsi="Arial Narrow"/>
          <w:sz w:val="24"/>
          <w:szCs w:val="20"/>
        </w:rPr>
        <w:t xml:space="preserve"> </w:t>
      </w:r>
      <w:r w:rsidRPr="00E161B2">
        <w:rPr>
          <w:rFonts w:ascii="Arial Narrow" w:hAnsi="Arial Narrow"/>
          <w:sz w:val="24"/>
          <w:szCs w:val="20"/>
        </w:rPr>
        <w:t xml:space="preserve">liability of BASF Australia Ltd or any intermediate Seller pursuant thereto shall be limited if so permitted by the said legislation to the replacement of the goods sold or the supply of equivalent goods and all liability for indirect or consequential loss or damage of whatsoever nature is expressly excluded. This product must be used or applied strictly in accordance with the instructions appearing hereon. This product is solely sold for use in </w:t>
      </w:r>
      <w:r w:rsidRPr="00E161B2">
        <w:rPr>
          <w:rFonts w:ascii="Arial Narrow" w:hAnsi="Arial Narrow"/>
          <w:sz w:val="24"/>
        </w:rPr>
        <w:t>Australia and must not be exported without the prior written consent of BASF Australia Ltd.</w:t>
      </w:r>
    </w:p>
    <w:p w14:paraId="61CC3B0C" w14:textId="77777777" w:rsidR="004631F2" w:rsidRPr="00E161B2" w:rsidRDefault="004631F2" w:rsidP="004631F2">
      <w:pPr>
        <w:jc w:val="both"/>
        <w:rPr>
          <w:rFonts w:ascii="Arial Narrow" w:hAnsi="Arial Narrow"/>
          <w:sz w:val="24"/>
        </w:rPr>
      </w:pPr>
    </w:p>
    <w:p w14:paraId="73023198" w14:textId="3F4F67B0" w:rsidR="004631F2" w:rsidRPr="00E161B2" w:rsidRDefault="00276C28" w:rsidP="004631F2">
      <w:pPr>
        <w:rPr>
          <w:rFonts w:ascii="Arial Narrow" w:hAnsi="Arial Narrow" w:cs="Arial"/>
          <w:sz w:val="24"/>
        </w:rPr>
      </w:pPr>
      <w:r>
        <w:rPr>
          <w:rFonts w:ascii="Arial Narrow" w:hAnsi="Arial Narrow" w:cs="Arial"/>
          <w:sz w:val="24"/>
        </w:rPr>
        <w:t>APVMA Approval No:</w:t>
      </w:r>
      <w:r w:rsidR="004631F2" w:rsidRPr="00E161B2">
        <w:rPr>
          <w:rFonts w:ascii="Arial Narrow" w:hAnsi="Arial Narrow" w:cs="Arial"/>
          <w:sz w:val="24"/>
        </w:rPr>
        <w:t xml:space="preserve"> 86267/115160</w:t>
      </w:r>
    </w:p>
    <w:p w14:paraId="36358630" w14:textId="77777777" w:rsidR="004631F2" w:rsidRPr="00E161B2" w:rsidRDefault="004631F2" w:rsidP="004631F2">
      <w:pPr>
        <w:jc w:val="both"/>
        <w:rPr>
          <w:rFonts w:ascii="Arial Narrow" w:hAnsi="Arial Narrow"/>
          <w:sz w:val="24"/>
          <w:szCs w:val="20"/>
        </w:rPr>
      </w:pPr>
      <w:r w:rsidRPr="00E161B2">
        <w:rPr>
          <w:rFonts w:ascii="Arial Narrow" w:hAnsi="Arial Narrow"/>
          <w:sz w:val="24"/>
          <w:szCs w:val="20"/>
        </w:rPr>
        <w:t>Batch No:</w:t>
      </w:r>
    </w:p>
    <w:p w14:paraId="3E699D8E" w14:textId="77777777" w:rsidR="004631F2" w:rsidRPr="00E161B2" w:rsidRDefault="004631F2" w:rsidP="004631F2">
      <w:pPr>
        <w:jc w:val="both"/>
        <w:rPr>
          <w:rFonts w:ascii="Arial Narrow" w:hAnsi="Arial Narrow"/>
          <w:sz w:val="24"/>
          <w:szCs w:val="20"/>
        </w:rPr>
      </w:pPr>
      <w:r w:rsidRPr="00E161B2">
        <w:rPr>
          <w:rFonts w:ascii="Arial Narrow" w:hAnsi="Arial Narrow"/>
          <w:sz w:val="24"/>
          <w:szCs w:val="20"/>
        </w:rPr>
        <w:t>Date of Manufacture:</w:t>
      </w:r>
    </w:p>
    <w:p w14:paraId="74CE1A50" w14:textId="77777777" w:rsidR="004631F2" w:rsidRPr="00E161B2" w:rsidRDefault="004631F2" w:rsidP="004631F2">
      <w:pPr>
        <w:jc w:val="both"/>
        <w:rPr>
          <w:rFonts w:ascii="Arial Narrow" w:hAnsi="Arial Narrow"/>
          <w:sz w:val="24"/>
          <w:szCs w:val="20"/>
        </w:rPr>
      </w:pPr>
    </w:p>
    <w:p w14:paraId="21D46514" w14:textId="77777777" w:rsidR="004631F2" w:rsidRPr="00E161B2" w:rsidRDefault="004631F2" w:rsidP="004631F2">
      <w:pPr>
        <w:jc w:val="both"/>
        <w:rPr>
          <w:rFonts w:ascii="Arial Narrow" w:eastAsia="SimSun" w:hAnsi="Arial Narrow"/>
          <w:sz w:val="24"/>
          <w:szCs w:val="20"/>
        </w:rPr>
      </w:pPr>
      <w:r w:rsidRPr="00E161B2">
        <w:rPr>
          <w:rFonts w:ascii="Arial Narrow" w:eastAsia="SimSun" w:hAnsi="Arial Narrow"/>
          <w:sz w:val="24"/>
          <w:szCs w:val="20"/>
        </w:rPr>
        <w:t>® = Registered trademark of BASF</w:t>
      </w:r>
    </w:p>
    <w:p w14:paraId="6C366709" w14:textId="77777777" w:rsidR="004631F2" w:rsidRPr="00E161B2" w:rsidRDefault="004631F2" w:rsidP="004631F2">
      <w:pPr>
        <w:jc w:val="both"/>
        <w:rPr>
          <w:rFonts w:ascii="Arial Narrow" w:eastAsia="SimSun" w:hAnsi="Arial Narrow"/>
          <w:sz w:val="24"/>
          <w:szCs w:val="20"/>
        </w:rPr>
      </w:pPr>
      <w:r w:rsidRPr="00E161B2">
        <w:rPr>
          <w:rFonts w:ascii="Arial Narrow" w:eastAsia="SimSun" w:hAnsi="Arial Narrow"/>
          <w:sz w:val="24"/>
          <w:szCs w:val="20"/>
        </w:rPr>
        <w:t>© Copyright, 2019</w:t>
      </w:r>
    </w:p>
    <w:p w14:paraId="7E1BBC00" w14:textId="77777777" w:rsidR="004631F2" w:rsidRPr="00E161B2" w:rsidRDefault="004631F2" w:rsidP="004631F2">
      <w:pPr>
        <w:jc w:val="both"/>
        <w:rPr>
          <w:rFonts w:ascii="Arial Narrow" w:hAnsi="Arial Narrow"/>
          <w:sz w:val="24"/>
          <w:szCs w:val="20"/>
        </w:rPr>
      </w:pPr>
      <w:r w:rsidRPr="00E161B2">
        <w:rPr>
          <w:rFonts w:ascii="Arial Narrow" w:hAnsi="Arial Narrow"/>
          <w:sz w:val="24"/>
          <w:szCs w:val="20"/>
        </w:rPr>
        <w:t>* Other registered trademarks</w:t>
      </w:r>
    </w:p>
    <w:p w14:paraId="09085665" w14:textId="77777777" w:rsidR="004631F2" w:rsidRPr="00E161B2" w:rsidRDefault="004631F2" w:rsidP="004631F2">
      <w:pPr>
        <w:ind w:right="-23"/>
        <w:jc w:val="both"/>
        <w:rPr>
          <w:rFonts w:ascii="Arial Narrow" w:hAnsi="Arial Narrow" w:cs="Arial"/>
          <w:spacing w:val="-3"/>
          <w:sz w:val="24"/>
        </w:rPr>
      </w:pPr>
      <w:r w:rsidRPr="00E161B2">
        <w:rPr>
          <w:noProof/>
          <w:szCs w:val="20"/>
          <w:lang w:eastAsia="en-AU"/>
        </w:rPr>
        <w:drawing>
          <wp:anchor distT="0" distB="0" distL="114300" distR="114300" simplePos="0" relativeHeight="251670528" behindDoc="1" locked="0" layoutInCell="1" allowOverlap="1" wp14:anchorId="7024B8CE" wp14:editId="4BD2ACCF">
            <wp:simplePos x="0" y="0"/>
            <wp:positionH relativeFrom="column">
              <wp:posOffset>-157480</wp:posOffset>
            </wp:positionH>
            <wp:positionV relativeFrom="paragraph">
              <wp:posOffset>30480</wp:posOffset>
            </wp:positionV>
            <wp:extent cx="1442720" cy="721360"/>
            <wp:effectExtent l="0" t="0" r="5080" b="2540"/>
            <wp:wrapNone/>
            <wp:docPr id="11" name="Picture 11" descr="BASFw_bl30tr_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Fw_bl30tr_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4272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7270D" w14:textId="77777777" w:rsidR="004631F2" w:rsidRPr="00E161B2" w:rsidRDefault="004631F2" w:rsidP="004631F2">
      <w:pPr>
        <w:jc w:val="both"/>
        <w:rPr>
          <w:rFonts w:ascii="Arial Narrow" w:hAnsi="Arial Narrow"/>
          <w:sz w:val="24"/>
          <w:szCs w:val="20"/>
        </w:rPr>
      </w:pPr>
    </w:p>
    <w:p w14:paraId="01D1E6B5" w14:textId="77777777" w:rsidR="004631F2" w:rsidRPr="00E161B2" w:rsidRDefault="004631F2" w:rsidP="004631F2">
      <w:pPr>
        <w:jc w:val="both"/>
        <w:rPr>
          <w:rFonts w:ascii="Arial Narrow" w:hAnsi="Arial Narrow"/>
          <w:sz w:val="24"/>
          <w:szCs w:val="20"/>
        </w:rPr>
      </w:pPr>
    </w:p>
    <w:p w14:paraId="6C8C5E15" w14:textId="77777777" w:rsidR="004631F2" w:rsidRPr="00E161B2" w:rsidRDefault="004631F2" w:rsidP="004631F2">
      <w:pPr>
        <w:jc w:val="both"/>
        <w:rPr>
          <w:rFonts w:ascii="Arial Narrow" w:hAnsi="Arial Narrow"/>
          <w:sz w:val="24"/>
          <w:szCs w:val="20"/>
        </w:rPr>
      </w:pPr>
    </w:p>
    <w:p w14:paraId="60022B8A" w14:textId="77777777" w:rsidR="004631F2" w:rsidRPr="00E161B2" w:rsidRDefault="004631F2" w:rsidP="004631F2">
      <w:pPr>
        <w:jc w:val="both"/>
        <w:rPr>
          <w:rFonts w:ascii="Arial Narrow" w:hAnsi="Arial Narrow"/>
          <w:sz w:val="24"/>
          <w:szCs w:val="20"/>
        </w:rPr>
      </w:pPr>
    </w:p>
    <w:p w14:paraId="4E4D2ADE" w14:textId="77777777" w:rsidR="004631F2" w:rsidRPr="00E161B2" w:rsidRDefault="004631F2" w:rsidP="004631F2">
      <w:pPr>
        <w:jc w:val="both"/>
        <w:rPr>
          <w:rFonts w:ascii="Arial Narrow" w:hAnsi="Arial Narrow"/>
          <w:sz w:val="24"/>
          <w:szCs w:val="20"/>
        </w:rPr>
      </w:pPr>
      <w:r w:rsidRPr="00E161B2">
        <w:rPr>
          <w:rFonts w:ascii="Arial Narrow" w:hAnsi="Arial Narrow"/>
          <w:sz w:val="24"/>
          <w:szCs w:val="20"/>
        </w:rPr>
        <w:t>BASF Australia Ltd</w:t>
      </w:r>
    </w:p>
    <w:p w14:paraId="01726968" w14:textId="77777777" w:rsidR="004631F2" w:rsidRPr="00E161B2" w:rsidRDefault="004631F2" w:rsidP="004631F2">
      <w:pPr>
        <w:jc w:val="both"/>
        <w:rPr>
          <w:rFonts w:ascii="Arial Narrow" w:hAnsi="Arial Narrow"/>
          <w:sz w:val="24"/>
          <w:szCs w:val="20"/>
        </w:rPr>
      </w:pPr>
      <w:smartTag w:uri="urn:schemas-microsoft-com:office:smarttags" w:element="stockticker">
        <w:r w:rsidRPr="00E161B2">
          <w:rPr>
            <w:rFonts w:ascii="Arial Narrow" w:hAnsi="Arial Narrow"/>
            <w:sz w:val="24"/>
            <w:szCs w:val="20"/>
          </w:rPr>
          <w:t>ABN</w:t>
        </w:r>
      </w:smartTag>
      <w:r w:rsidRPr="00E161B2">
        <w:rPr>
          <w:rFonts w:ascii="Arial Narrow" w:hAnsi="Arial Narrow"/>
          <w:sz w:val="24"/>
          <w:szCs w:val="20"/>
        </w:rPr>
        <w:t xml:space="preserve"> 62 008 437 867</w:t>
      </w:r>
    </w:p>
    <w:p w14:paraId="1D427DB2" w14:textId="77777777" w:rsidR="004631F2" w:rsidRPr="00E161B2" w:rsidRDefault="004631F2" w:rsidP="004631F2">
      <w:pPr>
        <w:jc w:val="both"/>
        <w:rPr>
          <w:rFonts w:ascii="Arial Narrow" w:hAnsi="Arial Narrow"/>
          <w:sz w:val="24"/>
          <w:szCs w:val="20"/>
        </w:rPr>
      </w:pPr>
      <w:r w:rsidRPr="00E161B2">
        <w:rPr>
          <w:rFonts w:ascii="Arial Narrow" w:hAnsi="Arial Narrow"/>
          <w:sz w:val="24"/>
          <w:szCs w:val="20"/>
        </w:rPr>
        <w:t>Level 12, 28 Freshwater Place</w:t>
      </w:r>
    </w:p>
    <w:p w14:paraId="1ADCD103" w14:textId="77777777" w:rsidR="004631F2" w:rsidRPr="00E161B2" w:rsidRDefault="004631F2" w:rsidP="004631F2">
      <w:pPr>
        <w:jc w:val="both"/>
        <w:rPr>
          <w:rFonts w:ascii="Arial Narrow" w:hAnsi="Arial Narrow"/>
          <w:sz w:val="24"/>
          <w:szCs w:val="20"/>
          <w:highlight w:val="yellow"/>
        </w:rPr>
      </w:pPr>
      <w:r>
        <w:rPr>
          <w:rFonts w:ascii="Arial Narrow" w:hAnsi="Arial Narrow"/>
          <w:sz w:val="24"/>
          <w:szCs w:val="20"/>
        </w:rPr>
        <w:t xml:space="preserve">Southbank VICTORIA </w:t>
      </w:r>
      <w:r w:rsidRPr="00E161B2">
        <w:rPr>
          <w:rFonts w:ascii="Arial Narrow" w:hAnsi="Arial Narrow"/>
          <w:sz w:val="24"/>
          <w:szCs w:val="20"/>
        </w:rPr>
        <w:t>3006</w:t>
      </w:r>
    </w:p>
    <w:p w14:paraId="244B19AD" w14:textId="77777777" w:rsidR="004631F2" w:rsidRPr="00E161B2" w:rsidRDefault="004631F2" w:rsidP="004631F2">
      <w:pPr>
        <w:spacing w:before="120"/>
        <w:jc w:val="both"/>
        <w:rPr>
          <w:rFonts w:ascii="Arial Narrow" w:hAnsi="Arial Narrow"/>
          <w:b/>
          <w:sz w:val="24"/>
          <w:szCs w:val="20"/>
        </w:rPr>
      </w:pPr>
      <w:r w:rsidRPr="00E161B2">
        <w:rPr>
          <w:rFonts w:ascii="Arial Narrow" w:hAnsi="Arial Narrow"/>
          <w:b/>
          <w:sz w:val="24"/>
          <w:szCs w:val="20"/>
        </w:rPr>
        <w:t xml:space="preserve">FOR SPECIALIST ADVICE IN AN EMERGENCY ONLY PHONE 1800 803 440 TOLL </w:t>
      </w:r>
      <w:smartTag w:uri="urn:schemas-microsoft-com:office:smarttags" w:element="stockticker">
        <w:r w:rsidRPr="00E161B2">
          <w:rPr>
            <w:rFonts w:ascii="Arial Narrow" w:hAnsi="Arial Narrow"/>
            <w:b/>
            <w:sz w:val="24"/>
            <w:szCs w:val="20"/>
          </w:rPr>
          <w:t>FREE</w:t>
        </w:r>
      </w:smartTag>
      <w:r w:rsidRPr="00E161B2">
        <w:rPr>
          <w:rFonts w:ascii="Arial Narrow" w:hAnsi="Arial Narrow"/>
          <w:b/>
          <w:sz w:val="24"/>
          <w:szCs w:val="20"/>
        </w:rPr>
        <w:t>-</w:t>
      </w:r>
      <w:smartTag w:uri="urn:schemas-microsoft-com:office:smarttags" w:element="stockticker">
        <w:r w:rsidRPr="00E161B2">
          <w:rPr>
            <w:rFonts w:ascii="Arial Narrow" w:hAnsi="Arial Narrow"/>
            <w:b/>
            <w:sz w:val="24"/>
            <w:szCs w:val="20"/>
          </w:rPr>
          <w:t>ALL</w:t>
        </w:r>
      </w:smartTag>
      <w:r w:rsidRPr="00E161B2">
        <w:rPr>
          <w:rFonts w:ascii="Arial Narrow" w:hAnsi="Arial Narrow"/>
          <w:b/>
          <w:sz w:val="24"/>
          <w:szCs w:val="20"/>
        </w:rPr>
        <w:t xml:space="preserve"> HOURS-AUSTRALIA WIDE</w:t>
      </w:r>
    </w:p>
    <w:p w14:paraId="7617A731" w14:textId="353392A8" w:rsidR="004631F2" w:rsidRPr="000C4659" w:rsidRDefault="004631F2" w:rsidP="004631F2">
      <w:pPr>
        <w:widowControl w:val="0"/>
        <w:ind w:right="-20"/>
        <w:jc w:val="both"/>
        <w:rPr>
          <w:rFonts w:ascii="Arial Narrow" w:eastAsia="Arial Narrow" w:hAnsi="Arial Narrow" w:cs="Arial Narrow"/>
          <w:sz w:val="24"/>
          <w:lang w:val="en-US"/>
        </w:rPr>
      </w:pPr>
    </w:p>
    <w:p w14:paraId="586A9F95" w14:textId="77777777" w:rsidR="004631F2" w:rsidRDefault="004631F2">
      <w:pPr>
        <w:pStyle w:val="APVMAText"/>
        <w:sectPr w:rsidR="004631F2">
          <w:headerReference w:type="default" r:id="rId48"/>
          <w:pgSz w:w="11906" w:h="16838" w:code="9"/>
          <w:pgMar w:top="2835" w:right="1134" w:bottom="1134" w:left="1134" w:header="1701" w:footer="680" w:gutter="0"/>
          <w:cols w:space="708"/>
          <w:docGrid w:linePitch="360"/>
        </w:sectPr>
      </w:pPr>
    </w:p>
    <w:p w14:paraId="337DA613" w14:textId="7A95F72E" w:rsidR="00276C28" w:rsidRPr="00276C28" w:rsidRDefault="004631F2" w:rsidP="007B530F">
      <w:pPr>
        <w:pStyle w:val="APVMAAppendixH1"/>
        <w:spacing w:after="240"/>
        <w:ind w:left="2041" w:hanging="2041"/>
      </w:pPr>
      <w:r>
        <w:rPr>
          <w:lang w:val="en-GB"/>
        </w:rPr>
        <w:lastRenderedPageBreak/>
        <w:t xml:space="preserve"> </w:t>
      </w:r>
      <w:bookmarkStart w:id="66" w:name="_Toc6472856"/>
      <w:r w:rsidR="00F27E0D">
        <w:t>abbreviations</w:t>
      </w:r>
      <w:bookmarkEnd w:id="42"/>
      <w:bookmarkEnd w:id="66"/>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496"/>
      </w:tblGrid>
      <w:tr w:rsidR="00F142B9" w14:paraId="4813916A" w14:textId="77777777" w:rsidTr="007B530F">
        <w:tc>
          <w:tcPr>
            <w:tcW w:w="1111" w:type="pct"/>
          </w:tcPr>
          <w:p w14:paraId="4F6D90D3" w14:textId="3FF2ED61" w:rsidR="00F142B9" w:rsidRDefault="00F142B9" w:rsidP="00F142B9">
            <w:pPr>
              <w:pStyle w:val="APVMATableText"/>
            </w:pPr>
            <w:proofErr w:type="spellStart"/>
            <w:r>
              <w:t>a</w:t>
            </w:r>
            <w:r w:rsidRPr="000136E6">
              <w:t>cs</w:t>
            </w:r>
            <w:proofErr w:type="spellEnd"/>
          </w:p>
        </w:tc>
        <w:tc>
          <w:tcPr>
            <w:tcW w:w="3889" w:type="pct"/>
          </w:tcPr>
          <w:p w14:paraId="3959E0D8" w14:textId="654D49BD" w:rsidR="00F142B9" w:rsidRDefault="00F142B9" w:rsidP="00F142B9">
            <w:pPr>
              <w:pStyle w:val="APVMATableText"/>
            </w:pPr>
            <w:r>
              <w:t>active constituents</w:t>
            </w:r>
          </w:p>
        </w:tc>
      </w:tr>
      <w:tr w:rsidR="00F142B9" w14:paraId="1B3D1A7E" w14:textId="77777777" w:rsidTr="007B530F">
        <w:tc>
          <w:tcPr>
            <w:tcW w:w="1111" w:type="pct"/>
          </w:tcPr>
          <w:p w14:paraId="31BE6C45" w14:textId="28C543EB" w:rsidR="00F142B9" w:rsidRDefault="00F142B9" w:rsidP="00F142B9">
            <w:pPr>
              <w:pStyle w:val="APVMATableText"/>
            </w:pPr>
            <w:r>
              <w:t>ADI</w:t>
            </w:r>
          </w:p>
        </w:tc>
        <w:tc>
          <w:tcPr>
            <w:tcW w:w="3889" w:type="pct"/>
          </w:tcPr>
          <w:p w14:paraId="714C67F5" w14:textId="3ECEA3C8" w:rsidR="00F142B9" w:rsidRDefault="00F142B9" w:rsidP="00F142B9">
            <w:pPr>
              <w:pStyle w:val="APVMATableText"/>
            </w:pPr>
            <w:r>
              <w:t>Acceptable Daily Intake (for humans)</w:t>
            </w:r>
          </w:p>
        </w:tc>
      </w:tr>
      <w:tr w:rsidR="00F142B9" w14:paraId="7B1309BF" w14:textId="77777777" w:rsidTr="007B530F">
        <w:tc>
          <w:tcPr>
            <w:tcW w:w="1111" w:type="pct"/>
          </w:tcPr>
          <w:p w14:paraId="122E0A40" w14:textId="5271A7A9" w:rsidR="00F142B9" w:rsidRDefault="00F142B9" w:rsidP="00F142B9">
            <w:pPr>
              <w:pStyle w:val="APVMATableText"/>
            </w:pPr>
            <w:proofErr w:type="spellStart"/>
            <w:r>
              <w:t>ai</w:t>
            </w:r>
            <w:proofErr w:type="spellEnd"/>
          </w:p>
        </w:tc>
        <w:tc>
          <w:tcPr>
            <w:tcW w:w="3889" w:type="pct"/>
          </w:tcPr>
          <w:p w14:paraId="0B4BEEC1" w14:textId="5DC7B760" w:rsidR="00F142B9" w:rsidRDefault="00F142B9" w:rsidP="00F142B9">
            <w:pPr>
              <w:pStyle w:val="APVMATableText"/>
            </w:pPr>
            <w:r>
              <w:t>active ingredient</w:t>
            </w:r>
          </w:p>
        </w:tc>
      </w:tr>
      <w:tr w:rsidR="00F142B9" w14:paraId="7CC61F82" w14:textId="77777777" w:rsidTr="007B530F">
        <w:tc>
          <w:tcPr>
            <w:tcW w:w="1111" w:type="pct"/>
          </w:tcPr>
          <w:p w14:paraId="2469E7F6" w14:textId="1D09ABB4" w:rsidR="00F142B9" w:rsidRDefault="00F142B9" w:rsidP="00F142B9">
            <w:pPr>
              <w:pStyle w:val="APVMATableText"/>
            </w:pPr>
            <w:proofErr w:type="spellStart"/>
            <w:r>
              <w:t>ARfD</w:t>
            </w:r>
            <w:proofErr w:type="spellEnd"/>
          </w:p>
        </w:tc>
        <w:tc>
          <w:tcPr>
            <w:tcW w:w="3889" w:type="pct"/>
          </w:tcPr>
          <w:p w14:paraId="0DF4A0B6" w14:textId="65A75F43" w:rsidR="00F142B9" w:rsidRDefault="00F142B9" w:rsidP="00F142B9">
            <w:pPr>
              <w:pStyle w:val="APVMATableText"/>
            </w:pPr>
            <w:r>
              <w:t>Acute Reference Dose</w:t>
            </w:r>
          </w:p>
        </w:tc>
      </w:tr>
      <w:tr w:rsidR="00F142B9" w14:paraId="46E21B75" w14:textId="77777777" w:rsidTr="007B530F">
        <w:tc>
          <w:tcPr>
            <w:tcW w:w="1111" w:type="pct"/>
          </w:tcPr>
          <w:p w14:paraId="57B3C3AC" w14:textId="1B479BB2" w:rsidR="00F142B9" w:rsidRDefault="00F142B9" w:rsidP="00F142B9">
            <w:pPr>
              <w:pStyle w:val="APVMATableText"/>
            </w:pPr>
            <w:proofErr w:type="spellStart"/>
            <w:r>
              <w:t>bw</w:t>
            </w:r>
            <w:proofErr w:type="spellEnd"/>
          </w:p>
        </w:tc>
        <w:tc>
          <w:tcPr>
            <w:tcW w:w="3889" w:type="pct"/>
          </w:tcPr>
          <w:p w14:paraId="26668AA8" w14:textId="3FC8F86C" w:rsidR="00F142B9" w:rsidRDefault="00F142B9" w:rsidP="00F142B9">
            <w:pPr>
              <w:pStyle w:val="APVMATableText"/>
            </w:pPr>
            <w:r>
              <w:t>bodyweight</w:t>
            </w:r>
          </w:p>
        </w:tc>
      </w:tr>
      <w:tr w:rsidR="00F142B9" w14:paraId="3DF72BD0" w14:textId="77777777" w:rsidTr="007B530F">
        <w:tc>
          <w:tcPr>
            <w:tcW w:w="1111" w:type="pct"/>
          </w:tcPr>
          <w:p w14:paraId="6B443BD5" w14:textId="3D7EC279" w:rsidR="00F142B9" w:rsidRDefault="00F142B9" w:rsidP="00F142B9">
            <w:pPr>
              <w:pStyle w:val="APVMATableText"/>
            </w:pPr>
            <w:r>
              <w:t>DAT</w:t>
            </w:r>
          </w:p>
        </w:tc>
        <w:tc>
          <w:tcPr>
            <w:tcW w:w="3889" w:type="pct"/>
          </w:tcPr>
          <w:p w14:paraId="33B83C89" w14:textId="2C578ECC" w:rsidR="00F142B9" w:rsidRDefault="00F142B9" w:rsidP="00F142B9">
            <w:pPr>
              <w:pStyle w:val="APVMATableText"/>
            </w:pPr>
            <w:r>
              <w:t>Days After Treatment</w:t>
            </w:r>
          </w:p>
        </w:tc>
      </w:tr>
      <w:tr w:rsidR="00F142B9" w14:paraId="400F7AC8" w14:textId="77777777" w:rsidTr="007B530F">
        <w:tc>
          <w:tcPr>
            <w:tcW w:w="1111" w:type="pct"/>
          </w:tcPr>
          <w:p w14:paraId="4E588E72" w14:textId="50DB2B0E" w:rsidR="00F142B9" w:rsidRDefault="00F142B9" w:rsidP="00F142B9">
            <w:pPr>
              <w:pStyle w:val="APVMATableText"/>
            </w:pPr>
            <w:r>
              <w:t>DT</w:t>
            </w:r>
            <w:r>
              <w:rPr>
                <w:vertAlign w:val="subscript"/>
              </w:rPr>
              <w:t>50</w:t>
            </w:r>
          </w:p>
        </w:tc>
        <w:tc>
          <w:tcPr>
            <w:tcW w:w="3889" w:type="pct"/>
          </w:tcPr>
          <w:p w14:paraId="365D9AFC" w14:textId="64506D28" w:rsidR="00F142B9" w:rsidRDefault="00F142B9" w:rsidP="00276C28">
            <w:pPr>
              <w:pStyle w:val="APVMATableText"/>
            </w:pPr>
            <w:r>
              <w:t>Time taken for 50</w:t>
            </w:r>
            <w:r w:rsidR="00276C28">
              <w:t xml:space="preserve"> </w:t>
            </w:r>
            <w:r w:rsidR="00EA2FEF">
              <w:t>per cent</w:t>
            </w:r>
            <w:r>
              <w:t xml:space="preserve"> of the concentration to dissipate</w:t>
            </w:r>
          </w:p>
        </w:tc>
      </w:tr>
      <w:tr w:rsidR="00F142B9" w14:paraId="061F38C7" w14:textId="77777777" w:rsidTr="007B530F">
        <w:tc>
          <w:tcPr>
            <w:tcW w:w="1111" w:type="pct"/>
          </w:tcPr>
          <w:p w14:paraId="2CE61E34" w14:textId="1FFFB710" w:rsidR="00F142B9" w:rsidRDefault="00F142B9" w:rsidP="00F142B9">
            <w:pPr>
              <w:pStyle w:val="APVMATableText"/>
            </w:pPr>
            <w:r>
              <w:t>DFOP</w:t>
            </w:r>
          </w:p>
        </w:tc>
        <w:tc>
          <w:tcPr>
            <w:tcW w:w="3889" w:type="pct"/>
          </w:tcPr>
          <w:p w14:paraId="132178AD" w14:textId="2444DD5A" w:rsidR="00F142B9" w:rsidRDefault="00F142B9" w:rsidP="00F142B9">
            <w:pPr>
              <w:pStyle w:val="APVMATableText"/>
            </w:pPr>
            <w:r>
              <w:t>Double first-order in parallel</w:t>
            </w:r>
          </w:p>
        </w:tc>
      </w:tr>
      <w:tr w:rsidR="00F142B9" w14:paraId="3CFD0E83" w14:textId="77777777" w:rsidTr="007B530F">
        <w:tc>
          <w:tcPr>
            <w:tcW w:w="1111" w:type="pct"/>
          </w:tcPr>
          <w:p w14:paraId="76D1D90C" w14:textId="0F6C4B0F" w:rsidR="00F142B9" w:rsidRDefault="00F142B9" w:rsidP="00F142B9">
            <w:pPr>
              <w:pStyle w:val="APVMATableText"/>
            </w:pPr>
            <w:r>
              <w:t>EC</w:t>
            </w:r>
            <w:r>
              <w:rPr>
                <w:vertAlign w:val="subscript"/>
              </w:rPr>
              <w:t>50</w:t>
            </w:r>
          </w:p>
        </w:tc>
        <w:tc>
          <w:tcPr>
            <w:tcW w:w="3889" w:type="pct"/>
          </w:tcPr>
          <w:p w14:paraId="6B808862" w14:textId="5499D00A" w:rsidR="00F142B9" w:rsidRDefault="00F142B9" w:rsidP="00EA2FEF">
            <w:pPr>
              <w:pStyle w:val="APVMATableText"/>
            </w:pPr>
            <w:r>
              <w:t>concentration at which 50</w:t>
            </w:r>
            <w:r w:rsidR="00EA2FEF">
              <w:t xml:space="preserve"> per cent</w:t>
            </w:r>
            <w:r>
              <w:t xml:space="preserve"> of the test population are immobilised</w:t>
            </w:r>
          </w:p>
        </w:tc>
      </w:tr>
      <w:tr w:rsidR="00F142B9" w14:paraId="5DD1335F" w14:textId="77777777" w:rsidTr="007B530F">
        <w:tc>
          <w:tcPr>
            <w:tcW w:w="1111" w:type="pct"/>
          </w:tcPr>
          <w:p w14:paraId="53229B9E" w14:textId="5FC8A88F" w:rsidR="00F142B9" w:rsidRDefault="00F142B9" w:rsidP="00F142B9">
            <w:pPr>
              <w:pStyle w:val="APVMATableText"/>
            </w:pPr>
            <w:r>
              <w:t>EEC</w:t>
            </w:r>
          </w:p>
        </w:tc>
        <w:tc>
          <w:tcPr>
            <w:tcW w:w="3889" w:type="pct"/>
          </w:tcPr>
          <w:p w14:paraId="71B8E90B" w14:textId="41408193" w:rsidR="00F142B9" w:rsidRDefault="00F142B9" w:rsidP="00F142B9">
            <w:pPr>
              <w:pStyle w:val="APVMATableText"/>
            </w:pPr>
            <w:r>
              <w:t>Estimated Environmental Concentration</w:t>
            </w:r>
          </w:p>
        </w:tc>
      </w:tr>
      <w:tr w:rsidR="00F142B9" w14:paraId="62875501" w14:textId="77777777" w:rsidTr="007B530F">
        <w:tc>
          <w:tcPr>
            <w:tcW w:w="1111" w:type="pct"/>
          </w:tcPr>
          <w:p w14:paraId="3DAC9E66" w14:textId="4023AA03" w:rsidR="00F142B9" w:rsidRDefault="00F142B9" w:rsidP="00F142B9">
            <w:pPr>
              <w:pStyle w:val="APVMATableText"/>
            </w:pPr>
            <w:r>
              <w:t>E</w:t>
            </w:r>
            <w:r>
              <w:rPr>
                <w:vertAlign w:val="subscript"/>
              </w:rPr>
              <w:t>r</w:t>
            </w:r>
            <w:r>
              <w:t>C</w:t>
            </w:r>
            <w:r>
              <w:rPr>
                <w:vertAlign w:val="subscript"/>
              </w:rPr>
              <w:t>50</w:t>
            </w:r>
          </w:p>
        </w:tc>
        <w:tc>
          <w:tcPr>
            <w:tcW w:w="3889" w:type="pct"/>
          </w:tcPr>
          <w:p w14:paraId="2245958F" w14:textId="065D74FA" w:rsidR="00F142B9" w:rsidRDefault="00F142B9" w:rsidP="00F142B9">
            <w:pPr>
              <w:pStyle w:val="APVMATableText"/>
            </w:pPr>
            <w:r>
              <w:t>concentration at</w:t>
            </w:r>
            <w:r w:rsidR="00EA2FEF">
              <w:t xml:space="preserve"> which the rate of growth of 50 per cent</w:t>
            </w:r>
            <w:r>
              <w:t xml:space="preserve"> of the test population is impacted</w:t>
            </w:r>
          </w:p>
        </w:tc>
      </w:tr>
      <w:tr w:rsidR="00F142B9" w14:paraId="7C7B6216" w14:textId="77777777" w:rsidTr="007B530F">
        <w:tc>
          <w:tcPr>
            <w:tcW w:w="1111" w:type="pct"/>
          </w:tcPr>
          <w:p w14:paraId="7CD50131" w14:textId="20037C0F" w:rsidR="00F142B9" w:rsidRDefault="00F142B9" w:rsidP="00F142B9">
            <w:pPr>
              <w:pStyle w:val="APVMATableText"/>
            </w:pPr>
            <w:r>
              <w:t>ESI</w:t>
            </w:r>
          </w:p>
        </w:tc>
        <w:tc>
          <w:tcPr>
            <w:tcW w:w="3889" w:type="pct"/>
          </w:tcPr>
          <w:p w14:paraId="129BC258" w14:textId="64B80EE4" w:rsidR="00F142B9" w:rsidRDefault="00F142B9" w:rsidP="00F142B9">
            <w:pPr>
              <w:pStyle w:val="APVMATableText"/>
            </w:pPr>
            <w:r>
              <w:t>Export Slaughter Interval</w:t>
            </w:r>
          </w:p>
        </w:tc>
      </w:tr>
      <w:tr w:rsidR="00F142B9" w14:paraId="4F088B66" w14:textId="77777777" w:rsidTr="007B530F">
        <w:tc>
          <w:tcPr>
            <w:tcW w:w="1111" w:type="pct"/>
          </w:tcPr>
          <w:p w14:paraId="246EE812" w14:textId="31E96AAA" w:rsidR="00F142B9" w:rsidRDefault="00F142B9" w:rsidP="00F142B9">
            <w:pPr>
              <w:pStyle w:val="APVMATableText"/>
            </w:pPr>
            <w:r>
              <w:t>EUP</w:t>
            </w:r>
          </w:p>
        </w:tc>
        <w:tc>
          <w:tcPr>
            <w:tcW w:w="3889" w:type="pct"/>
          </w:tcPr>
          <w:p w14:paraId="4DC9BA9A" w14:textId="4094EF84" w:rsidR="00F142B9" w:rsidRDefault="00F142B9" w:rsidP="00F142B9">
            <w:pPr>
              <w:pStyle w:val="APVMATableText"/>
            </w:pPr>
            <w:r>
              <w:t>End Use Product</w:t>
            </w:r>
          </w:p>
        </w:tc>
      </w:tr>
      <w:tr w:rsidR="00F142B9" w14:paraId="430C51F4" w14:textId="77777777" w:rsidTr="007B530F">
        <w:tc>
          <w:tcPr>
            <w:tcW w:w="1111" w:type="pct"/>
          </w:tcPr>
          <w:p w14:paraId="15D89FA6" w14:textId="465FF7A9" w:rsidR="00F142B9" w:rsidRDefault="00F142B9" w:rsidP="00F142B9">
            <w:pPr>
              <w:pStyle w:val="APVMATableText"/>
            </w:pPr>
            <w:r>
              <w:t>g</w:t>
            </w:r>
          </w:p>
        </w:tc>
        <w:tc>
          <w:tcPr>
            <w:tcW w:w="3889" w:type="pct"/>
          </w:tcPr>
          <w:p w14:paraId="327163BF" w14:textId="090238B1" w:rsidR="00F142B9" w:rsidRDefault="00F142B9" w:rsidP="00F142B9">
            <w:pPr>
              <w:pStyle w:val="APVMATableText"/>
            </w:pPr>
            <w:r>
              <w:t>gram</w:t>
            </w:r>
          </w:p>
        </w:tc>
      </w:tr>
      <w:tr w:rsidR="00F142B9" w14:paraId="60782AD0" w14:textId="77777777" w:rsidTr="007B530F">
        <w:tc>
          <w:tcPr>
            <w:tcW w:w="1111" w:type="pct"/>
          </w:tcPr>
          <w:p w14:paraId="4AB0E6FD" w14:textId="4B633508" w:rsidR="00F142B9" w:rsidRDefault="00F142B9" w:rsidP="00F142B9">
            <w:pPr>
              <w:pStyle w:val="APVMATableText"/>
            </w:pPr>
            <w:r>
              <w:t>GAP</w:t>
            </w:r>
          </w:p>
        </w:tc>
        <w:tc>
          <w:tcPr>
            <w:tcW w:w="3889" w:type="pct"/>
          </w:tcPr>
          <w:p w14:paraId="7F9A6095" w14:textId="7DD53848" w:rsidR="00F142B9" w:rsidRDefault="00F142B9" w:rsidP="00F142B9">
            <w:pPr>
              <w:pStyle w:val="APVMATableText"/>
            </w:pPr>
            <w:r>
              <w:t>Good Agricultural Practice</w:t>
            </w:r>
          </w:p>
        </w:tc>
      </w:tr>
      <w:tr w:rsidR="00F142B9" w14:paraId="1C9BDFA9" w14:textId="77777777" w:rsidTr="007B530F">
        <w:tc>
          <w:tcPr>
            <w:tcW w:w="1111" w:type="pct"/>
          </w:tcPr>
          <w:p w14:paraId="7D0F62F9" w14:textId="785C8219" w:rsidR="00F142B9" w:rsidRDefault="00F142B9" w:rsidP="00F142B9">
            <w:pPr>
              <w:pStyle w:val="APVMATableText"/>
            </w:pPr>
            <w:r>
              <w:t>GLP</w:t>
            </w:r>
          </w:p>
        </w:tc>
        <w:tc>
          <w:tcPr>
            <w:tcW w:w="3889" w:type="pct"/>
          </w:tcPr>
          <w:p w14:paraId="5254DC7F" w14:textId="36A4BCF5" w:rsidR="00F142B9" w:rsidRDefault="00F142B9" w:rsidP="00F142B9">
            <w:pPr>
              <w:pStyle w:val="APVMATableText"/>
            </w:pPr>
            <w:r>
              <w:t>Good Laboratory Practice</w:t>
            </w:r>
          </w:p>
        </w:tc>
      </w:tr>
      <w:tr w:rsidR="00F142B9" w14:paraId="258B8156" w14:textId="77777777" w:rsidTr="007B530F">
        <w:tc>
          <w:tcPr>
            <w:tcW w:w="1111" w:type="pct"/>
          </w:tcPr>
          <w:p w14:paraId="22E022F9" w14:textId="2119C2FF" w:rsidR="00F142B9" w:rsidRDefault="00F142B9" w:rsidP="00F142B9">
            <w:pPr>
              <w:pStyle w:val="APVMATableText"/>
            </w:pPr>
            <w:r>
              <w:t>ha</w:t>
            </w:r>
          </w:p>
        </w:tc>
        <w:tc>
          <w:tcPr>
            <w:tcW w:w="3889" w:type="pct"/>
          </w:tcPr>
          <w:p w14:paraId="0BAA765D" w14:textId="4EAAB112" w:rsidR="00F142B9" w:rsidRDefault="00F142B9" w:rsidP="00F142B9">
            <w:pPr>
              <w:pStyle w:val="APVMATableText"/>
            </w:pPr>
            <w:r>
              <w:t>hectare</w:t>
            </w:r>
          </w:p>
        </w:tc>
      </w:tr>
      <w:tr w:rsidR="00F142B9" w14:paraId="40686A43" w14:textId="77777777" w:rsidTr="007B530F">
        <w:tc>
          <w:tcPr>
            <w:tcW w:w="1111" w:type="pct"/>
          </w:tcPr>
          <w:p w14:paraId="73ED98E1" w14:textId="191B0ECE" w:rsidR="00F142B9" w:rsidRDefault="00F142B9" w:rsidP="00F142B9">
            <w:pPr>
              <w:pStyle w:val="APVMATableText"/>
            </w:pPr>
            <w:r>
              <w:t>in vitro</w:t>
            </w:r>
          </w:p>
        </w:tc>
        <w:tc>
          <w:tcPr>
            <w:tcW w:w="3889" w:type="pct"/>
          </w:tcPr>
          <w:p w14:paraId="7D0EEB5E" w14:textId="15FB7668" w:rsidR="00F142B9" w:rsidRDefault="00F142B9" w:rsidP="00F142B9">
            <w:pPr>
              <w:pStyle w:val="APVMATableText"/>
            </w:pPr>
            <w:r>
              <w:t>outside the living body and in an artificial environment</w:t>
            </w:r>
          </w:p>
        </w:tc>
      </w:tr>
      <w:tr w:rsidR="00F142B9" w14:paraId="2B3BE23E" w14:textId="77777777" w:rsidTr="007B530F">
        <w:tc>
          <w:tcPr>
            <w:tcW w:w="1111" w:type="pct"/>
          </w:tcPr>
          <w:p w14:paraId="00C16296" w14:textId="1A8457DB" w:rsidR="00F142B9" w:rsidRDefault="00F142B9" w:rsidP="00F142B9">
            <w:pPr>
              <w:pStyle w:val="APVMATableText"/>
            </w:pPr>
            <w:r>
              <w:t>in vivo</w:t>
            </w:r>
          </w:p>
        </w:tc>
        <w:tc>
          <w:tcPr>
            <w:tcW w:w="3889" w:type="pct"/>
          </w:tcPr>
          <w:p w14:paraId="15EFCA98" w14:textId="2F6C9D6C" w:rsidR="00F142B9" w:rsidRDefault="00F142B9" w:rsidP="00F142B9">
            <w:pPr>
              <w:pStyle w:val="APVMATableText"/>
            </w:pPr>
            <w:r>
              <w:t>inside the living body of a plant or animal</w:t>
            </w:r>
          </w:p>
        </w:tc>
      </w:tr>
      <w:tr w:rsidR="00F142B9" w14:paraId="44C1484C" w14:textId="77777777" w:rsidTr="007B530F">
        <w:tc>
          <w:tcPr>
            <w:tcW w:w="1111" w:type="pct"/>
          </w:tcPr>
          <w:p w14:paraId="33632C45" w14:textId="4E652B26" w:rsidR="00F142B9" w:rsidRDefault="00F142B9" w:rsidP="00F142B9">
            <w:pPr>
              <w:pStyle w:val="APVMATableText"/>
            </w:pPr>
            <w:proofErr w:type="spellStart"/>
            <w:r>
              <w:t>K</w:t>
            </w:r>
            <w:r w:rsidRPr="001A6A9A">
              <w:rPr>
                <w:vertAlign w:val="subscript"/>
              </w:rPr>
              <w:t>d</w:t>
            </w:r>
            <w:proofErr w:type="spellEnd"/>
          </w:p>
        </w:tc>
        <w:tc>
          <w:tcPr>
            <w:tcW w:w="3889" w:type="pct"/>
          </w:tcPr>
          <w:p w14:paraId="7EA616B0" w14:textId="06893868" w:rsidR="00F142B9" w:rsidRDefault="00F142B9" w:rsidP="00F142B9">
            <w:pPr>
              <w:pStyle w:val="APVMATableText"/>
            </w:pPr>
            <w:r>
              <w:t>adsorption constant</w:t>
            </w:r>
          </w:p>
        </w:tc>
      </w:tr>
      <w:tr w:rsidR="00F142B9" w14:paraId="3CEA1425" w14:textId="77777777" w:rsidTr="007B530F">
        <w:tc>
          <w:tcPr>
            <w:tcW w:w="1111" w:type="pct"/>
          </w:tcPr>
          <w:p w14:paraId="45FF727C" w14:textId="616A5A13" w:rsidR="00F142B9" w:rsidRDefault="00F142B9" w:rsidP="00F142B9">
            <w:pPr>
              <w:pStyle w:val="APVMATableText"/>
            </w:pPr>
            <w:proofErr w:type="spellStart"/>
            <w:r>
              <w:t>K</w:t>
            </w:r>
            <w:r w:rsidRPr="001A6A9A">
              <w:rPr>
                <w:vertAlign w:val="subscript"/>
              </w:rPr>
              <w:t>f</w:t>
            </w:r>
            <w:proofErr w:type="spellEnd"/>
          </w:p>
        </w:tc>
        <w:tc>
          <w:tcPr>
            <w:tcW w:w="3889" w:type="pct"/>
          </w:tcPr>
          <w:p w14:paraId="73D7E7F2" w14:textId="6E8E786A" w:rsidR="00F142B9" w:rsidRDefault="00F142B9" w:rsidP="00F142B9">
            <w:pPr>
              <w:pStyle w:val="APVMATableText"/>
            </w:pPr>
            <w:proofErr w:type="spellStart"/>
            <w:r w:rsidRPr="001A6A9A">
              <w:t>Freundlich</w:t>
            </w:r>
            <w:proofErr w:type="spellEnd"/>
            <w:r w:rsidRPr="001A6A9A">
              <w:t xml:space="preserve"> absorption coefficient</w:t>
            </w:r>
          </w:p>
        </w:tc>
      </w:tr>
      <w:tr w:rsidR="00F142B9" w14:paraId="043F383C" w14:textId="77777777" w:rsidTr="007B530F">
        <w:tc>
          <w:tcPr>
            <w:tcW w:w="1111" w:type="pct"/>
          </w:tcPr>
          <w:p w14:paraId="7B139233" w14:textId="3E005F68" w:rsidR="00F142B9" w:rsidRDefault="00F142B9" w:rsidP="00F142B9">
            <w:pPr>
              <w:pStyle w:val="APVMATableText"/>
            </w:pPr>
            <w:proofErr w:type="spellStart"/>
            <w:r>
              <w:t>K</w:t>
            </w:r>
            <w:r w:rsidRPr="001A6A9A">
              <w:rPr>
                <w:vertAlign w:val="subscript"/>
              </w:rPr>
              <w:t>f,oc</w:t>
            </w:r>
            <w:proofErr w:type="spellEnd"/>
          </w:p>
        </w:tc>
        <w:tc>
          <w:tcPr>
            <w:tcW w:w="3889" w:type="pct"/>
          </w:tcPr>
          <w:p w14:paraId="38DCA8A9" w14:textId="0052871B" w:rsidR="00F142B9" w:rsidRDefault="00F142B9" w:rsidP="00F142B9">
            <w:pPr>
              <w:pStyle w:val="APVMATableText"/>
            </w:pPr>
            <w:proofErr w:type="spellStart"/>
            <w:r w:rsidRPr="001A6A9A">
              <w:t>Freundlich</w:t>
            </w:r>
            <w:proofErr w:type="spellEnd"/>
            <w:r w:rsidRPr="001A6A9A">
              <w:t xml:space="preserve"> organic carbon absorption coefficient</w:t>
            </w:r>
          </w:p>
        </w:tc>
      </w:tr>
      <w:tr w:rsidR="00F142B9" w14:paraId="0160ADE3" w14:textId="77777777" w:rsidTr="007B530F">
        <w:tc>
          <w:tcPr>
            <w:tcW w:w="1111" w:type="pct"/>
          </w:tcPr>
          <w:p w14:paraId="085D0B4D" w14:textId="51F5DB9A" w:rsidR="00F142B9" w:rsidRDefault="00F142B9" w:rsidP="00F142B9">
            <w:pPr>
              <w:pStyle w:val="APVMATableText"/>
            </w:pPr>
            <w:r>
              <w:t>kg</w:t>
            </w:r>
          </w:p>
        </w:tc>
        <w:tc>
          <w:tcPr>
            <w:tcW w:w="3889" w:type="pct"/>
          </w:tcPr>
          <w:p w14:paraId="7487309B" w14:textId="0D04495E" w:rsidR="00F142B9" w:rsidRDefault="00F142B9" w:rsidP="00F142B9">
            <w:pPr>
              <w:pStyle w:val="APVMATableText"/>
            </w:pPr>
            <w:r>
              <w:t>kilogram</w:t>
            </w:r>
          </w:p>
        </w:tc>
      </w:tr>
      <w:tr w:rsidR="00F142B9" w14:paraId="24AA0CD3" w14:textId="77777777" w:rsidTr="007B530F">
        <w:tc>
          <w:tcPr>
            <w:tcW w:w="1111" w:type="pct"/>
          </w:tcPr>
          <w:p w14:paraId="74FB8F70" w14:textId="14E1B69B" w:rsidR="00F142B9" w:rsidRDefault="00F142B9" w:rsidP="00F142B9">
            <w:pPr>
              <w:pStyle w:val="APVMATableText"/>
            </w:pPr>
            <w:r>
              <w:t>K</w:t>
            </w:r>
            <w:r w:rsidRPr="009A5578">
              <w:rPr>
                <w:vertAlign w:val="subscript"/>
              </w:rPr>
              <w:t>OC</w:t>
            </w:r>
          </w:p>
        </w:tc>
        <w:tc>
          <w:tcPr>
            <w:tcW w:w="3889" w:type="pct"/>
          </w:tcPr>
          <w:p w14:paraId="71BAC1CF" w14:textId="203261BA" w:rsidR="00F142B9" w:rsidRDefault="00F142B9" w:rsidP="00F142B9">
            <w:pPr>
              <w:pStyle w:val="APVMATableText"/>
            </w:pPr>
            <w:r>
              <w:t>organic carbon partitioning coefficient</w:t>
            </w:r>
          </w:p>
        </w:tc>
      </w:tr>
      <w:tr w:rsidR="00F142B9" w14:paraId="5FB18F1B" w14:textId="77777777" w:rsidTr="007B530F">
        <w:tc>
          <w:tcPr>
            <w:tcW w:w="1111" w:type="pct"/>
          </w:tcPr>
          <w:p w14:paraId="2ABAC06A" w14:textId="5902546C" w:rsidR="00F142B9" w:rsidRDefault="00F142B9" w:rsidP="00F142B9">
            <w:pPr>
              <w:pStyle w:val="APVMATableText"/>
            </w:pPr>
            <w:r>
              <w:t>L</w:t>
            </w:r>
          </w:p>
        </w:tc>
        <w:tc>
          <w:tcPr>
            <w:tcW w:w="3889" w:type="pct"/>
          </w:tcPr>
          <w:p w14:paraId="59745A1A" w14:textId="0EEBB3FC" w:rsidR="00F142B9" w:rsidRDefault="00F142B9" w:rsidP="00F142B9">
            <w:pPr>
              <w:pStyle w:val="APVMATableText"/>
            </w:pPr>
            <w:r>
              <w:t>Litre</w:t>
            </w:r>
          </w:p>
        </w:tc>
      </w:tr>
      <w:tr w:rsidR="00F142B9" w14:paraId="40F52ABA" w14:textId="77777777" w:rsidTr="007B530F">
        <w:tc>
          <w:tcPr>
            <w:tcW w:w="1111" w:type="pct"/>
          </w:tcPr>
          <w:p w14:paraId="39CBDBB8" w14:textId="1F5EE0D8" w:rsidR="00F142B9" w:rsidRDefault="00F142B9" w:rsidP="00F142B9">
            <w:pPr>
              <w:pStyle w:val="APVMATableText"/>
            </w:pPr>
            <w:r>
              <w:t>LC</w:t>
            </w:r>
            <w:r>
              <w:rPr>
                <w:vertAlign w:val="subscript"/>
              </w:rPr>
              <w:t>50</w:t>
            </w:r>
          </w:p>
        </w:tc>
        <w:tc>
          <w:tcPr>
            <w:tcW w:w="3889" w:type="pct"/>
          </w:tcPr>
          <w:p w14:paraId="5CB904AC" w14:textId="4C4FE7EB" w:rsidR="00F142B9" w:rsidRDefault="00EA2FEF" w:rsidP="00F142B9">
            <w:pPr>
              <w:pStyle w:val="APVMATableText"/>
            </w:pPr>
            <w:r>
              <w:t>concentration that kills 50 per cent</w:t>
            </w:r>
            <w:r w:rsidR="00F142B9">
              <w:t xml:space="preserve"> of the test population of organisms</w:t>
            </w:r>
          </w:p>
        </w:tc>
      </w:tr>
      <w:tr w:rsidR="00F142B9" w14:paraId="116225DA" w14:textId="77777777" w:rsidTr="007B530F">
        <w:tc>
          <w:tcPr>
            <w:tcW w:w="1111" w:type="pct"/>
          </w:tcPr>
          <w:p w14:paraId="1874FF29" w14:textId="5CB7BAE5" w:rsidR="00F142B9" w:rsidRDefault="00F142B9" w:rsidP="00F142B9">
            <w:pPr>
              <w:pStyle w:val="APVMATableText"/>
            </w:pPr>
            <w:r>
              <w:lastRenderedPageBreak/>
              <w:t>LD</w:t>
            </w:r>
            <w:r>
              <w:rPr>
                <w:vertAlign w:val="subscript"/>
              </w:rPr>
              <w:t>50</w:t>
            </w:r>
          </w:p>
        </w:tc>
        <w:tc>
          <w:tcPr>
            <w:tcW w:w="3889" w:type="pct"/>
          </w:tcPr>
          <w:p w14:paraId="5B6D7659" w14:textId="308AC485" w:rsidR="00F142B9" w:rsidRDefault="00F142B9" w:rsidP="00F142B9">
            <w:pPr>
              <w:pStyle w:val="APVMATableText"/>
            </w:pPr>
            <w:r>
              <w:t>d</w:t>
            </w:r>
            <w:r w:rsidR="00EA2FEF">
              <w:t>osage of chemical that kills 50 per cent</w:t>
            </w:r>
            <w:r>
              <w:t xml:space="preserve"> of the test population of organisms</w:t>
            </w:r>
          </w:p>
        </w:tc>
      </w:tr>
      <w:tr w:rsidR="00F142B9" w14:paraId="18A0E29D" w14:textId="77777777" w:rsidTr="007B530F">
        <w:tc>
          <w:tcPr>
            <w:tcW w:w="1111" w:type="pct"/>
          </w:tcPr>
          <w:p w14:paraId="7D52D6C9" w14:textId="7AF5A579" w:rsidR="00F142B9" w:rsidRDefault="00F142B9" w:rsidP="00F142B9">
            <w:pPr>
              <w:pStyle w:val="APVMATableText"/>
            </w:pPr>
            <w:r>
              <w:t>LOD</w:t>
            </w:r>
          </w:p>
        </w:tc>
        <w:tc>
          <w:tcPr>
            <w:tcW w:w="3889" w:type="pct"/>
          </w:tcPr>
          <w:p w14:paraId="6E06DEDE" w14:textId="15860CBF" w:rsidR="00F142B9" w:rsidRDefault="00F142B9" w:rsidP="00D77AF5">
            <w:pPr>
              <w:pStyle w:val="APVMATableText"/>
            </w:pPr>
            <w:r>
              <w:t>Limit of Detection–level at which residues can be detected</w:t>
            </w:r>
          </w:p>
        </w:tc>
      </w:tr>
      <w:tr w:rsidR="00F142B9" w14:paraId="55F61571" w14:textId="77777777" w:rsidTr="007B530F">
        <w:tc>
          <w:tcPr>
            <w:tcW w:w="1111" w:type="pct"/>
          </w:tcPr>
          <w:p w14:paraId="6F224D2A" w14:textId="7AC6ECD8" w:rsidR="00F142B9" w:rsidRDefault="00F142B9" w:rsidP="00F142B9">
            <w:pPr>
              <w:pStyle w:val="APVMATableText"/>
            </w:pPr>
            <w:r>
              <w:t>Log K</w:t>
            </w:r>
            <w:r w:rsidRPr="009A5578">
              <w:rPr>
                <w:vertAlign w:val="subscript"/>
              </w:rPr>
              <w:t>OW</w:t>
            </w:r>
          </w:p>
        </w:tc>
        <w:tc>
          <w:tcPr>
            <w:tcW w:w="3889" w:type="pct"/>
          </w:tcPr>
          <w:p w14:paraId="11F743F0" w14:textId="0EE6D44E" w:rsidR="00F142B9" w:rsidRDefault="00F142B9" w:rsidP="00F142B9">
            <w:pPr>
              <w:pStyle w:val="APVMATableText"/>
            </w:pPr>
            <w:r>
              <w:t>Log to base 10 of octanol water partitioning co-efficient, synonym P</w:t>
            </w:r>
            <w:r w:rsidRPr="009A5578">
              <w:rPr>
                <w:vertAlign w:val="subscript"/>
              </w:rPr>
              <w:t>OW</w:t>
            </w:r>
          </w:p>
        </w:tc>
      </w:tr>
      <w:tr w:rsidR="00F142B9" w14:paraId="7318C973" w14:textId="77777777" w:rsidTr="007B530F">
        <w:tc>
          <w:tcPr>
            <w:tcW w:w="1111" w:type="pct"/>
          </w:tcPr>
          <w:p w14:paraId="5CA18649" w14:textId="5A86133A" w:rsidR="00F142B9" w:rsidRDefault="00F142B9" w:rsidP="00F142B9">
            <w:pPr>
              <w:pStyle w:val="APVMATableText"/>
            </w:pPr>
            <w:r>
              <w:t>LOQ</w:t>
            </w:r>
          </w:p>
        </w:tc>
        <w:tc>
          <w:tcPr>
            <w:tcW w:w="3889" w:type="pct"/>
          </w:tcPr>
          <w:p w14:paraId="3BA9907C" w14:textId="31658EA0" w:rsidR="00F142B9" w:rsidRDefault="00F142B9" w:rsidP="00D77AF5">
            <w:pPr>
              <w:pStyle w:val="APVMATableText"/>
            </w:pPr>
            <w:r>
              <w:t>Limit of Quantitation–level at which residues can be quantified</w:t>
            </w:r>
          </w:p>
        </w:tc>
      </w:tr>
      <w:tr w:rsidR="00F142B9" w14:paraId="34EE5A7F" w14:textId="77777777" w:rsidTr="007B530F">
        <w:tc>
          <w:tcPr>
            <w:tcW w:w="1111" w:type="pct"/>
          </w:tcPr>
          <w:p w14:paraId="18F529E8" w14:textId="1E739986" w:rsidR="00F142B9" w:rsidRDefault="00F142B9" w:rsidP="00F142B9">
            <w:pPr>
              <w:pStyle w:val="APVMATableText"/>
            </w:pPr>
            <w:r>
              <w:t>mg</w:t>
            </w:r>
          </w:p>
        </w:tc>
        <w:tc>
          <w:tcPr>
            <w:tcW w:w="3889" w:type="pct"/>
          </w:tcPr>
          <w:p w14:paraId="105556C4" w14:textId="3B947701" w:rsidR="00F142B9" w:rsidRDefault="00F142B9" w:rsidP="00F142B9">
            <w:pPr>
              <w:pStyle w:val="APVMATableText"/>
            </w:pPr>
            <w:r>
              <w:t>milligram</w:t>
            </w:r>
          </w:p>
        </w:tc>
      </w:tr>
      <w:tr w:rsidR="00F142B9" w14:paraId="6553C98F" w14:textId="77777777" w:rsidTr="007B530F">
        <w:tc>
          <w:tcPr>
            <w:tcW w:w="1111" w:type="pct"/>
          </w:tcPr>
          <w:p w14:paraId="371283F1" w14:textId="0A28A0D5" w:rsidR="00F142B9" w:rsidRDefault="00F142B9" w:rsidP="00F142B9">
            <w:pPr>
              <w:pStyle w:val="APVMATableText"/>
            </w:pPr>
            <w:r>
              <w:t>mL</w:t>
            </w:r>
          </w:p>
        </w:tc>
        <w:tc>
          <w:tcPr>
            <w:tcW w:w="3889" w:type="pct"/>
          </w:tcPr>
          <w:p w14:paraId="5C5C8B2B" w14:textId="72470471" w:rsidR="00F142B9" w:rsidRDefault="00F142B9" w:rsidP="00F142B9">
            <w:pPr>
              <w:pStyle w:val="APVMATableText"/>
            </w:pPr>
            <w:r>
              <w:t>millilitre</w:t>
            </w:r>
          </w:p>
        </w:tc>
      </w:tr>
      <w:tr w:rsidR="00F142B9" w14:paraId="06AA9D7A" w14:textId="77777777" w:rsidTr="007B530F">
        <w:tc>
          <w:tcPr>
            <w:tcW w:w="1111" w:type="pct"/>
          </w:tcPr>
          <w:p w14:paraId="5A686417" w14:textId="0A3AA589" w:rsidR="00F142B9" w:rsidRDefault="00F142B9" w:rsidP="00F142B9">
            <w:pPr>
              <w:pStyle w:val="APVMATableText"/>
            </w:pPr>
            <w:r>
              <w:t>MRL</w:t>
            </w:r>
          </w:p>
        </w:tc>
        <w:tc>
          <w:tcPr>
            <w:tcW w:w="3889" w:type="pct"/>
          </w:tcPr>
          <w:p w14:paraId="71D4AAD5" w14:textId="5179F912" w:rsidR="00F142B9" w:rsidRDefault="00F142B9" w:rsidP="00F142B9">
            <w:pPr>
              <w:pStyle w:val="APVMATableText"/>
            </w:pPr>
            <w:r>
              <w:t>Maximum Residue Limit</w:t>
            </w:r>
          </w:p>
        </w:tc>
      </w:tr>
      <w:tr w:rsidR="00F142B9" w14:paraId="17D6ABEB" w14:textId="77777777" w:rsidTr="007B530F">
        <w:tc>
          <w:tcPr>
            <w:tcW w:w="1111" w:type="pct"/>
          </w:tcPr>
          <w:p w14:paraId="5A67FA9B" w14:textId="16BD50B2" w:rsidR="00F142B9" w:rsidRDefault="00F142B9" w:rsidP="00F142B9">
            <w:pPr>
              <w:pStyle w:val="APVMATableText"/>
            </w:pPr>
            <w:r>
              <w:t>NEDI</w:t>
            </w:r>
          </w:p>
        </w:tc>
        <w:tc>
          <w:tcPr>
            <w:tcW w:w="3889" w:type="pct"/>
          </w:tcPr>
          <w:p w14:paraId="6205E95E" w14:textId="1FA18343" w:rsidR="00F142B9" w:rsidRDefault="00F142B9" w:rsidP="00F142B9">
            <w:pPr>
              <w:pStyle w:val="APVMATableText"/>
            </w:pPr>
            <w:r>
              <w:t>National Estimated Daily Intake</w:t>
            </w:r>
          </w:p>
        </w:tc>
      </w:tr>
      <w:tr w:rsidR="00F142B9" w14:paraId="0B82AA97" w14:textId="77777777" w:rsidTr="007B530F">
        <w:tc>
          <w:tcPr>
            <w:tcW w:w="1111" w:type="pct"/>
          </w:tcPr>
          <w:p w14:paraId="218E1803" w14:textId="2387E1A7" w:rsidR="00F142B9" w:rsidRDefault="00F142B9" w:rsidP="00F142B9">
            <w:pPr>
              <w:pStyle w:val="APVMATableText"/>
            </w:pPr>
            <w:r>
              <w:t>NESTI</w:t>
            </w:r>
          </w:p>
        </w:tc>
        <w:tc>
          <w:tcPr>
            <w:tcW w:w="3889" w:type="pct"/>
          </w:tcPr>
          <w:p w14:paraId="633BE30F" w14:textId="27749503" w:rsidR="00F142B9" w:rsidRDefault="00F142B9" w:rsidP="00F142B9">
            <w:pPr>
              <w:pStyle w:val="APVMATableText"/>
            </w:pPr>
            <w:r>
              <w:t>National Estimated Short Term Intake</w:t>
            </w:r>
          </w:p>
        </w:tc>
      </w:tr>
      <w:tr w:rsidR="00F142B9" w14:paraId="7B13D437" w14:textId="77777777" w:rsidTr="007B530F">
        <w:tc>
          <w:tcPr>
            <w:tcW w:w="1111" w:type="pct"/>
          </w:tcPr>
          <w:p w14:paraId="2ED72B2A" w14:textId="1C72FC31" w:rsidR="00F142B9" w:rsidRDefault="00F142B9" w:rsidP="00F142B9">
            <w:pPr>
              <w:pStyle w:val="APVMATableText"/>
              <w:rPr>
                <w:i/>
              </w:rPr>
            </w:pPr>
            <w:r>
              <w:t>NOEC/NOEL</w:t>
            </w:r>
          </w:p>
        </w:tc>
        <w:tc>
          <w:tcPr>
            <w:tcW w:w="3889" w:type="pct"/>
          </w:tcPr>
          <w:p w14:paraId="0F9FA89A" w14:textId="2BCDB404" w:rsidR="00F142B9" w:rsidRDefault="00F142B9" w:rsidP="00F142B9">
            <w:pPr>
              <w:pStyle w:val="APVMATableText"/>
            </w:pPr>
            <w:r>
              <w:t>No Observable Effect Concentration Level</w:t>
            </w:r>
          </w:p>
        </w:tc>
      </w:tr>
      <w:tr w:rsidR="00F142B9" w14:paraId="10BA756E" w14:textId="77777777" w:rsidTr="007B530F">
        <w:tc>
          <w:tcPr>
            <w:tcW w:w="1111" w:type="pct"/>
          </w:tcPr>
          <w:p w14:paraId="42C12BA1" w14:textId="78BEAB98" w:rsidR="00F142B9" w:rsidRDefault="00F142B9" w:rsidP="00F142B9">
            <w:pPr>
              <w:pStyle w:val="APVMATableText"/>
            </w:pPr>
            <w:r>
              <w:t>NOEL</w:t>
            </w:r>
          </w:p>
        </w:tc>
        <w:tc>
          <w:tcPr>
            <w:tcW w:w="3889" w:type="pct"/>
          </w:tcPr>
          <w:p w14:paraId="07B39DD4" w14:textId="6EC1A1BC" w:rsidR="00F142B9" w:rsidRDefault="00F142B9" w:rsidP="00F142B9">
            <w:pPr>
              <w:pStyle w:val="APVMATableText"/>
            </w:pPr>
            <w:r>
              <w:t>N</w:t>
            </w:r>
            <w:r w:rsidRPr="001A6A9A">
              <w:t>o observable effect concentration</w:t>
            </w:r>
          </w:p>
        </w:tc>
      </w:tr>
      <w:tr w:rsidR="00F142B9" w14:paraId="6ED7C26A" w14:textId="77777777" w:rsidTr="007B530F">
        <w:tc>
          <w:tcPr>
            <w:tcW w:w="1111" w:type="pct"/>
          </w:tcPr>
          <w:p w14:paraId="5C37C544" w14:textId="1A683487" w:rsidR="00F142B9" w:rsidRDefault="00F142B9" w:rsidP="00F142B9">
            <w:pPr>
              <w:pStyle w:val="APVMATableText"/>
            </w:pPr>
            <w:r>
              <w:t>NOAEL</w:t>
            </w:r>
          </w:p>
        </w:tc>
        <w:tc>
          <w:tcPr>
            <w:tcW w:w="3889" w:type="pct"/>
          </w:tcPr>
          <w:p w14:paraId="6297A668" w14:textId="52D904DF" w:rsidR="00F142B9" w:rsidRDefault="00F142B9" w:rsidP="00F142B9">
            <w:pPr>
              <w:pStyle w:val="APVMATableText"/>
            </w:pPr>
            <w:r>
              <w:t>No Observed Adverse Effect Level</w:t>
            </w:r>
          </w:p>
        </w:tc>
      </w:tr>
      <w:tr w:rsidR="00F142B9" w14:paraId="1DAEF46D" w14:textId="77777777" w:rsidTr="007B530F">
        <w:tc>
          <w:tcPr>
            <w:tcW w:w="1111" w:type="pct"/>
          </w:tcPr>
          <w:p w14:paraId="664A4628" w14:textId="1A552A65" w:rsidR="00F142B9" w:rsidRDefault="00F142B9" w:rsidP="00F142B9">
            <w:pPr>
              <w:pStyle w:val="APVMATableText"/>
            </w:pPr>
            <w:r>
              <w:t>pF2</w:t>
            </w:r>
          </w:p>
        </w:tc>
        <w:tc>
          <w:tcPr>
            <w:tcW w:w="3889" w:type="pct"/>
          </w:tcPr>
          <w:p w14:paraId="4A724ADE" w14:textId="7A7A8847" w:rsidR="00F142B9" w:rsidRDefault="00F142B9" w:rsidP="00F142B9">
            <w:pPr>
              <w:pStyle w:val="APVMATableText"/>
            </w:pPr>
            <w:r>
              <w:t>r</w:t>
            </w:r>
            <w:r w:rsidRPr="00F13B35">
              <w:t>eference condition for soil moisture, field capacity 10kPa</w:t>
            </w:r>
          </w:p>
        </w:tc>
      </w:tr>
      <w:tr w:rsidR="00F142B9" w14:paraId="53027565" w14:textId="77777777" w:rsidTr="007B530F">
        <w:tc>
          <w:tcPr>
            <w:tcW w:w="1111" w:type="pct"/>
          </w:tcPr>
          <w:p w14:paraId="5BE3C1E7" w14:textId="0EBA5A40" w:rsidR="00F142B9" w:rsidRDefault="00F142B9" w:rsidP="00F142B9">
            <w:pPr>
              <w:pStyle w:val="APVMATableText"/>
            </w:pPr>
            <w:r>
              <w:t>PPE</w:t>
            </w:r>
          </w:p>
        </w:tc>
        <w:tc>
          <w:tcPr>
            <w:tcW w:w="3889" w:type="pct"/>
          </w:tcPr>
          <w:p w14:paraId="4B929F9F" w14:textId="0CCC5410" w:rsidR="00F142B9" w:rsidRDefault="00F142B9" w:rsidP="00F142B9">
            <w:pPr>
              <w:pStyle w:val="APVMATableText"/>
            </w:pPr>
            <w:r>
              <w:t>Personal Protective Equipment</w:t>
            </w:r>
          </w:p>
        </w:tc>
      </w:tr>
      <w:tr w:rsidR="00F142B9" w14:paraId="3733CB96" w14:textId="77777777" w:rsidTr="007B530F">
        <w:tc>
          <w:tcPr>
            <w:tcW w:w="1111" w:type="pct"/>
          </w:tcPr>
          <w:p w14:paraId="205E8D58" w14:textId="41CFB9A1" w:rsidR="00F142B9" w:rsidRDefault="00F142B9" w:rsidP="00F142B9">
            <w:pPr>
              <w:pStyle w:val="APVMATableText"/>
            </w:pPr>
            <w:r>
              <w:t>SC</w:t>
            </w:r>
          </w:p>
        </w:tc>
        <w:tc>
          <w:tcPr>
            <w:tcW w:w="3889" w:type="pct"/>
          </w:tcPr>
          <w:p w14:paraId="666120CA" w14:textId="03FB1390" w:rsidR="00F142B9" w:rsidRDefault="00F142B9" w:rsidP="00F142B9">
            <w:pPr>
              <w:pStyle w:val="APVMATableText"/>
            </w:pPr>
            <w:r>
              <w:t>Suspension Concentrate</w:t>
            </w:r>
          </w:p>
        </w:tc>
      </w:tr>
      <w:tr w:rsidR="00F142B9" w14:paraId="3FBF312C" w14:textId="77777777" w:rsidTr="007B530F">
        <w:tc>
          <w:tcPr>
            <w:tcW w:w="1111" w:type="pct"/>
          </w:tcPr>
          <w:p w14:paraId="59160A0A" w14:textId="354F4434" w:rsidR="00F142B9" w:rsidRDefault="00F142B9" w:rsidP="00F142B9">
            <w:pPr>
              <w:pStyle w:val="APVMATableText"/>
              <w:rPr>
                <w:i/>
              </w:rPr>
            </w:pPr>
            <w:r>
              <w:t>SE</w:t>
            </w:r>
          </w:p>
        </w:tc>
        <w:tc>
          <w:tcPr>
            <w:tcW w:w="3889" w:type="pct"/>
          </w:tcPr>
          <w:p w14:paraId="3D8C0596" w14:textId="1FAFE141" w:rsidR="00F142B9" w:rsidRDefault="00F142B9" w:rsidP="00F142B9">
            <w:pPr>
              <w:pStyle w:val="APVMATableText"/>
            </w:pPr>
            <w:proofErr w:type="spellStart"/>
            <w:r>
              <w:t>S</w:t>
            </w:r>
            <w:r w:rsidRPr="00F13B35">
              <w:t>uspo</w:t>
            </w:r>
            <w:proofErr w:type="spellEnd"/>
            <w:r w:rsidRPr="00F13B35">
              <w:t>-emulsion</w:t>
            </w:r>
          </w:p>
        </w:tc>
      </w:tr>
      <w:tr w:rsidR="00F142B9" w14:paraId="343BDE4C" w14:textId="77777777" w:rsidTr="007B530F">
        <w:tc>
          <w:tcPr>
            <w:tcW w:w="1111" w:type="pct"/>
          </w:tcPr>
          <w:p w14:paraId="24CE2B1F" w14:textId="28CBF0C8" w:rsidR="00F142B9" w:rsidRDefault="00F142B9" w:rsidP="00F142B9">
            <w:pPr>
              <w:pStyle w:val="APVMATableText"/>
            </w:pPr>
            <w:r>
              <w:t>SUSMP</w:t>
            </w:r>
          </w:p>
        </w:tc>
        <w:tc>
          <w:tcPr>
            <w:tcW w:w="3889" w:type="pct"/>
          </w:tcPr>
          <w:p w14:paraId="1458F857" w14:textId="78B46726" w:rsidR="00F142B9" w:rsidRDefault="00F142B9" w:rsidP="00F142B9">
            <w:pPr>
              <w:pStyle w:val="APVMATableText"/>
            </w:pPr>
            <w:r>
              <w:t>Standard for the Uniform Scheduling of Medicines and Poisons</w:t>
            </w:r>
          </w:p>
        </w:tc>
      </w:tr>
      <w:tr w:rsidR="00F142B9" w14:paraId="4BCA55F3" w14:textId="77777777" w:rsidTr="007B530F">
        <w:tc>
          <w:tcPr>
            <w:tcW w:w="1111" w:type="pct"/>
          </w:tcPr>
          <w:p w14:paraId="77CBE864" w14:textId="03DA1F96" w:rsidR="00F142B9" w:rsidRDefault="00F142B9" w:rsidP="00F142B9">
            <w:pPr>
              <w:pStyle w:val="APVMATableText"/>
            </w:pPr>
            <w:r>
              <w:t>TGAI</w:t>
            </w:r>
          </w:p>
        </w:tc>
        <w:tc>
          <w:tcPr>
            <w:tcW w:w="3889" w:type="pct"/>
          </w:tcPr>
          <w:p w14:paraId="649F3BE9" w14:textId="603CC6B8" w:rsidR="00F142B9" w:rsidRDefault="00F142B9" w:rsidP="00F142B9">
            <w:pPr>
              <w:pStyle w:val="APVMATableText"/>
            </w:pPr>
            <w:r>
              <w:t>technical grade active ingredient</w:t>
            </w:r>
          </w:p>
        </w:tc>
      </w:tr>
      <w:tr w:rsidR="00F142B9" w14:paraId="75AD3A4B" w14:textId="77777777" w:rsidTr="007B530F">
        <w:tc>
          <w:tcPr>
            <w:tcW w:w="1111" w:type="pct"/>
          </w:tcPr>
          <w:p w14:paraId="2C50323B" w14:textId="255B685B" w:rsidR="00F142B9" w:rsidRDefault="00F142B9" w:rsidP="00F142B9">
            <w:pPr>
              <w:pStyle w:val="APVMATableText"/>
            </w:pPr>
            <w:r>
              <w:t>TRR</w:t>
            </w:r>
          </w:p>
        </w:tc>
        <w:tc>
          <w:tcPr>
            <w:tcW w:w="3889" w:type="pct"/>
          </w:tcPr>
          <w:p w14:paraId="1BA3CAF1" w14:textId="4550DBF3" w:rsidR="00F142B9" w:rsidRDefault="00F142B9" w:rsidP="00F142B9">
            <w:pPr>
              <w:pStyle w:val="APVMATableText"/>
            </w:pPr>
            <w:r>
              <w:t>t</w:t>
            </w:r>
            <w:r w:rsidRPr="00987E7D">
              <w:t>otal radioactive residues (TRR</w:t>
            </w:r>
          </w:p>
        </w:tc>
      </w:tr>
      <w:tr w:rsidR="00F142B9" w14:paraId="151EF647" w14:textId="77777777" w:rsidTr="007B530F">
        <w:tc>
          <w:tcPr>
            <w:tcW w:w="1111" w:type="pct"/>
          </w:tcPr>
          <w:p w14:paraId="11A238AC" w14:textId="5796F09D" w:rsidR="00F142B9" w:rsidRDefault="00F142B9" w:rsidP="00F142B9">
            <w:pPr>
              <w:pStyle w:val="APVMATableText"/>
            </w:pPr>
            <w:r>
              <w:rPr>
                <w:lang w:val="en-GB"/>
              </w:rPr>
              <w:t>WHP</w:t>
            </w:r>
          </w:p>
        </w:tc>
        <w:tc>
          <w:tcPr>
            <w:tcW w:w="3889" w:type="pct"/>
          </w:tcPr>
          <w:p w14:paraId="1764E7D8" w14:textId="25A1ED28" w:rsidR="00F142B9" w:rsidRDefault="00F142B9" w:rsidP="00F142B9">
            <w:pPr>
              <w:pStyle w:val="APVMATableText"/>
            </w:pPr>
            <w:r>
              <w:rPr>
                <w:lang w:val="en-GB"/>
              </w:rPr>
              <w:t>Withholding Period</w:t>
            </w:r>
          </w:p>
        </w:tc>
      </w:tr>
    </w:tbl>
    <w:p w14:paraId="6FE0C951" w14:textId="77777777" w:rsidR="00F27E0D" w:rsidRDefault="00F27E0D">
      <w:pPr>
        <w:pStyle w:val="APVMAText"/>
        <w:tabs>
          <w:tab w:val="left" w:pos="1361"/>
        </w:tabs>
        <w:sectPr w:rsidR="00F27E0D">
          <w:headerReference w:type="default" r:id="rId49"/>
          <w:pgSz w:w="11906" w:h="16838" w:code="9"/>
          <w:pgMar w:top="2835" w:right="1134" w:bottom="1134" w:left="1134" w:header="1701" w:footer="680" w:gutter="0"/>
          <w:cols w:space="708"/>
          <w:docGrid w:linePitch="360"/>
        </w:sectPr>
      </w:pPr>
    </w:p>
    <w:p w14:paraId="1D9828DB" w14:textId="0198BB51" w:rsidR="00F27E0D" w:rsidRDefault="00F27E0D" w:rsidP="007B530F">
      <w:pPr>
        <w:pStyle w:val="APVMAAppendices"/>
        <w:spacing w:after="240"/>
      </w:pPr>
      <w:bookmarkStart w:id="67" w:name="_Toc6472857"/>
      <w:r>
        <w:rPr>
          <w:lang w:val="en-GB"/>
        </w:rPr>
        <w:lastRenderedPageBreak/>
        <w:t>Glossary</w:t>
      </w:r>
      <w:bookmarkEnd w:id="43"/>
      <w:bookmarkEnd w:id="67"/>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F142B9" w14:paraId="19072765" w14:textId="77777777" w:rsidTr="004F0A8F">
        <w:tc>
          <w:tcPr>
            <w:tcW w:w="1132" w:type="pct"/>
          </w:tcPr>
          <w:p w14:paraId="28434DB3" w14:textId="7D852CA3" w:rsidR="00F142B9" w:rsidRDefault="00F142B9" w:rsidP="00F142B9">
            <w:pPr>
              <w:pStyle w:val="APVMATableText"/>
            </w:pPr>
            <w:r>
              <w:t>Active constituent</w:t>
            </w:r>
          </w:p>
        </w:tc>
        <w:tc>
          <w:tcPr>
            <w:tcW w:w="3868" w:type="pct"/>
          </w:tcPr>
          <w:p w14:paraId="39089349" w14:textId="36EC76B1" w:rsidR="00F142B9" w:rsidRDefault="00F142B9" w:rsidP="00F142B9">
            <w:pPr>
              <w:pStyle w:val="APVMATableText"/>
            </w:pPr>
            <w:r>
              <w:t>The substance that is primarily responsible for the effect produced by a chemical product</w:t>
            </w:r>
          </w:p>
        </w:tc>
      </w:tr>
      <w:tr w:rsidR="00F142B9" w14:paraId="3A0F676E" w14:textId="77777777" w:rsidTr="004F0A8F">
        <w:tc>
          <w:tcPr>
            <w:tcW w:w="1132" w:type="pct"/>
          </w:tcPr>
          <w:p w14:paraId="427F194B" w14:textId="0EA8AE45" w:rsidR="00F142B9" w:rsidRDefault="00F142B9" w:rsidP="00F142B9">
            <w:pPr>
              <w:pStyle w:val="APVMATableText"/>
            </w:pPr>
            <w:r>
              <w:t>Acute</w:t>
            </w:r>
          </w:p>
        </w:tc>
        <w:tc>
          <w:tcPr>
            <w:tcW w:w="3868" w:type="pct"/>
          </w:tcPr>
          <w:p w14:paraId="20FA36A7" w14:textId="3AA3A904" w:rsidR="00F142B9" w:rsidRDefault="00F142B9" w:rsidP="00F142B9">
            <w:pPr>
              <w:pStyle w:val="APVMATableText"/>
            </w:pPr>
            <w:r>
              <w:t>Having rapid onset and of short duration</w:t>
            </w:r>
          </w:p>
        </w:tc>
      </w:tr>
      <w:tr w:rsidR="00F142B9" w14:paraId="78A5C5C2" w14:textId="77777777" w:rsidTr="004F0A8F">
        <w:tc>
          <w:tcPr>
            <w:tcW w:w="1132" w:type="pct"/>
          </w:tcPr>
          <w:p w14:paraId="7BFFBABA" w14:textId="5F9731DA" w:rsidR="00F142B9" w:rsidRDefault="00F142B9" w:rsidP="00F142B9">
            <w:pPr>
              <w:pStyle w:val="APVMATableText"/>
            </w:pPr>
            <w:r>
              <w:t>Carcinogenicity</w:t>
            </w:r>
          </w:p>
        </w:tc>
        <w:tc>
          <w:tcPr>
            <w:tcW w:w="3868" w:type="pct"/>
          </w:tcPr>
          <w:p w14:paraId="1CAB749F" w14:textId="7BF809BE" w:rsidR="00F142B9" w:rsidRDefault="00F142B9" w:rsidP="00F142B9">
            <w:pPr>
              <w:pStyle w:val="APVMATableText"/>
            </w:pPr>
            <w:r>
              <w:t>The ability to cause cancer</w:t>
            </w:r>
          </w:p>
        </w:tc>
      </w:tr>
      <w:tr w:rsidR="00F142B9" w14:paraId="2DFF2393" w14:textId="77777777" w:rsidTr="004F0A8F">
        <w:tc>
          <w:tcPr>
            <w:tcW w:w="1132" w:type="pct"/>
          </w:tcPr>
          <w:p w14:paraId="0AA0A70E" w14:textId="4D218193" w:rsidR="00F142B9" w:rsidRDefault="00F142B9" w:rsidP="00F142B9">
            <w:pPr>
              <w:pStyle w:val="APVMATableText"/>
            </w:pPr>
            <w:r>
              <w:t>Chronic</w:t>
            </w:r>
          </w:p>
        </w:tc>
        <w:tc>
          <w:tcPr>
            <w:tcW w:w="3868" w:type="pct"/>
          </w:tcPr>
          <w:p w14:paraId="50357610" w14:textId="2F9917DA" w:rsidR="00F142B9" w:rsidRDefault="00F142B9" w:rsidP="00F142B9">
            <w:pPr>
              <w:pStyle w:val="APVMATableText"/>
            </w:pPr>
            <w:r>
              <w:t>Of long duration</w:t>
            </w:r>
          </w:p>
        </w:tc>
      </w:tr>
      <w:tr w:rsidR="00F142B9" w14:paraId="548507E1" w14:textId="77777777" w:rsidTr="004F0A8F">
        <w:tc>
          <w:tcPr>
            <w:tcW w:w="1132" w:type="pct"/>
          </w:tcPr>
          <w:p w14:paraId="30047720" w14:textId="47087308" w:rsidR="00F142B9" w:rsidRDefault="00F142B9" w:rsidP="00F142B9">
            <w:pPr>
              <w:pStyle w:val="APVMATableText"/>
            </w:pPr>
            <w:r>
              <w:t xml:space="preserve">Codex MRL </w:t>
            </w:r>
          </w:p>
        </w:tc>
        <w:tc>
          <w:tcPr>
            <w:tcW w:w="3868" w:type="pct"/>
          </w:tcPr>
          <w:p w14:paraId="365ACD5C" w14:textId="563E84EB" w:rsidR="00F142B9" w:rsidRDefault="00F142B9" w:rsidP="00F142B9">
            <w:pPr>
              <w:pStyle w:val="APVMATableText"/>
            </w:pPr>
            <w:r>
              <w:t>Internationally published standard maximum residue limit</w:t>
            </w:r>
          </w:p>
        </w:tc>
      </w:tr>
      <w:tr w:rsidR="00F142B9" w14:paraId="68FEE9C1" w14:textId="77777777" w:rsidTr="004F0A8F">
        <w:tc>
          <w:tcPr>
            <w:tcW w:w="1132" w:type="pct"/>
          </w:tcPr>
          <w:p w14:paraId="0E8C2B31" w14:textId="791EF456" w:rsidR="00F142B9" w:rsidRDefault="00F142B9" w:rsidP="00F142B9">
            <w:pPr>
              <w:pStyle w:val="APVMATableText"/>
            </w:pPr>
            <w:r>
              <w:t>Desorption</w:t>
            </w:r>
          </w:p>
        </w:tc>
        <w:tc>
          <w:tcPr>
            <w:tcW w:w="3868" w:type="pct"/>
          </w:tcPr>
          <w:p w14:paraId="3261B238" w14:textId="4AEDEF0F" w:rsidR="00F142B9" w:rsidRDefault="00F142B9" w:rsidP="00F142B9">
            <w:pPr>
              <w:pStyle w:val="APVMATableText"/>
            </w:pPr>
            <w:r>
              <w:t>Removal of a material from or through a surface</w:t>
            </w:r>
          </w:p>
        </w:tc>
      </w:tr>
      <w:tr w:rsidR="00F142B9" w14:paraId="608C10C6" w14:textId="77777777" w:rsidTr="004F0A8F">
        <w:tc>
          <w:tcPr>
            <w:tcW w:w="1132" w:type="pct"/>
          </w:tcPr>
          <w:p w14:paraId="165A8208" w14:textId="7A34DF95" w:rsidR="00F142B9" w:rsidRDefault="00F142B9" w:rsidP="00F142B9">
            <w:pPr>
              <w:pStyle w:val="APVMATableText"/>
            </w:pPr>
            <w:r>
              <w:t>Efficacy</w:t>
            </w:r>
          </w:p>
        </w:tc>
        <w:tc>
          <w:tcPr>
            <w:tcW w:w="3868" w:type="pct"/>
          </w:tcPr>
          <w:p w14:paraId="293B3C7B" w14:textId="0F542EAC" w:rsidR="00F142B9" w:rsidRDefault="00F142B9" w:rsidP="00F142B9">
            <w:pPr>
              <w:pStyle w:val="APVMATableText"/>
            </w:pPr>
            <w:r>
              <w:t>Production of the desired effect</w:t>
            </w:r>
          </w:p>
        </w:tc>
      </w:tr>
      <w:tr w:rsidR="00F142B9" w14:paraId="367CA828" w14:textId="77777777" w:rsidTr="004F0A8F">
        <w:tc>
          <w:tcPr>
            <w:tcW w:w="1132" w:type="pct"/>
          </w:tcPr>
          <w:p w14:paraId="786C70D1" w14:textId="2E246E11" w:rsidR="00F142B9" w:rsidRDefault="00F142B9" w:rsidP="00F142B9">
            <w:pPr>
              <w:pStyle w:val="APVMATableText"/>
            </w:pPr>
            <w:r>
              <w:t>Formulation</w:t>
            </w:r>
          </w:p>
        </w:tc>
        <w:tc>
          <w:tcPr>
            <w:tcW w:w="3868" w:type="pct"/>
          </w:tcPr>
          <w:p w14:paraId="7330E98C" w14:textId="6A7A388C" w:rsidR="00F142B9" w:rsidRDefault="00F142B9" w:rsidP="00F142B9">
            <w:pPr>
              <w:pStyle w:val="APVMATableText"/>
            </w:pPr>
            <w:r>
              <w:t>A combination of both active and inactive constituents to form the end use product</w:t>
            </w:r>
          </w:p>
        </w:tc>
      </w:tr>
      <w:tr w:rsidR="00F142B9" w14:paraId="43511BB4" w14:textId="77777777" w:rsidTr="004F0A8F">
        <w:tc>
          <w:tcPr>
            <w:tcW w:w="1132" w:type="pct"/>
          </w:tcPr>
          <w:p w14:paraId="674BC997" w14:textId="1A31B573" w:rsidR="00F142B9" w:rsidRDefault="00F142B9" w:rsidP="00F142B9">
            <w:pPr>
              <w:pStyle w:val="APVMATableText"/>
            </w:pPr>
            <w:r>
              <w:t>Genotoxicity</w:t>
            </w:r>
          </w:p>
        </w:tc>
        <w:tc>
          <w:tcPr>
            <w:tcW w:w="3868" w:type="pct"/>
          </w:tcPr>
          <w:p w14:paraId="6181957F" w14:textId="38CD149C" w:rsidR="00F142B9" w:rsidRDefault="00F142B9" w:rsidP="00F142B9">
            <w:pPr>
              <w:pStyle w:val="APVMATableText"/>
            </w:pPr>
            <w:r>
              <w:t>The ability to damage genetic material</w:t>
            </w:r>
          </w:p>
        </w:tc>
      </w:tr>
      <w:tr w:rsidR="00F142B9" w14:paraId="5D82FD65" w14:textId="77777777" w:rsidTr="004F0A8F">
        <w:tc>
          <w:tcPr>
            <w:tcW w:w="1132" w:type="pct"/>
          </w:tcPr>
          <w:p w14:paraId="19A097D1" w14:textId="4207E56B" w:rsidR="00F142B9" w:rsidRDefault="00F142B9" w:rsidP="00F142B9">
            <w:pPr>
              <w:pStyle w:val="APVMATableText"/>
            </w:pPr>
            <w:r>
              <w:t>Hydrophobic</w:t>
            </w:r>
          </w:p>
        </w:tc>
        <w:tc>
          <w:tcPr>
            <w:tcW w:w="3868" w:type="pct"/>
          </w:tcPr>
          <w:p w14:paraId="40ECF515" w14:textId="47C06468" w:rsidR="00F142B9" w:rsidRDefault="00F142B9" w:rsidP="00F142B9">
            <w:pPr>
              <w:pStyle w:val="APVMATableText"/>
            </w:pPr>
            <w:r>
              <w:t>Repels water</w:t>
            </w:r>
          </w:p>
        </w:tc>
      </w:tr>
      <w:tr w:rsidR="00F142B9" w14:paraId="7DC925A1" w14:textId="77777777" w:rsidTr="004F0A8F">
        <w:tc>
          <w:tcPr>
            <w:tcW w:w="1132" w:type="pct"/>
          </w:tcPr>
          <w:p w14:paraId="053FF292" w14:textId="2942B785" w:rsidR="00F142B9" w:rsidRDefault="00F142B9" w:rsidP="00F142B9">
            <w:pPr>
              <w:pStyle w:val="APVMATableText"/>
            </w:pPr>
            <w:r>
              <w:t>Leaching</w:t>
            </w:r>
          </w:p>
        </w:tc>
        <w:tc>
          <w:tcPr>
            <w:tcW w:w="3868" w:type="pct"/>
          </w:tcPr>
          <w:p w14:paraId="01498D94" w14:textId="029E2D6A" w:rsidR="00F142B9" w:rsidRDefault="00F142B9" w:rsidP="00F142B9">
            <w:pPr>
              <w:pStyle w:val="APVMATableText"/>
            </w:pPr>
            <w:r>
              <w:t>Removal of a compound by use of a solvent</w:t>
            </w:r>
          </w:p>
        </w:tc>
      </w:tr>
      <w:tr w:rsidR="00F142B9" w14:paraId="67BF79B7" w14:textId="77777777" w:rsidTr="004F0A8F">
        <w:tc>
          <w:tcPr>
            <w:tcW w:w="1132" w:type="pct"/>
          </w:tcPr>
          <w:p w14:paraId="28B57A8A" w14:textId="1BF78165" w:rsidR="00F142B9" w:rsidRDefault="00F142B9" w:rsidP="00F142B9">
            <w:pPr>
              <w:pStyle w:val="APVMATableText"/>
            </w:pPr>
            <w:r>
              <w:t>Metabolism</w:t>
            </w:r>
          </w:p>
        </w:tc>
        <w:tc>
          <w:tcPr>
            <w:tcW w:w="3868" w:type="pct"/>
          </w:tcPr>
          <w:p w14:paraId="552AD879" w14:textId="06F4B242" w:rsidR="00F142B9" w:rsidRDefault="00F142B9" w:rsidP="00F142B9">
            <w:pPr>
              <w:pStyle w:val="APVMATableText"/>
            </w:pPr>
            <w:r>
              <w:t>The chemical processes that maintain living organisms</w:t>
            </w:r>
          </w:p>
        </w:tc>
      </w:tr>
      <w:tr w:rsidR="00F142B9" w14:paraId="75129E9A" w14:textId="77777777" w:rsidTr="004F0A8F">
        <w:tc>
          <w:tcPr>
            <w:tcW w:w="1132" w:type="pct"/>
          </w:tcPr>
          <w:p w14:paraId="37AD4091" w14:textId="39819E27" w:rsidR="00F142B9" w:rsidRDefault="00F142B9" w:rsidP="00F142B9">
            <w:pPr>
              <w:pStyle w:val="APVMATableText"/>
            </w:pPr>
            <w:proofErr w:type="spellStart"/>
            <w:r>
              <w:t>Photodegradation</w:t>
            </w:r>
            <w:proofErr w:type="spellEnd"/>
          </w:p>
        </w:tc>
        <w:tc>
          <w:tcPr>
            <w:tcW w:w="3868" w:type="pct"/>
          </w:tcPr>
          <w:p w14:paraId="0C92C169" w14:textId="724FCF27" w:rsidR="00F142B9" w:rsidRDefault="00F142B9" w:rsidP="00F142B9">
            <w:pPr>
              <w:pStyle w:val="APVMATableText"/>
            </w:pPr>
            <w:r>
              <w:t>Breakdown of chemicals due to the action of light</w:t>
            </w:r>
          </w:p>
        </w:tc>
      </w:tr>
      <w:tr w:rsidR="00F142B9" w14:paraId="1004231D" w14:textId="77777777" w:rsidTr="004F0A8F">
        <w:tc>
          <w:tcPr>
            <w:tcW w:w="1132" w:type="pct"/>
          </w:tcPr>
          <w:p w14:paraId="665B6265" w14:textId="693B081C" w:rsidR="00F142B9" w:rsidRDefault="00F142B9" w:rsidP="00F142B9">
            <w:pPr>
              <w:pStyle w:val="APVMATableText"/>
            </w:pPr>
            <w:r>
              <w:t>Photolysis</w:t>
            </w:r>
          </w:p>
        </w:tc>
        <w:tc>
          <w:tcPr>
            <w:tcW w:w="3868" w:type="pct"/>
          </w:tcPr>
          <w:p w14:paraId="5ADA9E9F" w14:textId="29ABAAB0" w:rsidR="00F142B9" w:rsidRDefault="00F142B9" w:rsidP="00F142B9">
            <w:pPr>
              <w:pStyle w:val="APVMATableText"/>
            </w:pPr>
            <w:r>
              <w:t>Breakdown of chemicals due to the action of light</w:t>
            </w:r>
          </w:p>
        </w:tc>
      </w:tr>
      <w:tr w:rsidR="00F142B9" w14:paraId="6034C794" w14:textId="77777777" w:rsidTr="004F0A8F">
        <w:tc>
          <w:tcPr>
            <w:tcW w:w="1132" w:type="pct"/>
          </w:tcPr>
          <w:p w14:paraId="09C3D1DA" w14:textId="11DDB8FD" w:rsidR="00F142B9" w:rsidRDefault="00F142B9" w:rsidP="00F142B9">
            <w:pPr>
              <w:pStyle w:val="APVMATableText"/>
            </w:pPr>
            <w:r>
              <w:t>Subcutaneous</w:t>
            </w:r>
          </w:p>
        </w:tc>
        <w:tc>
          <w:tcPr>
            <w:tcW w:w="3868" w:type="pct"/>
          </w:tcPr>
          <w:p w14:paraId="38564228" w14:textId="030182E1" w:rsidR="00F142B9" w:rsidRDefault="00F142B9" w:rsidP="00F142B9">
            <w:pPr>
              <w:pStyle w:val="APVMATableText"/>
            </w:pPr>
            <w:r>
              <w:t>Under the skin</w:t>
            </w:r>
          </w:p>
        </w:tc>
      </w:tr>
      <w:tr w:rsidR="00F142B9" w14:paraId="78EF7241" w14:textId="77777777" w:rsidTr="004F0A8F">
        <w:tc>
          <w:tcPr>
            <w:tcW w:w="1132" w:type="pct"/>
          </w:tcPr>
          <w:p w14:paraId="63D96ACE" w14:textId="53CF70BD" w:rsidR="00F142B9" w:rsidRDefault="00F142B9" w:rsidP="00F142B9">
            <w:pPr>
              <w:pStyle w:val="APVMATableText"/>
            </w:pPr>
            <w:proofErr w:type="spellStart"/>
            <w:r>
              <w:t>Toxicokinetics</w:t>
            </w:r>
            <w:proofErr w:type="spellEnd"/>
          </w:p>
        </w:tc>
        <w:tc>
          <w:tcPr>
            <w:tcW w:w="3868" w:type="pct"/>
          </w:tcPr>
          <w:p w14:paraId="26E34C36" w14:textId="1B70920D" w:rsidR="00F142B9" w:rsidRDefault="00F142B9" w:rsidP="00F142B9">
            <w:pPr>
              <w:pStyle w:val="APVMATableText"/>
            </w:pPr>
            <w:r>
              <w:t>The study of the movement of toxins through the body</w:t>
            </w:r>
          </w:p>
        </w:tc>
      </w:tr>
      <w:tr w:rsidR="00F142B9" w14:paraId="3F9A8D27" w14:textId="77777777" w:rsidTr="004F0A8F">
        <w:tc>
          <w:tcPr>
            <w:tcW w:w="1132" w:type="pct"/>
          </w:tcPr>
          <w:p w14:paraId="14FF2220" w14:textId="32E0D30F" w:rsidR="00F142B9" w:rsidRDefault="00F142B9" w:rsidP="00F142B9">
            <w:pPr>
              <w:pStyle w:val="APVMATableText"/>
            </w:pPr>
            <w:r>
              <w:t>Toxicology</w:t>
            </w:r>
          </w:p>
        </w:tc>
        <w:tc>
          <w:tcPr>
            <w:tcW w:w="3868" w:type="pct"/>
          </w:tcPr>
          <w:p w14:paraId="1ACCD881" w14:textId="091AE29C" w:rsidR="00F142B9" w:rsidRDefault="00F142B9" w:rsidP="00F142B9">
            <w:pPr>
              <w:pStyle w:val="APVMATableText"/>
            </w:pPr>
            <w:r>
              <w:t>The study of the nature and effects of poisons</w:t>
            </w:r>
          </w:p>
        </w:tc>
      </w:tr>
    </w:tbl>
    <w:p w14:paraId="02E9F2E7" w14:textId="77777777" w:rsidR="00F27E0D" w:rsidRDefault="00F27E0D">
      <w:pPr>
        <w:pStyle w:val="APVMAText"/>
        <w:tabs>
          <w:tab w:val="left" w:pos="1980"/>
        </w:tabs>
        <w:ind w:left="1980" w:hanging="1980"/>
        <w:sectPr w:rsidR="00F27E0D">
          <w:headerReference w:type="default" r:id="rId50"/>
          <w:pgSz w:w="11906" w:h="16838" w:code="9"/>
          <w:pgMar w:top="2835" w:right="1134" w:bottom="1134" w:left="1134" w:header="1701" w:footer="680" w:gutter="0"/>
          <w:cols w:space="708"/>
          <w:docGrid w:linePitch="360"/>
        </w:sectPr>
      </w:pPr>
    </w:p>
    <w:p w14:paraId="64183A6B" w14:textId="77777777" w:rsidR="00F27E0D" w:rsidRDefault="00F27E0D">
      <w:pPr>
        <w:pStyle w:val="APVMAAppendices"/>
      </w:pPr>
      <w:bookmarkStart w:id="68" w:name="_Toc231963196"/>
      <w:bookmarkStart w:id="69" w:name="_Toc6472858"/>
      <w:r>
        <w:lastRenderedPageBreak/>
        <w:t>References</w:t>
      </w:r>
      <w:bookmarkEnd w:id="68"/>
      <w:bookmarkEnd w:id="69"/>
    </w:p>
    <w:p w14:paraId="0E46464A" w14:textId="0EFD614B" w:rsidR="00F142B9" w:rsidRDefault="00F142B9" w:rsidP="00F142B9">
      <w:pPr>
        <w:pStyle w:val="APVMAText"/>
      </w:pPr>
      <w:r>
        <w:t xml:space="preserve">APVMA 2008, </w:t>
      </w:r>
      <w:r w:rsidRPr="00611CFB">
        <w:rPr>
          <w:i/>
          <w:szCs w:val="20"/>
        </w:rPr>
        <w:t>Operating Principles in Relation to Spray Drift</w:t>
      </w:r>
      <w:r w:rsidRPr="00611CFB">
        <w:rPr>
          <w:szCs w:val="20"/>
        </w:rPr>
        <w:t>,</w:t>
      </w:r>
      <w:r>
        <w:rPr>
          <w:szCs w:val="20"/>
        </w:rPr>
        <w:t xml:space="preserve"> Australian Pesticides and Veterinary Medicines Authority</w:t>
      </w:r>
      <w:r>
        <w:t xml:space="preserve">, Canberra, available at </w:t>
      </w:r>
      <w:hyperlink r:id="rId51" w:history="1">
        <w:r w:rsidRPr="00FB48D3">
          <w:rPr>
            <w:rStyle w:val="Hyperlink"/>
          </w:rPr>
          <w:t>https://apvma.gov.au/node/27941</w:t>
        </w:r>
      </w:hyperlink>
      <w:r>
        <w:t>.</w:t>
      </w:r>
    </w:p>
    <w:p w14:paraId="39033B6E" w14:textId="77777777" w:rsidR="00F142B9" w:rsidRDefault="00F142B9" w:rsidP="00F142B9">
      <w:pPr>
        <w:pStyle w:val="APVMAText"/>
      </w:pPr>
      <w:r>
        <w:t xml:space="preserve">APVMA 2015, </w:t>
      </w:r>
      <w:r>
        <w:rPr>
          <w:i/>
        </w:rPr>
        <w:t xml:space="preserve">Data Guidelines, </w:t>
      </w:r>
      <w:r>
        <w:rPr>
          <w:szCs w:val="20"/>
        </w:rPr>
        <w:t>Australian Pesticides and Veterinary Medicines Authority</w:t>
      </w:r>
      <w:r>
        <w:t xml:space="preserve">, Canberra, </w:t>
      </w:r>
      <w:r w:rsidRPr="00E156D5">
        <w:t>available</w:t>
      </w:r>
      <w:r>
        <w:t xml:space="preserve"> at</w:t>
      </w:r>
      <w:r>
        <w:rPr>
          <w:i/>
        </w:rPr>
        <w:t xml:space="preserve"> </w:t>
      </w:r>
      <w:hyperlink r:id="rId52" w:history="1">
        <w:r w:rsidRPr="00FB48D3">
          <w:rPr>
            <w:rStyle w:val="Hyperlink"/>
          </w:rPr>
          <w:t>https://apvma.gov.au/registrations-and-permits/data-guidelines</w:t>
        </w:r>
      </w:hyperlink>
      <w:r w:rsidRPr="00F34BDD">
        <w:rPr>
          <w:rStyle w:val="Hyperlink"/>
          <w:u w:val="none"/>
        </w:rPr>
        <w:t>.</w:t>
      </w:r>
    </w:p>
    <w:p w14:paraId="4C0BCDCA" w14:textId="77777777" w:rsidR="00F142B9" w:rsidRPr="00E156D5" w:rsidRDefault="00F142B9" w:rsidP="00F142B9">
      <w:pPr>
        <w:pStyle w:val="APVMAText"/>
        <w:rPr>
          <w:color w:val="1F497D"/>
          <w:lang w:eastAsia="en-AU"/>
        </w:rPr>
      </w:pPr>
      <w:r w:rsidRPr="00E156D5">
        <w:rPr>
          <w:lang w:eastAsia="en-AU"/>
        </w:rPr>
        <w:t>DA</w:t>
      </w:r>
      <w:r>
        <w:rPr>
          <w:lang w:eastAsia="en-AU"/>
        </w:rPr>
        <w:t>WR</w:t>
      </w:r>
      <w:r w:rsidRPr="00E156D5">
        <w:rPr>
          <w:lang w:eastAsia="en-AU"/>
        </w:rPr>
        <w:t xml:space="preserve"> 201</w:t>
      </w:r>
      <w:r>
        <w:rPr>
          <w:lang w:eastAsia="en-AU"/>
        </w:rPr>
        <w:t>8</w:t>
      </w:r>
      <w:r w:rsidRPr="00E156D5">
        <w:rPr>
          <w:lang w:eastAsia="en-AU"/>
        </w:rPr>
        <w:t xml:space="preserve">, </w:t>
      </w:r>
      <w:r w:rsidRPr="00F34BDD">
        <w:rPr>
          <w:i/>
          <w:iCs/>
          <w:lang w:eastAsia="en-AU"/>
        </w:rPr>
        <w:t>Assistance, grants and tenders</w:t>
      </w:r>
      <w:r w:rsidRPr="00F34BDD">
        <w:rPr>
          <w:lang w:eastAsia="en-AU"/>
        </w:rPr>
        <w:t xml:space="preserve">, </w:t>
      </w:r>
      <w:r>
        <w:rPr>
          <w:lang w:eastAsia="en-AU"/>
        </w:rPr>
        <w:t xml:space="preserve">Australian Government </w:t>
      </w:r>
      <w:r w:rsidRPr="00F34BDD">
        <w:rPr>
          <w:lang w:eastAsia="en-AU"/>
        </w:rPr>
        <w:t>Department</w:t>
      </w:r>
      <w:r w:rsidRPr="00E156D5">
        <w:rPr>
          <w:lang w:eastAsia="en-AU"/>
        </w:rPr>
        <w:t xml:space="preserve"> of Agriculture</w:t>
      </w:r>
      <w:r>
        <w:rPr>
          <w:lang w:eastAsia="en-AU"/>
        </w:rPr>
        <w:t xml:space="preserve"> and Water Resources</w:t>
      </w:r>
      <w:r w:rsidRPr="00E156D5">
        <w:rPr>
          <w:lang w:eastAsia="en-AU"/>
        </w:rPr>
        <w:t xml:space="preserve">, Canberra, available at </w:t>
      </w:r>
      <w:hyperlink r:id="rId53" w:history="1">
        <w:r w:rsidRPr="00FB48D3">
          <w:rPr>
            <w:rStyle w:val="Hyperlink"/>
            <w:lang w:eastAsia="en-AU"/>
          </w:rPr>
          <w:t>http://www.agriculture.gov.au/about/assistance-grants-tenders</w:t>
        </w:r>
      </w:hyperlink>
      <w:r w:rsidRPr="00E156D5">
        <w:rPr>
          <w:lang w:eastAsia="en-AU"/>
        </w:rPr>
        <w:t>.</w:t>
      </w:r>
    </w:p>
    <w:p w14:paraId="7BE2AE9F" w14:textId="77777777" w:rsidR="00F142B9" w:rsidRDefault="00F142B9" w:rsidP="00F142B9">
      <w:pPr>
        <w:pStyle w:val="APVMAText"/>
      </w:pPr>
      <w:r>
        <w:rPr>
          <w:szCs w:val="20"/>
        </w:rPr>
        <w:t xml:space="preserve">Feng, TY, </w:t>
      </w:r>
      <w:proofErr w:type="spellStart"/>
      <w:r>
        <w:rPr>
          <w:szCs w:val="20"/>
        </w:rPr>
        <w:t>Chak</w:t>
      </w:r>
      <w:proofErr w:type="spellEnd"/>
      <w:r>
        <w:rPr>
          <w:szCs w:val="20"/>
        </w:rPr>
        <w:t xml:space="preserve">, KF, Smith, R, Yamamoto, T, </w:t>
      </w:r>
      <w:proofErr w:type="spellStart"/>
      <w:r>
        <w:rPr>
          <w:szCs w:val="20"/>
        </w:rPr>
        <w:t>Margalit</w:t>
      </w:r>
      <w:proofErr w:type="spellEnd"/>
      <w:r>
        <w:rPr>
          <w:szCs w:val="20"/>
        </w:rPr>
        <w:t xml:space="preserve">, J, </w:t>
      </w:r>
      <w:proofErr w:type="spellStart"/>
      <w:r>
        <w:rPr>
          <w:szCs w:val="20"/>
        </w:rPr>
        <w:t>Chilcott</w:t>
      </w:r>
      <w:proofErr w:type="spellEnd"/>
      <w:r>
        <w:rPr>
          <w:szCs w:val="20"/>
        </w:rPr>
        <w:t>, J &amp; Rose, R (</w:t>
      </w:r>
      <w:proofErr w:type="spellStart"/>
      <w:r>
        <w:rPr>
          <w:szCs w:val="20"/>
        </w:rPr>
        <w:t>eds</w:t>
      </w:r>
      <w:proofErr w:type="spellEnd"/>
      <w:r>
        <w:rPr>
          <w:szCs w:val="20"/>
        </w:rPr>
        <w:t xml:space="preserve">), </w:t>
      </w:r>
      <w:r>
        <w:rPr>
          <w:i/>
          <w:iCs/>
          <w:szCs w:val="20"/>
        </w:rPr>
        <w:t xml:space="preserve">Bacillus </w:t>
      </w:r>
      <w:proofErr w:type="spellStart"/>
      <w:r>
        <w:rPr>
          <w:i/>
          <w:iCs/>
          <w:szCs w:val="20"/>
        </w:rPr>
        <w:t>thuringiensis</w:t>
      </w:r>
      <w:proofErr w:type="spellEnd"/>
      <w:r>
        <w:rPr>
          <w:szCs w:val="20"/>
        </w:rPr>
        <w:t xml:space="preserve"> </w:t>
      </w:r>
      <w:r>
        <w:rPr>
          <w:i/>
          <w:iCs/>
          <w:szCs w:val="20"/>
        </w:rPr>
        <w:t>Biotechnology and Environmental Benefits</w:t>
      </w:r>
      <w:r>
        <w:rPr>
          <w:szCs w:val="20"/>
        </w:rPr>
        <w:t xml:space="preserve">, Hua </w:t>
      </w:r>
      <w:proofErr w:type="spellStart"/>
      <w:r>
        <w:rPr>
          <w:szCs w:val="20"/>
        </w:rPr>
        <w:t>Shiang</w:t>
      </w:r>
      <w:proofErr w:type="spellEnd"/>
      <w:r>
        <w:rPr>
          <w:szCs w:val="20"/>
        </w:rPr>
        <w:t xml:space="preserve"> </w:t>
      </w:r>
      <w:proofErr w:type="spellStart"/>
      <w:r>
        <w:rPr>
          <w:szCs w:val="20"/>
        </w:rPr>
        <w:t>Yuang</w:t>
      </w:r>
      <w:proofErr w:type="spellEnd"/>
      <w:r>
        <w:rPr>
          <w:szCs w:val="20"/>
        </w:rPr>
        <w:t xml:space="preserve"> Publishing Co., Taipei.</w:t>
      </w:r>
    </w:p>
    <w:p w14:paraId="42520DB6" w14:textId="77777777" w:rsidR="00F142B9" w:rsidRDefault="00F142B9" w:rsidP="00F142B9">
      <w:pPr>
        <w:pStyle w:val="APVMAText"/>
      </w:pPr>
      <w:r>
        <w:t xml:space="preserve">Matthews, GA 1992, </w:t>
      </w:r>
      <w:r w:rsidRPr="00646879">
        <w:rPr>
          <w:i/>
        </w:rPr>
        <w:t>Pesticide Application Methods,</w:t>
      </w:r>
      <w:r>
        <w:t xml:space="preserve"> 2nd </w:t>
      </w:r>
      <w:proofErr w:type="spellStart"/>
      <w:r>
        <w:t>edn</w:t>
      </w:r>
      <w:proofErr w:type="spellEnd"/>
      <w:r>
        <w:t>, Longman, London.</w:t>
      </w:r>
    </w:p>
    <w:p w14:paraId="60E4D402" w14:textId="77777777" w:rsidR="00F142B9" w:rsidRDefault="00F142B9" w:rsidP="00F142B9">
      <w:pPr>
        <w:pStyle w:val="APVMAText"/>
      </w:pPr>
      <w:proofErr w:type="spellStart"/>
      <w:r>
        <w:rPr>
          <w:lang w:eastAsia="en-AU"/>
        </w:rPr>
        <w:t>Rangan</w:t>
      </w:r>
      <w:proofErr w:type="spellEnd"/>
      <w:r>
        <w:rPr>
          <w:lang w:eastAsia="en-AU"/>
        </w:rPr>
        <w:t xml:space="preserve">, AM, Randall, D, Hector, DJ, Gill, TP &amp; Webb, KL 2008, ‘Consumption of “extra” foods by Australian children: types, quantities and contribution to energy and nutrient intakes’, </w:t>
      </w:r>
      <w:r>
        <w:rPr>
          <w:i/>
          <w:iCs/>
          <w:lang w:eastAsia="en-AU"/>
        </w:rPr>
        <w:t>European Journal of Clinical Nutrition</w:t>
      </w:r>
      <w:r>
        <w:rPr>
          <w:lang w:eastAsia="en-AU"/>
        </w:rPr>
        <w:t>, vol. 62, no. 3, pp. 356–64.</w:t>
      </w:r>
    </w:p>
    <w:p w14:paraId="45A64936" w14:textId="77777777" w:rsidR="00F142B9" w:rsidRDefault="00F142B9" w:rsidP="00F142B9">
      <w:pPr>
        <w:pStyle w:val="APVMAText"/>
      </w:pPr>
      <w:r>
        <w:t xml:space="preserve">WHO 1997, </w:t>
      </w:r>
      <w:r w:rsidRPr="00646879">
        <w:rPr>
          <w:i/>
        </w:rPr>
        <w:t>Guidelines for predicting dietary intake of pesticide residues</w:t>
      </w:r>
      <w:r>
        <w:t xml:space="preserve">, World Health Organization, Geneva, available at: </w:t>
      </w:r>
      <w:r w:rsidRPr="00F34BDD">
        <w:rPr>
          <w:rStyle w:val="Hyperlink"/>
        </w:rPr>
        <w:t>http://www.who.int/foodsafety/publications/pesticides/en/</w:t>
      </w:r>
      <w:r w:rsidRPr="00F34BDD">
        <w:rPr>
          <w:rStyle w:val="Hyperlink"/>
          <w:u w:val="none"/>
        </w:rPr>
        <w:t>.</w:t>
      </w:r>
    </w:p>
    <w:sectPr w:rsidR="00F142B9">
      <w:headerReference w:type="default" r:id="rId54"/>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6F593" w14:textId="77777777" w:rsidR="00AA2707" w:rsidRDefault="00AA2707">
      <w:r>
        <w:separator/>
      </w:r>
    </w:p>
    <w:p w14:paraId="0307B25E" w14:textId="77777777" w:rsidR="00AA2707" w:rsidRDefault="00AA2707"/>
    <w:p w14:paraId="595268D6" w14:textId="77777777" w:rsidR="00AA2707" w:rsidRDefault="00AA2707"/>
    <w:p w14:paraId="498CB0EB" w14:textId="77777777" w:rsidR="00AA2707" w:rsidRDefault="00AA2707"/>
    <w:p w14:paraId="356C0A6D" w14:textId="77777777" w:rsidR="00AA2707" w:rsidRDefault="00AA2707"/>
  </w:endnote>
  <w:endnote w:type="continuationSeparator" w:id="0">
    <w:p w14:paraId="75A53ED2" w14:textId="77777777" w:rsidR="00AA2707" w:rsidRDefault="00AA2707">
      <w:r>
        <w:continuationSeparator/>
      </w:r>
    </w:p>
    <w:p w14:paraId="5F67FA98" w14:textId="77777777" w:rsidR="00AA2707" w:rsidRDefault="00AA2707"/>
    <w:p w14:paraId="3305803F" w14:textId="77777777" w:rsidR="00AA2707" w:rsidRDefault="00AA2707"/>
    <w:p w14:paraId="7515C15B" w14:textId="77777777" w:rsidR="00AA2707" w:rsidRDefault="00AA2707"/>
    <w:p w14:paraId="5EA7C368" w14:textId="77777777" w:rsidR="00AA2707" w:rsidRDefault="00AA2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ceanSansForAventi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21A4B" w14:textId="61AA572F" w:rsidR="00AA2707" w:rsidRDefault="00AA2707">
    <w:pPr>
      <w:pStyle w:val="APVMATitle3"/>
    </w:pPr>
    <w:r>
      <w:t>APRIL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8F22F" w14:textId="77777777" w:rsidR="00AA2707" w:rsidRDefault="00AA2707" w:rsidP="002A7FB1">
    <w:pPr>
      <w:pStyle w:val="APVMA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4AEA" w14:textId="10DA5372" w:rsidR="00AA2707" w:rsidRPr="00F142B9" w:rsidRDefault="00AA2707" w:rsidP="00F142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28F0C" w14:textId="77777777" w:rsidR="00AA2707" w:rsidRDefault="00AA27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D5EF7" w14:textId="77777777" w:rsidR="00AA2707" w:rsidRDefault="00AA2707">
      <w:r>
        <w:separator/>
      </w:r>
    </w:p>
  </w:footnote>
  <w:footnote w:type="continuationSeparator" w:id="0">
    <w:p w14:paraId="7A82BF4E" w14:textId="77777777" w:rsidR="00AA2707" w:rsidRDefault="00AA2707">
      <w:pPr>
        <w:spacing w:line="180" w:lineRule="exact"/>
        <w:rPr>
          <w:sz w:val="16"/>
        </w:rPr>
      </w:pPr>
      <w:r>
        <w:rPr>
          <w:sz w:val="16"/>
        </w:rPr>
        <w:continuationSeparator/>
      </w:r>
    </w:p>
    <w:p w14:paraId="04F210C5" w14:textId="77777777" w:rsidR="00AA2707" w:rsidRDefault="00AA2707"/>
    <w:p w14:paraId="557A0BBD" w14:textId="77777777" w:rsidR="00AA2707" w:rsidRDefault="00AA2707"/>
    <w:p w14:paraId="46213803" w14:textId="77777777" w:rsidR="00AA2707" w:rsidRDefault="00AA2707"/>
    <w:p w14:paraId="036EA994" w14:textId="77777777" w:rsidR="00AA2707" w:rsidRDefault="00AA2707"/>
  </w:footnote>
  <w:footnote w:type="continuationNotice" w:id="1">
    <w:p w14:paraId="201766F7" w14:textId="77777777" w:rsidR="00AA2707" w:rsidRDefault="00AA2707"/>
    <w:p w14:paraId="3CD5D0D2" w14:textId="77777777" w:rsidR="00AA2707" w:rsidRDefault="00AA2707"/>
    <w:p w14:paraId="71B8DFE1" w14:textId="77777777" w:rsidR="00AA2707" w:rsidRDefault="00AA2707"/>
    <w:p w14:paraId="5C71A18A" w14:textId="77777777" w:rsidR="00AA2707" w:rsidRDefault="00AA2707"/>
    <w:p w14:paraId="0E4F0D11" w14:textId="77777777" w:rsidR="00AA2707" w:rsidRDefault="00AA2707"/>
  </w:footnote>
  <w:footnote w:id="2">
    <w:p w14:paraId="3ECBDA31" w14:textId="77777777" w:rsidR="00AA2707" w:rsidRDefault="00AA2707">
      <w:pPr>
        <w:pStyle w:val="FootnoteText"/>
      </w:pPr>
      <w:r>
        <w:rPr>
          <w:rStyle w:val="FootnoteReference"/>
        </w:rPr>
        <w:footnoteRef/>
      </w:r>
      <w:r>
        <w:t xml:space="preserve"> A full definition of </w:t>
      </w:r>
      <w:r>
        <w:rPr>
          <w:bCs/>
          <w:iCs/>
        </w:rPr>
        <w:t>"confidential commercial information" is contained in the Agvet Code.</w:t>
      </w:r>
    </w:p>
  </w:footnote>
  <w:footnote w:id="3">
    <w:p w14:paraId="0246556F" w14:textId="7CDA13B0" w:rsidR="00AA2707" w:rsidRDefault="00AA2707" w:rsidP="00130F2C">
      <w:pPr>
        <w:pStyle w:val="BODYTEXT"/>
        <w:rPr>
          <w:sz w:val="18"/>
        </w:rPr>
      </w:pPr>
      <w:r w:rsidRPr="0017725B">
        <w:rPr>
          <w:rStyle w:val="FootnoteTextChar"/>
          <w:vertAlign w:val="superscript"/>
        </w:rPr>
        <w:footnoteRef/>
      </w:r>
      <w:r w:rsidRPr="00276C28">
        <w:rPr>
          <w:rStyle w:val="FootnoteTextChar"/>
        </w:rPr>
        <w:t>.HARVEST is a computer dietary modelling program based upon statistical software that is used by FSANZ.</w:t>
      </w:r>
      <w:r>
        <w:rPr>
          <w:sz w:val="18"/>
        </w:rPr>
        <w:t xml:space="preserve"> </w:t>
      </w:r>
    </w:p>
  </w:footnote>
  <w:footnote w:id="4">
    <w:p w14:paraId="63FE59B7" w14:textId="0C115C14" w:rsidR="00AA2707" w:rsidRDefault="00AA2707" w:rsidP="00130F2C">
      <w:pPr>
        <w:pStyle w:val="FootnoteText"/>
      </w:pPr>
      <w:r>
        <w:rPr>
          <w:rStyle w:val="FootnoteReference"/>
        </w:rPr>
        <w:footnoteRef/>
      </w:r>
      <w:r>
        <w:t>APVMA Regulatory Guidelines—Data Guidelines: Agricultural—Overseas trade (Part 5B)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7B2F" w14:textId="4927B51E" w:rsidR="00AA2707" w:rsidRDefault="00AA2707">
    <w:pPr>
      <w:pStyle w:val="APVMAEvenHeader"/>
    </w:pPr>
    <w:r>
      <w:rPr>
        <w:rStyle w:val="PageNumber"/>
        <w:rFonts w:ascii="Arial Bold" w:hAnsi="Arial Bold"/>
        <w:b/>
        <w:bCs w:val="0"/>
      </w:rPr>
      <w:fldChar w:fldCharType="begin"/>
    </w:r>
    <w:r>
      <w:rPr>
        <w:rStyle w:val="PageNumber"/>
        <w:rFonts w:ascii="Arial Bold" w:hAnsi="Arial Bold"/>
        <w:b/>
        <w:bCs w:val="0"/>
      </w:rPr>
      <w:instrText xml:space="preserve"> PAGE </w:instrText>
    </w:r>
    <w:r>
      <w:rPr>
        <w:rStyle w:val="PageNumber"/>
        <w:rFonts w:ascii="Arial Bold" w:hAnsi="Arial Bold"/>
        <w:b/>
        <w:bCs w:val="0"/>
      </w:rPr>
      <w:fldChar w:fldCharType="separate"/>
    </w:r>
    <w:r>
      <w:rPr>
        <w:rStyle w:val="PageNumber"/>
        <w:rFonts w:ascii="Arial Bold" w:hAnsi="Arial Bold"/>
        <w:b/>
        <w:bCs w:val="0"/>
        <w:noProof/>
      </w:rPr>
      <w:t>ii</w:t>
    </w:r>
    <w:r>
      <w:rPr>
        <w:rStyle w:val="PageNumber"/>
        <w:rFonts w:ascii="Arial Bold" w:hAnsi="Arial Bold"/>
        <w:b/>
        <w:bCs w:val="0"/>
      </w:rPr>
      <w:fldChar w:fldCharType="end"/>
    </w:r>
    <w:r>
      <w:rPr>
        <w:rStyle w:val="PageNumber"/>
        <w:b/>
        <w:bCs w:val="0"/>
        <w:caps w:val="0"/>
      </w:rPr>
      <w:tab/>
      <w:t>|</w:t>
    </w:r>
    <w:r>
      <w:rPr>
        <w:rStyle w:val="PageNumber"/>
        <w:b/>
        <w:bCs w:val="0"/>
        <w:caps w:val="0"/>
      </w:rPr>
      <w:tab/>
    </w:r>
    <w:r>
      <w:t>Section Heading</w:t>
    </w:r>
    <w:r>
      <w:tab/>
      <w:t>|</w:t>
    </w:r>
    <w:r>
      <w:tab/>
      <w:t>Document Title</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64C35" w14:textId="42B414DA" w:rsidR="00AA2707" w:rsidRDefault="00AA2707">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C6735">
      <w:rPr>
        <w:rStyle w:val="PageNumber"/>
        <w:rFonts w:cs="Times New Roman"/>
        <w:b/>
        <w:bCs w:val="0"/>
        <w:caps w:val="0"/>
        <w:noProof/>
        <w:szCs w:val="24"/>
      </w:rPr>
      <w:t>17</w:t>
    </w:r>
    <w:r>
      <w:rPr>
        <w:rStyle w:val="PageNumber"/>
        <w:rFonts w:cs="Times New Roman"/>
        <w:b/>
        <w:bCs w:val="0"/>
        <w:caps w:val="0"/>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4A2B3" w14:textId="04EF6468" w:rsidR="00AA2707" w:rsidRDefault="00AA2707" w:rsidP="00AA2707">
    <w:pPr>
      <w:pStyle w:val="APVMAOddHeader"/>
    </w:pPr>
    <w:r>
      <w:tab/>
    </w:r>
    <w:r>
      <w:rPr>
        <w:lang w:val="en-GB"/>
      </w:rPr>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1A6B74">
      <w:rPr>
        <w:rStyle w:val="PageNumber"/>
        <w:rFonts w:cs="Times New Roman"/>
        <w:b/>
        <w:bCs w:val="0"/>
        <w:caps w:val="0"/>
        <w:noProof/>
        <w:szCs w:val="24"/>
      </w:rPr>
      <w:t>25</w:t>
    </w:r>
    <w:r>
      <w:rPr>
        <w:rStyle w:val="PageNumber"/>
        <w:rFonts w:cs="Times New Roman"/>
        <w:b/>
        <w:bCs w:val="0"/>
        <w:caps w:val="0"/>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ACE8D" w14:textId="697B2D49" w:rsidR="00AA2707" w:rsidRDefault="00AA2707">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1A6B74">
      <w:rPr>
        <w:rStyle w:val="PageNumber"/>
        <w:b/>
        <w:caps w:val="0"/>
        <w:noProof/>
        <w:szCs w:val="24"/>
      </w:rPr>
      <w:t>48</w:t>
    </w:r>
    <w:r>
      <w:rPr>
        <w:rStyle w:val="PageNumber"/>
        <w:b/>
        <w:caps w:val="0"/>
        <w:szCs w:val="24"/>
      </w:rPr>
      <w:fldChar w:fldCharType="end"/>
    </w:r>
    <w:r w:rsidR="0017725B">
      <w:tab/>
      <w:t>Public Release Summary—</w:t>
    </w:r>
    <w:r>
      <w:t>frequency herbicide</w:t>
    </w:r>
    <w:r>
      <w:tab/>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5798C" w14:textId="22B58B46" w:rsidR="00AA2707" w:rsidRDefault="00AA2707">
    <w:pPr>
      <w:pStyle w:val="APVMAOddHeader"/>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1A6B74">
      <w:rPr>
        <w:rStyle w:val="PageNumber"/>
        <w:rFonts w:cs="Times New Roman"/>
        <w:b/>
        <w:bCs w:val="0"/>
        <w:caps w:val="0"/>
        <w:noProof/>
        <w:szCs w:val="24"/>
      </w:rPr>
      <w:t>27</w:t>
    </w:r>
    <w:r>
      <w:rPr>
        <w:rStyle w:val="PageNumber"/>
        <w:rFonts w:cs="Times New Roman"/>
        <w:b/>
        <w:bCs w:val="0"/>
        <w:caps w:val="0"/>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28493" w14:textId="5DA04B8A" w:rsidR="00AA2707" w:rsidRDefault="00AA2707">
    <w:pPr>
      <w:pStyle w:val="APVMAOddHeader"/>
    </w:pPr>
    <w:r>
      <w:tab/>
      <w:t>Occupational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C6735">
      <w:rPr>
        <w:rStyle w:val="PageNumber"/>
        <w:rFonts w:cs="Times New Roman"/>
        <w:b/>
        <w:bCs w:val="0"/>
        <w:caps w:val="0"/>
        <w:noProof/>
        <w:szCs w:val="24"/>
      </w:rPr>
      <w:t>29</w:t>
    </w:r>
    <w:r>
      <w:rPr>
        <w:rStyle w:val="PageNumber"/>
        <w:rFonts w:cs="Times New Roman"/>
        <w:b/>
        <w:bCs w:val="0"/>
        <w:caps w:val="0"/>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95036" w14:textId="4233FEE4" w:rsidR="00AA2707" w:rsidRDefault="00AA2707">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1A6B74">
      <w:rPr>
        <w:rStyle w:val="PageNumber"/>
        <w:rFonts w:cs="Times New Roman"/>
        <w:b/>
        <w:bCs w:val="0"/>
        <w:caps w:val="0"/>
        <w:noProof/>
        <w:szCs w:val="24"/>
      </w:rPr>
      <w:t>35</w:t>
    </w:r>
    <w:r>
      <w:rPr>
        <w:rStyle w:val="PageNumber"/>
        <w:rFonts w:cs="Times New Roman"/>
        <w:b/>
        <w:bCs w:val="0"/>
        <w:caps w:val="0"/>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0712" w14:textId="69E16065" w:rsidR="00AA2707" w:rsidRDefault="00AA2707">
    <w:pPr>
      <w:pStyle w:val="APVMAOddHeader"/>
    </w:pPr>
    <w:r>
      <w:tab/>
      <w:t>Efficacy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1A6B74">
      <w:rPr>
        <w:rStyle w:val="PageNumber"/>
        <w:rFonts w:cs="Times New Roman"/>
        <w:b/>
        <w:bCs w:val="0"/>
        <w:caps w:val="0"/>
        <w:noProof/>
        <w:szCs w:val="24"/>
      </w:rPr>
      <w:t>37</w:t>
    </w:r>
    <w:r>
      <w:rPr>
        <w:rStyle w:val="PageNumber"/>
        <w:rFonts w:cs="Times New Roman"/>
        <w:b/>
        <w:bCs w:val="0"/>
        <w:caps w:val="0"/>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3650" w14:textId="3DC4ABC0" w:rsidR="00AA2707" w:rsidRDefault="00AA2707">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1A6B74">
      <w:rPr>
        <w:rStyle w:val="PageNumber"/>
        <w:rFonts w:cs="Times New Roman"/>
        <w:b/>
        <w:bCs w:val="0"/>
        <w:caps w:val="0"/>
        <w:noProof/>
        <w:szCs w:val="24"/>
      </w:rPr>
      <w:t>45</w:t>
    </w:r>
    <w:r>
      <w:rPr>
        <w:rStyle w:val="PageNumber"/>
        <w:rFonts w:cs="Times New Roman"/>
        <w:b/>
        <w:bCs w:val="0"/>
        <w:caps w:val="0"/>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AE66" w14:textId="00A7602D" w:rsidR="00AA2707" w:rsidRDefault="00AA2707">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1A6B74">
      <w:rPr>
        <w:rStyle w:val="PageNumber"/>
        <w:rFonts w:cs="Times New Roman"/>
        <w:b/>
        <w:bCs w:val="0"/>
        <w:caps w:val="0"/>
        <w:noProof/>
        <w:szCs w:val="24"/>
      </w:rPr>
      <w:t>47</w:t>
    </w:r>
    <w:r>
      <w:rPr>
        <w:rStyle w:val="PageNumber"/>
        <w:rFonts w:cs="Times New Roman"/>
        <w:b/>
        <w:bCs w:val="0"/>
        <w:caps w:val="0"/>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A3A8" w14:textId="0CD08617" w:rsidR="00AA2707" w:rsidRDefault="00AA2707">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1A6B74">
      <w:rPr>
        <w:rStyle w:val="PageNumber"/>
        <w:rFonts w:cs="Times New Roman"/>
        <w:b/>
        <w:bCs w:val="0"/>
        <w:caps w:val="0"/>
        <w:noProof/>
        <w:szCs w:val="24"/>
      </w:rPr>
      <w:t>49</w:t>
    </w:r>
    <w:r>
      <w:rPr>
        <w:rStyle w:val="PageNumber"/>
        <w:rFonts w:cs="Times New Roman"/>
        <w:b/>
        <w:bCs w:val="0"/>
        <w:caps w:val="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6FA8" w14:textId="77777777" w:rsidR="00AA2707" w:rsidRDefault="00AA2707"/>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9249" w14:textId="6B14E9FC" w:rsidR="00AA2707" w:rsidRDefault="00AA2707">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51</w:t>
    </w:r>
    <w:r>
      <w:rPr>
        <w:rStyle w:val="PageNumber"/>
        <w:rFonts w:cs="Times New Roman"/>
        <w:b/>
        <w:bCs w:val="0"/>
        <w:caps w:val="0"/>
        <w:szCs w:val="24"/>
      </w:rPr>
      <w:fldChar w:fldCharType="end"/>
    </w:r>
  </w:p>
  <w:p w14:paraId="28DFCF91" w14:textId="77777777" w:rsidR="00AA2707" w:rsidRDefault="00AA2707"/>
  <w:p w14:paraId="2D2AA75F" w14:textId="77777777" w:rsidR="00AA2707" w:rsidRDefault="00AA270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26D7" w14:textId="77777777" w:rsidR="00AA2707" w:rsidRDefault="00AA270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0E9EB" w14:textId="7B71438F" w:rsidR="00AA2707" w:rsidRDefault="00AA2707">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C6735">
      <w:rPr>
        <w:rStyle w:val="PageNumber"/>
        <w:b/>
        <w:caps w:val="0"/>
        <w:noProof/>
        <w:szCs w:val="24"/>
      </w:rPr>
      <w:t>iv</w:t>
    </w:r>
    <w:r>
      <w:rPr>
        <w:rStyle w:val="PageNumber"/>
        <w:b/>
        <w:caps w:val="0"/>
        <w:szCs w:val="24"/>
      </w:rPr>
      <w:fldChar w:fldCharType="end"/>
    </w:r>
    <w:r>
      <w:tab/>
      <w:t>Public Release Summary—frequency herbicide</w:t>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B029" w14:textId="28CEA7C6" w:rsidR="00AA2707" w:rsidRDefault="00AA2707">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C6735">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82B7" w14:textId="41DEB9B3" w:rsidR="00AA2707" w:rsidRDefault="00AA2707">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1A6B74">
      <w:rPr>
        <w:rStyle w:val="PageNumber"/>
        <w:b/>
        <w:caps w:val="0"/>
        <w:noProof/>
        <w:szCs w:val="24"/>
      </w:rPr>
      <w:t>26</w:t>
    </w:r>
    <w:r>
      <w:rPr>
        <w:rStyle w:val="PageNumber"/>
        <w:b/>
        <w:caps w:val="0"/>
        <w:szCs w:val="24"/>
      </w:rPr>
      <w:fldChar w:fldCharType="end"/>
    </w:r>
    <w:r>
      <w:tab/>
      <w:t>Public Release Summary—frequency herbicide</w:t>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F4445" w14:textId="014FF399" w:rsidR="00AA2707" w:rsidRDefault="00AA2707">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C6735">
      <w:rPr>
        <w:rStyle w:val="PageNumber"/>
        <w:rFonts w:cs="Times New Roman"/>
        <w:b/>
        <w:bCs w:val="0"/>
        <w:caps w:val="0"/>
        <w:noProof/>
        <w:szCs w:val="24"/>
      </w:rPr>
      <w:t>v</w:t>
    </w:r>
    <w:r>
      <w:rPr>
        <w:rStyle w:val="PageNumber"/>
        <w:rFonts w:cs="Times New Roman"/>
        <w:b/>
        <w:bCs w:val="0"/>
        <w:caps w:val="0"/>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B8159" w14:textId="4E7C88A4" w:rsidR="00AA2707" w:rsidRDefault="00AA2707" w:rsidP="00AA2707">
    <w:pPr>
      <w:pStyle w:val="APVMAOddHeader"/>
      <w:tabs>
        <w:tab w:val="clear" w:pos="9072"/>
        <w:tab w:val="right" w:pos="9214"/>
      </w:tabs>
    </w:pPr>
    <w:r>
      <w:tab/>
    </w:r>
    <w:r>
      <w:rPr>
        <w:lang w:val="en-GB"/>
      </w:rPr>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C6735">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4C140" w14:textId="1A4A8106" w:rsidR="00AA2707" w:rsidRDefault="00AA2707" w:rsidP="00AA2707">
    <w:pPr>
      <w:pStyle w:val="APVMAOddHeader"/>
      <w:tabs>
        <w:tab w:val="clear" w:pos="9072"/>
        <w:tab w:val="right" w:pos="9214"/>
      </w:tabs>
    </w:pPr>
    <w:r>
      <w:tab/>
    </w:r>
    <w:r>
      <w:rPr>
        <w:lang w:val="en-GB"/>
      </w:rPr>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C6735">
      <w:rPr>
        <w:rStyle w:val="PageNumber"/>
        <w:rFonts w:cs="Times New Roman"/>
        <w:b/>
        <w:bCs w:val="0"/>
        <w:caps w:val="0"/>
        <w:szCs w:val="24"/>
      </w:rPr>
      <w:t>11</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7" w15:restartNumberingAfterBreak="0">
    <w:nsid w:val="5F9D5025"/>
    <w:multiLevelType w:val="hybridMultilevel"/>
    <w:tmpl w:val="9E500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BA2F6D"/>
    <w:multiLevelType w:val="hybridMultilevel"/>
    <w:tmpl w:val="649E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6"/>
  </w:num>
  <w:num w:numId="4">
    <w:abstractNumId w:val="6"/>
  </w:num>
  <w:num w:numId="5">
    <w:abstractNumId w:val="3"/>
  </w:num>
  <w:num w:numId="6">
    <w:abstractNumId w:val="1"/>
  </w:num>
  <w:num w:numId="7">
    <w:abstractNumId w:val="0"/>
  </w:num>
  <w:num w:numId="8">
    <w:abstractNumId w:val="2"/>
  </w:num>
  <w:num w:numId="9">
    <w:abstractNumId w:val="5"/>
  </w:num>
  <w:num w:numId="10">
    <w:abstractNumId w:val="4"/>
  </w:num>
  <w:num w:numId="11">
    <w:abstractNumId w:val="8"/>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en-AU" w:vendorID="6" w:dllVersion="2" w:checkStyle="1"/>
  <w:proofState w:spelling="clean" w:grammar="clean"/>
  <w:defaultTabStop w:val="567"/>
  <w:evenAndOddHeaders/>
  <w:noPunctuationKerning/>
  <w:characterSpacingControl w:val="doNotCompress"/>
  <w:hdrShapeDefaults>
    <o:shapedefaults v:ext="edit" spidmax="2252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99"/>
    <w:rsid w:val="00002B5B"/>
    <w:rsid w:val="00005CE1"/>
    <w:rsid w:val="00010272"/>
    <w:rsid w:val="00053E9D"/>
    <w:rsid w:val="00094BCF"/>
    <w:rsid w:val="000A6692"/>
    <w:rsid w:val="000D74AA"/>
    <w:rsid w:val="000E3142"/>
    <w:rsid w:val="000F3712"/>
    <w:rsid w:val="00105A99"/>
    <w:rsid w:val="00130F2C"/>
    <w:rsid w:val="0015638A"/>
    <w:rsid w:val="0017126A"/>
    <w:rsid w:val="0017725B"/>
    <w:rsid w:val="001A6B74"/>
    <w:rsid w:val="001D2BF9"/>
    <w:rsid w:val="001D4D17"/>
    <w:rsid w:val="001E11F6"/>
    <w:rsid w:val="001E18EB"/>
    <w:rsid w:val="002073B9"/>
    <w:rsid w:val="00253715"/>
    <w:rsid w:val="0027406B"/>
    <w:rsid w:val="00276C28"/>
    <w:rsid w:val="00277F23"/>
    <w:rsid w:val="002846E7"/>
    <w:rsid w:val="002A7FB1"/>
    <w:rsid w:val="002B04B9"/>
    <w:rsid w:val="002B1122"/>
    <w:rsid w:val="002B4104"/>
    <w:rsid w:val="00320FFA"/>
    <w:rsid w:val="00330F22"/>
    <w:rsid w:val="00331850"/>
    <w:rsid w:val="0038185C"/>
    <w:rsid w:val="00383673"/>
    <w:rsid w:val="00393762"/>
    <w:rsid w:val="003A003F"/>
    <w:rsid w:val="003C1298"/>
    <w:rsid w:val="003F3902"/>
    <w:rsid w:val="00411EF7"/>
    <w:rsid w:val="00431486"/>
    <w:rsid w:val="00440BE9"/>
    <w:rsid w:val="00461E4B"/>
    <w:rsid w:val="004631F2"/>
    <w:rsid w:val="00482C5C"/>
    <w:rsid w:val="00491E22"/>
    <w:rsid w:val="004B38B0"/>
    <w:rsid w:val="004B7DDD"/>
    <w:rsid w:val="004C7182"/>
    <w:rsid w:val="004E0C72"/>
    <w:rsid w:val="004E0CEA"/>
    <w:rsid w:val="004E3167"/>
    <w:rsid w:val="004F0A8F"/>
    <w:rsid w:val="00534645"/>
    <w:rsid w:val="00563319"/>
    <w:rsid w:val="005709D7"/>
    <w:rsid w:val="005A7B49"/>
    <w:rsid w:val="005A7D0A"/>
    <w:rsid w:val="005B191B"/>
    <w:rsid w:val="005B223E"/>
    <w:rsid w:val="005D1EFB"/>
    <w:rsid w:val="005D24BB"/>
    <w:rsid w:val="005D4B34"/>
    <w:rsid w:val="005F6709"/>
    <w:rsid w:val="00611CFB"/>
    <w:rsid w:val="006163DC"/>
    <w:rsid w:val="0062481C"/>
    <w:rsid w:val="00633F75"/>
    <w:rsid w:val="00642A09"/>
    <w:rsid w:val="0064709C"/>
    <w:rsid w:val="006474CF"/>
    <w:rsid w:val="00680EBB"/>
    <w:rsid w:val="00681F48"/>
    <w:rsid w:val="006901D0"/>
    <w:rsid w:val="00691682"/>
    <w:rsid w:val="006C3897"/>
    <w:rsid w:val="006C539B"/>
    <w:rsid w:val="00702180"/>
    <w:rsid w:val="007111A0"/>
    <w:rsid w:val="0072171B"/>
    <w:rsid w:val="007A4A00"/>
    <w:rsid w:val="007B530F"/>
    <w:rsid w:val="00804FAB"/>
    <w:rsid w:val="008221D8"/>
    <w:rsid w:val="00826439"/>
    <w:rsid w:val="00840841"/>
    <w:rsid w:val="00843B41"/>
    <w:rsid w:val="008522F0"/>
    <w:rsid w:val="00856783"/>
    <w:rsid w:val="00856924"/>
    <w:rsid w:val="00857A13"/>
    <w:rsid w:val="0088250E"/>
    <w:rsid w:val="008D75F3"/>
    <w:rsid w:val="008F730B"/>
    <w:rsid w:val="0090196F"/>
    <w:rsid w:val="00944FB6"/>
    <w:rsid w:val="00945138"/>
    <w:rsid w:val="00995FB4"/>
    <w:rsid w:val="009A5578"/>
    <w:rsid w:val="009A6092"/>
    <w:rsid w:val="009E156A"/>
    <w:rsid w:val="00A27C42"/>
    <w:rsid w:val="00A355BA"/>
    <w:rsid w:val="00A459D7"/>
    <w:rsid w:val="00A5189F"/>
    <w:rsid w:val="00A53FCC"/>
    <w:rsid w:val="00A7268C"/>
    <w:rsid w:val="00A947B0"/>
    <w:rsid w:val="00AA2707"/>
    <w:rsid w:val="00B05E81"/>
    <w:rsid w:val="00B20321"/>
    <w:rsid w:val="00B207D6"/>
    <w:rsid w:val="00B401F5"/>
    <w:rsid w:val="00B75B0D"/>
    <w:rsid w:val="00B81380"/>
    <w:rsid w:val="00B94649"/>
    <w:rsid w:val="00BD010E"/>
    <w:rsid w:val="00BD5114"/>
    <w:rsid w:val="00C07484"/>
    <w:rsid w:val="00C42E0D"/>
    <w:rsid w:val="00C50EDF"/>
    <w:rsid w:val="00C51D50"/>
    <w:rsid w:val="00C54801"/>
    <w:rsid w:val="00C560CF"/>
    <w:rsid w:val="00C73E9F"/>
    <w:rsid w:val="00C876F1"/>
    <w:rsid w:val="00C93AAB"/>
    <w:rsid w:val="00CA5C10"/>
    <w:rsid w:val="00CD0722"/>
    <w:rsid w:val="00CD1AC0"/>
    <w:rsid w:val="00CD3C55"/>
    <w:rsid w:val="00CF447D"/>
    <w:rsid w:val="00CF4E15"/>
    <w:rsid w:val="00D1084D"/>
    <w:rsid w:val="00D21C3A"/>
    <w:rsid w:val="00D27695"/>
    <w:rsid w:val="00D605BF"/>
    <w:rsid w:val="00D77AF5"/>
    <w:rsid w:val="00D87AB1"/>
    <w:rsid w:val="00D95C9D"/>
    <w:rsid w:val="00D95E5D"/>
    <w:rsid w:val="00DA4DEA"/>
    <w:rsid w:val="00DC4127"/>
    <w:rsid w:val="00DD43CB"/>
    <w:rsid w:val="00DE11B9"/>
    <w:rsid w:val="00E0037A"/>
    <w:rsid w:val="00E1321B"/>
    <w:rsid w:val="00E14D0D"/>
    <w:rsid w:val="00E156D5"/>
    <w:rsid w:val="00E16C92"/>
    <w:rsid w:val="00E22011"/>
    <w:rsid w:val="00E55BBF"/>
    <w:rsid w:val="00E70147"/>
    <w:rsid w:val="00E84647"/>
    <w:rsid w:val="00EA2FEF"/>
    <w:rsid w:val="00EB427D"/>
    <w:rsid w:val="00EC01CD"/>
    <w:rsid w:val="00ED3EC7"/>
    <w:rsid w:val="00F142B9"/>
    <w:rsid w:val="00F2272A"/>
    <w:rsid w:val="00F22E31"/>
    <w:rsid w:val="00F23B11"/>
    <w:rsid w:val="00F27E0D"/>
    <w:rsid w:val="00F34BDD"/>
    <w:rsid w:val="00F43067"/>
    <w:rsid w:val="00F46D54"/>
    <w:rsid w:val="00F55FA8"/>
    <w:rsid w:val="00F70B55"/>
    <w:rsid w:val="00F77DED"/>
    <w:rsid w:val="00F844B9"/>
    <w:rsid w:val="00F84D5F"/>
    <w:rsid w:val="00FA39F4"/>
    <w:rsid w:val="00FB26B2"/>
    <w:rsid w:val="00FC01BB"/>
    <w:rsid w:val="00FC32D4"/>
    <w:rsid w:val="00FC6735"/>
    <w:rsid w:val="00FD0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6CE9C1DF"/>
  <w15:docId w15:val="{E1CDDE62-0793-443C-9514-C1F6C568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aliases w:val="APVMA_H1"/>
    <w:basedOn w:val="APVMAText"/>
    <w:next w:val="APVMAText"/>
    <w:qFormat/>
    <w:pPr>
      <w:keepNext/>
      <w:keepLines/>
      <w:pageBreakBefore/>
      <w:numPr>
        <w:numId w:val="3"/>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link w:val="Heading2Char"/>
    <w:qFormat/>
    <w:pPr>
      <w:pageBreakBefore w:val="0"/>
      <w:numPr>
        <w:ilvl w:val="1"/>
        <w:numId w:val="4"/>
      </w:numPr>
      <w:tabs>
        <w:tab w:val="clear" w:pos="680"/>
        <w:tab w:val="num" w:pos="907"/>
      </w:tabs>
      <w:spacing w:before="400" w:after="0" w:line="320" w:lineRule="exact"/>
      <w:ind w:left="907" w:hanging="907"/>
      <w:outlineLvl w:val="1"/>
    </w:pPr>
    <w:rPr>
      <w:caps w:val="0"/>
      <w:sz w:val="28"/>
      <w:szCs w:val="28"/>
    </w:rPr>
  </w:style>
  <w:style w:type="paragraph" w:styleId="Heading3">
    <w:name w:val="heading 3"/>
    <w:aliases w:val="APVMA_H3"/>
    <w:basedOn w:val="Heading2"/>
    <w:next w:val="APVMAText"/>
    <w:link w:val="Heading3Char"/>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link w:val="APVMATextChar"/>
    <w:pPr>
      <w:suppressAutoHyphens/>
      <w:spacing w:before="240" w:after="240" w:line="280" w:lineRule="exact"/>
    </w:pPr>
    <w:rPr>
      <w:rFonts w:cs="Arial"/>
      <w:u w:color="000000"/>
    </w:rPr>
  </w:style>
  <w:style w:type="paragraph" w:styleId="CommentText">
    <w:name w:val="annotation text"/>
    <w:link w:val="CommentTextChar"/>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DAR001"/>
    <w:basedOn w:val="APVMAText"/>
    <w:link w:val="FootnoteTextChar"/>
    <w:pPr>
      <w:spacing w:after="0" w:line="180" w:lineRule="exact"/>
      <w:ind w:left="227" w:hanging="227"/>
    </w:pPr>
    <w:rPr>
      <w:spacing w:val="6"/>
      <w:sz w:val="16"/>
      <w:szCs w:val="20"/>
    </w:rPr>
  </w:style>
  <w:style w:type="character" w:styleId="Emphasis">
    <w:name w:val="Emphasis"/>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aliases w:val="Style 7"/>
    <w:uiPriority w:val="99"/>
    <w:rPr>
      <w:color w:val="0000FF"/>
      <w:u w:val="single"/>
    </w:rPr>
  </w:style>
  <w:style w:type="paragraph" w:customStyle="1" w:styleId="APVMATableBullet">
    <w:name w:val="APVMA_TableBullet"/>
    <w:basedOn w:val="APVMATableText"/>
    <w:pPr>
      <w:numPr>
        <w:numId w:val="9"/>
      </w:numPr>
      <w:spacing w:after="60"/>
    </w:pPr>
  </w:style>
  <w:style w:type="paragraph" w:customStyle="1" w:styleId="APVMATableText">
    <w:name w:val="APVMA_TableText"/>
    <w:basedOn w:val="APVMAText"/>
    <w:rsid w:val="00C560CF"/>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8"/>
      </w:numPr>
      <w:spacing w:before="120" w:after="120"/>
    </w:pPr>
  </w:style>
  <w:style w:type="paragraph" w:styleId="Header">
    <w:name w:val="header"/>
    <w:basedOn w:val="Normal"/>
    <w:semiHidden/>
    <w:pPr>
      <w:tabs>
        <w:tab w:val="center" w:pos="4153"/>
        <w:tab w:val="right" w:pos="8306"/>
      </w:tabs>
    </w:pPr>
  </w:style>
  <w:style w:type="character" w:styleId="Strong">
    <w:name w:val="Strong"/>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numPr>
        <w:numId w:val="5"/>
      </w:numPr>
      <w:spacing w:before="120" w:after="120"/>
    </w:pPr>
  </w:style>
  <w:style w:type="paragraph" w:customStyle="1" w:styleId="APVMABullet2">
    <w:name w:val="APVMA_Bullet2"/>
    <w:basedOn w:val="APVMABullet1"/>
    <w:pPr>
      <w:numPr>
        <w:numId w:val="6"/>
      </w:numPr>
      <w:spacing w:before="60"/>
    </w:pPr>
  </w:style>
  <w:style w:type="character" w:styleId="FootnoteReference">
    <w:name w:val="footnote reference"/>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APVMAText"/>
    <w:qFormat/>
    <w:rsid w:val="00C560CF"/>
    <w:pPr>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uiPriority w:val="99"/>
    <w:pPr>
      <w:ind w:left="851" w:hanging="851"/>
    </w:pPr>
  </w:style>
  <w:style w:type="paragraph" w:customStyle="1" w:styleId="APVMABullet3">
    <w:name w:val="APVMA_Bullet3"/>
    <w:basedOn w:val="APVMABullet2"/>
    <w:pPr>
      <w:numPr>
        <w:numId w:val="10"/>
      </w:numPr>
      <w:spacing w:before="120"/>
      <w:ind w:left="1020" w:hanging="340"/>
    </w:p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Footer">
    <w:name w:val="APVMA_Footer"/>
    <w:basedOn w:val="Normal"/>
    <w:rPr>
      <w:rFonts w:ascii="Arial Bold" w:hAnsi="Arial Bold"/>
      <w:b/>
      <w:color w:val="365860"/>
    </w:rPr>
  </w:style>
  <w:style w:type="character" w:styleId="FollowedHyperlink">
    <w:name w:val="FollowedHyperlink"/>
    <w:semiHidden/>
    <w:rPr>
      <w:color w:val="800080"/>
      <w:u w:val="single"/>
    </w:rPr>
  </w:style>
  <w:style w:type="paragraph" w:customStyle="1" w:styleId="APVMAPreliminariesH1">
    <w:name w:val="APVMA_Preliminaries_H1"/>
    <w:basedOn w:val="Heading1"/>
    <w:next w:val="APVMAText"/>
    <w:pPr>
      <w:numPr>
        <w:numId w:val="0"/>
      </w:numPr>
    </w:pPr>
    <w:rPr>
      <w:bCs/>
      <w:szCs w:val="30"/>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numPr>
        <w:numId w:val="7"/>
      </w:numPr>
      <w:spacing w:before="120" w:after="120"/>
    </w:pPr>
  </w:style>
  <w:style w:type="paragraph" w:customStyle="1" w:styleId="APVMAAppendixH1">
    <w:name w:val="APVMA_Appendix_H1"/>
    <w:basedOn w:val="APVMAPreliminariesH1"/>
    <w:next w:val="APVMAText"/>
    <w:pPr>
      <w:tabs>
        <w:tab w:val="left" w:pos="2058"/>
      </w:tabs>
      <w:ind w:left="2044" w:hanging="2044"/>
    </w:p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styleId="BalloonText">
    <w:name w:val="Balloon Text"/>
    <w:basedOn w:val="Normal"/>
    <w:link w:val="BalloonTextChar"/>
    <w:uiPriority w:val="99"/>
    <w:semiHidden/>
    <w:unhideWhenUsed/>
    <w:rsid w:val="00CD1AC0"/>
    <w:rPr>
      <w:rFonts w:ascii="Tahoma" w:hAnsi="Tahoma" w:cs="Tahoma"/>
      <w:sz w:val="16"/>
      <w:szCs w:val="16"/>
    </w:rPr>
  </w:style>
  <w:style w:type="character" w:customStyle="1" w:styleId="BalloonTextChar">
    <w:name w:val="Balloon Text Char"/>
    <w:link w:val="BalloonText"/>
    <w:uiPriority w:val="99"/>
    <w:semiHidden/>
    <w:rsid w:val="00CD1AC0"/>
    <w:rPr>
      <w:rFonts w:ascii="Tahoma" w:hAnsi="Tahoma" w:cs="Tahoma"/>
      <w:sz w:val="16"/>
      <w:szCs w:val="16"/>
      <w:lang w:eastAsia="en-US"/>
    </w:rPr>
  </w:style>
  <w:style w:type="character" w:customStyle="1" w:styleId="Heading3Char">
    <w:name w:val="Heading 3 Char"/>
    <w:aliases w:val="APVMA_H3 Char"/>
    <w:basedOn w:val="DefaultParagraphFont"/>
    <w:link w:val="Heading3"/>
    <w:rsid w:val="008D75F3"/>
    <w:rPr>
      <w:rFonts w:ascii="Trebuchet MS" w:hAnsi="Trebuchet MS" w:cs="Arial"/>
      <w:b/>
      <w:color w:val="365860"/>
      <w:sz w:val="24"/>
      <w:szCs w:val="26"/>
      <w:u w:color="000000"/>
      <w:lang w:eastAsia="en-US"/>
    </w:rPr>
  </w:style>
  <w:style w:type="paragraph" w:customStyle="1" w:styleId="Default">
    <w:name w:val="Default"/>
    <w:rsid w:val="00F77DED"/>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90196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B7DDD"/>
    <w:pPr>
      <w:spacing w:before="0" w:line="240" w:lineRule="auto"/>
    </w:pPr>
    <w:rPr>
      <w:b/>
      <w:bCs/>
    </w:rPr>
  </w:style>
  <w:style w:type="character" w:customStyle="1" w:styleId="CommentSubjectChar">
    <w:name w:val="Comment Subject Char"/>
    <w:basedOn w:val="CommentTextChar"/>
    <w:link w:val="CommentSubject"/>
    <w:uiPriority w:val="99"/>
    <w:semiHidden/>
    <w:rsid w:val="004B7DDD"/>
    <w:rPr>
      <w:rFonts w:ascii="Arial" w:hAnsi="Arial"/>
      <w:b/>
      <w:bCs/>
      <w:lang w:eastAsia="en-US"/>
    </w:rPr>
  </w:style>
  <w:style w:type="character" w:customStyle="1" w:styleId="APVMATextChar">
    <w:name w:val="APVMA_Text Char"/>
    <w:basedOn w:val="DefaultParagraphFont"/>
    <w:link w:val="APVMAText"/>
    <w:rsid w:val="006474CF"/>
    <w:rPr>
      <w:rFonts w:ascii="Arial" w:hAnsi="Arial" w:cs="Arial"/>
      <w:szCs w:val="24"/>
      <w:u w:color="000000"/>
      <w:lang w:eastAsia="en-US"/>
    </w:rPr>
  </w:style>
  <w:style w:type="table" w:styleId="TableGrid">
    <w:name w:val="Table Grid"/>
    <w:basedOn w:val="TableNormal"/>
    <w:uiPriority w:val="39"/>
    <w:rsid w:val="00BD010E"/>
    <w:rPr>
      <w:rFonts w:ascii="Calibri" w:eastAsia="SimSun" w:hAnsi="Calibri" w:cs="Arial"/>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PVMA_H2 Char"/>
    <w:basedOn w:val="DefaultParagraphFont"/>
    <w:link w:val="Heading2"/>
    <w:rsid w:val="001E11F6"/>
    <w:rPr>
      <w:rFonts w:ascii="Trebuchet MS" w:hAnsi="Trebuchet MS" w:cs="Arial"/>
      <w:b/>
      <w:color w:val="365860"/>
      <w:sz w:val="28"/>
      <w:szCs w:val="28"/>
      <w:u w:color="000000"/>
      <w:lang w:eastAsia="en-US"/>
    </w:rPr>
  </w:style>
  <w:style w:type="paragraph" w:customStyle="1" w:styleId="BODYTEXT">
    <w:name w:val="BODYTEXT"/>
    <w:rsid w:val="001E11F6"/>
    <w:rPr>
      <w:sz w:val="24"/>
      <w:lang w:eastAsia="en-US"/>
    </w:rPr>
  </w:style>
  <w:style w:type="character" w:customStyle="1" w:styleId="FootnoteTextChar">
    <w:name w:val="Footnote Text Char"/>
    <w:aliases w:val="APVMA_Footnote Char,DAR001 Char"/>
    <w:basedOn w:val="DefaultParagraphFont"/>
    <w:link w:val="FootnoteText"/>
    <w:rsid w:val="00130F2C"/>
    <w:rPr>
      <w:rFonts w:ascii="Arial" w:hAnsi="Arial" w:cs="Arial"/>
      <w:spacing w:val="6"/>
      <w:sz w:val="16"/>
      <w:u w:color="000000"/>
      <w:lang w:eastAsia="en-US"/>
    </w:rPr>
  </w:style>
  <w:style w:type="paragraph" w:styleId="BodyText0">
    <w:name w:val="Body Text"/>
    <w:basedOn w:val="Normal"/>
    <w:link w:val="BodyTextChar"/>
    <w:qFormat/>
    <w:rsid w:val="00D87AB1"/>
    <w:pPr>
      <w:spacing w:after="120"/>
    </w:pPr>
    <w:rPr>
      <w:rFonts w:ascii="Times New Roman" w:hAnsi="Times New Roman"/>
      <w:sz w:val="24"/>
    </w:rPr>
  </w:style>
  <w:style w:type="character" w:customStyle="1" w:styleId="BodyTextChar">
    <w:name w:val="Body Text Char"/>
    <w:basedOn w:val="DefaultParagraphFont"/>
    <w:link w:val="BodyText0"/>
    <w:rsid w:val="00D87AB1"/>
    <w:rPr>
      <w:sz w:val="24"/>
      <w:szCs w:val="24"/>
      <w:lang w:eastAsia="en-US"/>
    </w:rPr>
  </w:style>
  <w:style w:type="paragraph" w:styleId="NoSpacing">
    <w:name w:val="No Spacing"/>
    <w:uiPriority w:val="1"/>
    <w:qFormat/>
    <w:rsid w:val="004631F2"/>
    <w:rPr>
      <w:rFonts w:asciiTheme="minorHAnsi" w:eastAsiaTheme="minorHAnsi" w:hAnsiTheme="minorHAnsi" w:cstheme="minorBidi"/>
      <w:sz w:val="22"/>
      <w:szCs w:val="22"/>
      <w:lang w:val="de-DE" w:eastAsia="en-US"/>
    </w:rPr>
  </w:style>
  <w:style w:type="paragraph" w:styleId="Revision">
    <w:name w:val="Revision"/>
    <w:hidden/>
    <w:uiPriority w:val="99"/>
    <w:semiHidden/>
    <w:rsid w:val="00276C28"/>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776674">
      <w:bodyDiv w:val="1"/>
      <w:marLeft w:val="0"/>
      <w:marRight w:val="0"/>
      <w:marTop w:val="0"/>
      <w:marBottom w:val="0"/>
      <w:divBdr>
        <w:top w:val="none" w:sz="0" w:space="0" w:color="auto"/>
        <w:left w:val="none" w:sz="0" w:space="0" w:color="auto"/>
        <w:bottom w:val="none" w:sz="0" w:space="0" w:color="auto"/>
        <w:right w:val="none" w:sz="0" w:space="0" w:color="auto"/>
      </w:divBdr>
    </w:div>
    <w:div w:id="18995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pmc.gov.au/pmc/publication/commonwealth-coat-arms-information-and-guidelines)." TargetMode="External"/><Relationship Id="rId26" Type="http://schemas.openxmlformats.org/officeDocument/2006/relationships/hyperlink" Target="https://apvma.gov.au/" TargetMode="External"/><Relationship Id="rId39" Type="http://schemas.openxmlformats.org/officeDocument/2006/relationships/header" Target="header11.xm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footer" Target="footer4.xml"/><Relationship Id="rId47" Type="http://schemas.openxmlformats.org/officeDocument/2006/relationships/image" Target="media/image10.png"/><Relationship Id="rId50" Type="http://schemas.openxmlformats.org/officeDocument/2006/relationships/header" Target="header19.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reativecommons.org/licenses/by/3.0/au/legalcode" TargetMode="External"/><Relationship Id="rId25" Type="http://schemas.openxmlformats.org/officeDocument/2006/relationships/footer" Target="footer2.xml"/><Relationship Id="rId33" Type="http://schemas.openxmlformats.org/officeDocument/2006/relationships/image" Target="media/image6.png"/><Relationship Id="rId38" Type="http://schemas.openxmlformats.org/officeDocument/2006/relationships/image" Target="media/image9.wmf"/><Relationship Id="rId46" Type="http://schemas.openxmlformats.org/officeDocument/2006/relationships/hyperlink" Target="http://www.croplife.com.au" TargetMode="External"/><Relationship Id="rId2" Type="http://schemas.openxmlformats.org/officeDocument/2006/relationships/customXml" Target="../customXml/item2.xml"/><Relationship Id="rId16" Type="http://schemas.openxmlformats.org/officeDocument/2006/relationships/hyperlink" Target="http://www.creativecommons.org/licenses/by/3.0/au/deed.en" TargetMode="External"/><Relationship Id="rId20" Type="http://schemas.openxmlformats.org/officeDocument/2006/relationships/hyperlink" Target="http://www.apvma.gov.au" TargetMode="External"/><Relationship Id="rId29" Type="http://schemas.openxmlformats.org/officeDocument/2006/relationships/header" Target="header7.xml"/><Relationship Id="rId41" Type="http://schemas.openxmlformats.org/officeDocument/2006/relationships/header" Target="header13.xml"/><Relationship Id="rId54"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image" Target="media/image8.emf"/><Relationship Id="rId40" Type="http://schemas.openxmlformats.org/officeDocument/2006/relationships/header" Target="header12.xml"/><Relationship Id="rId45" Type="http://schemas.openxmlformats.org/officeDocument/2006/relationships/header" Target="header16.xml"/><Relationship Id="rId53" Type="http://schemas.openxmlformats.org/officeDocument/2006/relationships/hyperlink" Target="http://www.agriculture.gov.au/about/assistance-grants-tenders"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image" Target="media/image7.wmf"/><Relationship Id="rId49" Type="http://schemas.openxmlformats.org/officeDocument/2006/relationships/header" Target="header18.xml"/><Relationship Id="rId10" Type="http://schemas.openxmlformats.org/officeDocument/2006/relationships/image" Target="media/image2.jpeg"/><Relationship Id="rId19" Type="http://schemas.openxmlformats.org/officeDocument/2006/relationships/hyperlink" Target="mailto:communications@apvma.gov.au" TargetMode="External"/><Relationship Id="rId31" Type="http://schemas.openxmlformats.org/officeDocument/2006/relationships/hyperlink" Target="https://apvma.gov.au/" TargetMode="External"/><Relationship Id="rId44" Type="http://schemas.openxmlformats.org/officeDocument/2006/relationships/header" Target="header15.xml"/><Relationship Id="rId52" Type="http://schemas.openxmlformats.org/officeDocument/2006/relationships/hyperlink" Target="https://apvma.gov.au/registrations-and-permits/data-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yperlink" Target="mailto:enquiries@apvma.gov.au" TargetMode="External"/><Relationship Id="rId30" Type="http://schemas.openxmlformats.org/officeDocument/2006/relationships/footer" Target="footer3.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header" Target="header17.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apvma.gov.au/node/27941"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A1243174</value>
    </field>
    <field name="Objective-Title">
      <value order="0">Template_ Public Release Summary</value>
    </field>
    <field name="Objective-Description">
      <value order="0"/>
    </field>
    <field name="Objective-CreationStamp">
      <value order="0">2018-09-12T03:46:10Z</value>
    </field>
    <field name="Objective-IsApproved">
      <value order="0">false</value>
    </field>
    <field name="Objective-IsPublished">
      <value order="0">true</value>
    </field>
    <field name="Objective-DatePublished">
      <value order="0">2019-02-20T00:25:25Z</value>
    </field>
    <field name="Objective-ModificationStamp">
      <value order="0">2019-02-20T00:25:25Z</value>
    </field>
    <field name="Objective-Owner">
      <value order="0">Andrew Loch</value>
    </field>
    <field name="Objective-Path">
      <value order="0">APVMA:BUSINESS SYSTEMS:Business Systems - Instructional Material Library:Business Systems - Work Instructions - Registration, Management and Evaluation:BS - Work Instructions - Evaluation - Pesticides:02 - Forms letters templates</value>
    </field>
    <field name="Objective-Parent">
      <value order="0">02 - Forms letters templates</value>
    </field>
    <field name="Objective-State">
      <value order="0">Published</value>
    </field>
    <field name="Objective-VersionId">
      <value order="0">vA2134017</value>
    </field>
    <field name="Objective-Version">
      <value order="0">2.0</value>
    </field>
    <field name="Objective-VersionNumber">
      <value order="0">16</value>
    </field>
    <field name="Objective-VersionComment">
      <value order="0"/>
    </field>
    <field name="Objective-FileNumber">
      <value order="0">qA18190</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B039453-9156-4680-BD9B-FE8318AC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15575</Words>
  <Characters>91158</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Public Release Summary Frequency Herbicide</vt:lpstr>
    </vt:vector>
  </TitlesOfParts>
  <Company>Australian Pesticides and Veterinary Medicines Authority</Company>
  <LinksUpToDate>false</LinksUpToDate>
  <CharactersWithSpaces>106520</CharactersWithSpaces>
  <SharedDoc>false</SharedDoc>
  <HyperlinkBase/>
  <HLinks>
    <vt:vector size="138" baseType="variant">
      <vt:variant>
        <vt:i4>131159</vt:i4>
      </vt:variant>
      <vt:variant>
        <vt:i4>148</vt:i4>
      </vt:variant>
      <vt:variant>
        <vt:i4>0</vt:i4>
      </vt:variant>
      <vt:variant>
        <vt:i4>5</vt:i4>
      </vt:variant>
      <vt:variant>
        <vt:lpwstr>http://www.apvma.gov.au/</vt:lpwstr>
      </vt:variant>
      <vt:variant>
        <vt:lpwstr/>
      </vt:variant>
      <vt:variant>
        <vt:i4>1048625</vt:i4>
      </vt:variant>
      <vt:variant>
        <vt:i4>127</vt:i4>
      </vt:variant>
      <vt:variant>
        <vt:i4>0</vt:i4>
      </vt:variant>
      <vt:variant>
        <vt:i4>5</vt:i4>
      </vt:variant>
      <vt:variant>
        <vt:lpwstr/>
      </vt:variant>
      <vt:variant>
        <vt:lpwstr>_Toc285709610</vt:lpwstr>
      </vt:variant>
      <vt:variant>
        <vt:i4>1114161</vt:i4>
      </vt:variant>
      <vt:variant>
        <vt:i4>121</vt:i4>
      </vt:variant>
      <vt:variant>
        <vt:i4>0</vt:i4>
      </vt:variant>
      <vt:variant>
        <vt:i4>5</vt:i4>
      </vt:variant>
      <vt:variant>
        <vt:lpwstr/>
      </vt:variant>
      <vt:variant>
        <vt:lpwstr>_Toc285709609</vt:lpwstr>
      </vt:variant>
      <vt:variant>
        <vt:i4>1114161</vt:i4>
      </vt:variant>
      <vt:variant>
        <vt:i4>115</vt:i4>
      </vt:variant>
      <vt:variant>
        <vt:i4>0</vt:i4>
      </vt:variant>
      <vt:variant>
        <vt:i4>5</vt:i4>
      </vt:variant>
      <vt:variant>
        <vt:lpwstr/>
      </vt:variant>
      <vt:variant>
        <vt:lpwstr>_Toc285709608</vt:lpwstr>
      </vt:variant>
      <vt:variant>
        <vt:i4>1114161</vt:i4>
      </vt:variant>
      <vt:variant>
        <vt:i4>106</vt:i4>
      </vt:variant>
      <vt:variant>
        <vt:i4>0</vt:i4>
      </vt:variant>
      <vt:variant>
        <vt:i4>5</vt:i4>
      </vt:variant>
      <vt:variant>
        <vt:lpwstr/>
      </vt:variant>
      <vt:variant>
        <vt:lpwstr>_Toc285709606</vt:lpwstr>
      </vt:variant>
      <vt:variant>
        <vt:i4>1114161</vt:i4>
      </vt:variant>
      <vt:variant>
        <vt:i4>100</vt:i4>
      </vt:variant>
      <vt:variant>
        <vt:i4>0</vt:i4>
      </vt:variant>
      <vt:variant>
        <vt:i4>5</vt:i4>
      </vt:variant>
      <vt:variant>
        <vt:lpwstr/>
      </vt:variant>
      <vt:variant>
        <vt:lpwstr>_Toc285709605</vt:lpwstr>
      </vt:variant>
      <vt:variant>
        <vt:i4>1114161</vt:i4>
      </vt:variant>
      <vt:variant>
        <vt:i4>94</vt:i4>
      </vt:variant>
      <vt:variant>
        <vt:i4>0</vt:i4>
      </vt:variant>
      <vt:variant>
        <vt:i4>5</vt:i4>
      </vt:variant>
      <vt:variant>
        <vt:lpwstr/>
      </vt:variant>
      <vt:variant>
        <vt:lpwstr>_Toc285709604</vt:lpwstr>
      </vt:variant>
      <vt:variant>
        <vt:i4>1114161</vt:i4>
      </vt:variant>
      <vt:variant>
        <vt:i4>88</vt:i4>
      </vt:variant>
      <vt:variant>
        <vt:i4>0</vt:i4>
      </vt:variant>
      <vt:variant>
        <vt:i4>5</vt:i4>
      </vt:variant>
      <vt:variant>
        <vt:lpwstr/>
      </vt:variant>
      <vt:variant>
        <vt:lpwstr>_Toc285709603</vt:lpwstr>
      </vt:variant>
      <vt:variant>
        <vt:i4>1114161</vt:i4>
      </vt:variant>
      <vt:variant>
        <vt:i4>82</vt:i4>
      </vt:variant>
      <vt:variant>
        <vt:i4>0</vt:i4>
      </vt:variant>
      <vt:variant>
        <vt:i4>5</vt:i4>
      </vt:variant>
      <vt:variant>
        <vt:lpwstr/>
      </vt:variant>
      <vt:variant>
        <vt:lpwstr>_Toc285709602</vt:lpwstr>
      </vt:variant>
      <vt:variant>
        <vt:i4>1114161</vt:i4>
      </vt:variant>
      <vt:variant>
        <vt:i4>76</vt:i4>
      </vt:variant>
      <vt:variant>
        <vt:i4>0</vt:i4>
      </vt:variant>
      <vt:variant>
        <vt:i4>5</vt:i4>
      </vt:variant>
      <vt:variant>
        <vt:lpwstr/>
      </vt:variant>
      <vt:variant>
        <vt:lpwstr>_Toc285709601</vt:lpwstr>
      </vt:variant>
      <vt:variant>
        <vt:i4>1114161</vt:i4>
      </vt:variant>
      <vt:variant>
        <vt:i4>70</vt:i4>
      </vt:variant>
      <vt:variant>
        <vt:i4>0</vt:i4>
      </vt:variant>
      <vt:variant>
        <vt:i4>5</vt:i4>
      </vt:variant>
      <vt:variant>
        <vt:lpwstr/>
      </vt:variant>
      <vt:variant>
        <vt:lpwstr>_Toc285709600</vt:lpwstr>
      </vt:variant>
      <vt:variant>
        <vt:i4>1572914</vt:i4>
      </vt:variant>
      <vt:variant>
        <vt:i4>64</vt:i4>
      </vt:variant>
      <vt:variant>
        <vt:i4>0</vt:i4>
      </vt:variant>
      <vt:variant>
        <vt:i4>5</vt:i4>
      </vt:variant>
      <vt:variant>
        <vt:lpwstr/>
      </vt:variant>
      <vt:variant>
        <vt:lpwstr>_Toc285709599</vt:lpwstr>
      </vt:variant>
      <vt:variant>
        <vt:i4>1572914</vt:i4>
      </vt:variant>
      <vt:variant>
        <vt:i4>58</vt:i4>
      </vt:variant>
      <vt:variant>
        <vt:i4>0</vt:i4>
      </vt:variant>
      <vt:variant>
        <vt:i4>5</vt:i4>
      </vt:variant>
      <vt:variant>
        <vt:lpwstr/>
      </vt:variant>
      <vt:variant>
        <vt:lpwstr>_Toc285709598</vt:lpwstr>
      </vt:variant>
      <vt:variant>
        <vt:i4>1572914</vt:i4>
      </vt:variant>
      <vt:variant>
        <vt:i4>52</vt:i4>
      </vt:variant>
      <vt:variant>
        <vt:i4>0</vt:i4>
      </vt:variant>
      <vt:variant>
        <vt:i4>5</vt:i4>
      </vt:variant>
      <vt:variant>
        <vt:lpwstr/>
      </vt:variant>
      <vt:variant>
        <vt:lpwstr>_Toc285709597</vt:lpwstr>
      </vt:variant>
      <vt:variant>
        <vt:i4>1572914</vt:i4>
      </vt:variant>
      <vt:variant>
        <vt:i4>46</vt:i4>
      </vt:variant>
      <vt:variant>
        <vt:i4>0</vt:i4>
      </vt:variant>
      <vt:variant>
        <vt:i4>5</vt:i4>
      </vt:variant>
      <vt:variant>
        <vt:lpwstr/>
      </vt:variant>
      <vt:variant>
        <vt:lpwstr>_Toc285709596</vt:lpwstr>
      </vt:variant>
      <vt:variant>
        <vt:i4>1572914</vt:i4>
      </vt:variant>
      <vt:variant>
        <vt:i4>40</vt:i4>
      </vt:variant>
      <vt:variant>
        <vt:i4>0</vt:i4>
      </vt:variant>
      <vt:variant>
        <vt:i4>5</vt:i4>
      </vt:variant>
      <vt:variant>
        <vt:lpwstr/>
      </vt:variant>
      <vt:variant>
        <vt:lpwstr>_Toc285709595</vt:lpwstr>
      </vt:variant>
      <vt:variant>
        <vt:i4>1572914</vt:i4>
      </vt:variant>
      <vt:variant>
        <vt:i4>34</vt:i4>
      </vt:variant>
      <vt:variant>
        <vt:i4>0</vt:i4>
      </vt:variant>
      <vt:variant>
        <vt:i4>5</vt:i4>
      </vt:variant>
      <vt:variant>
        <vt:lpwstr/>
      </vt:variant>
      <vt:variant>
        <vt:lpwstr>_Toc285709594</vt:lpwstr>
      </vt:variant>
      <vt:variant>
        <vt:i4>1572914</vt:i4>
      </vt:variant>
      <vt:variant>
        <vt:i4>28</vt:i4>
      </vt:variant>
      <vt:variant>
        <vt:i4>0</vt:i4>
      </vt:variant>
      <vt:variant>
        <vt:i4>5</vt:i4>
      </vt:variant>
      <vt:variant>
        <vt:lpwstr/>
      </vt:variant>
      <vt:variant>
        <vt:lpwstr>_Toc285709593</vt:lpwstr>
      </vt:variant>
      <vt:variant>
        <vt:i4>1572914</vt:i4>
      </vt:variant>
      <vt:variant>
        <vt:i4>22</vt:i4>
      </vt:variant>
      <vt:variant>
        <vt:i4>0</vt:i4>
      </vt:variant>
      <vt:variant>
        <vt:i4>5</vt:i4>
      </vt:variant>
      <vt:variant>
        <vt:lpwstr/>
      </vt:variant>
      <vt:variant>
        <vt:lpwstr>_Toc285709592</vt:lpwstr>
      </vt:variant>
      <vt:variant>
        <vt:i4>1572914</vt:i4>
      </vt:variant>
      <vt:variant>
        <vt:i4>16</vt:i4>
      </vt:variant>
      <vt:variant>
        <vt:i4>0</vt:i4>
      </vt:variant>
      <vt:variant>
        <vt:i4>5</vt:i4>
      </vt:variant>
      <vt:variant>
        <vt:lpwstr/>
      </vt:variant>
      <vt:variant>
        <vt:lpwstr>_Toc285709591</vt:lpwstr>
      </vt:variant>
      <vt:variant>
        <vt:i4>1572914</vt:i4>
      </vt:variant>
      <vt:variant>
        <vt:i4>10</vt:i4>
      </vt:variant>
      <vt:variant>
        <vt:i4>0</vt:i4>
      </vt:variant>
      <vt:variant>
        <vt:i4>5</vt:i4>
      </vt:variant>
      <vt:variant>
        <vt:lpwstr/>
      </vt:variant>
      <vt:variant>
        <vt:lpwstr>_Toc285709590</vt:lpwstr>
      </vt:variant>
      <vt:variant>
        <vt:i4>131159</vt:i4>
      </vt:variant>
      <vt:variant>
        <vt:i4>5</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Frequency Herbicide</dc:title>
  <dc:subject/>
  <dc:creator>APVMA</dc:creator>
  <cp:keywords/>
  <dc:description/>
  <cp:lastModifiedBy>DEVENISH-MEARES, Rachel</cp:lastModifiedBy>
  <cp:revision>3</cp:revision>
  <cp:lastPrinted>2018-11-28T01:18:00Z</cp:lastPrinted>
  <dcterms:created xsi:type="dcterms:W3CDTF">2019-04-18T06:17:00Z</dcterms:created>
  <dcterms:modified xsi:type="dcterms:W3CDTF">2019-04-18T06:21:00Z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KP25P F01</vt:lpwstr>
  </property>
  <property fmtid="{D5CDD505-2E9C-101B-9397-08002B2CF9AE}" pid="3" name="Objective-Id">
    <vt:lpwstr>A1243174</vt:lpwstr>
  </property>
  <property fmtid="{D5CDD505-2E9C-101B-9397-08002B2CF9AE}" pid="4" name="Objective-Title">
    <vt:lpwstr>Template_ Public Release Summary</vt:lpwstr>
  </property>
  <property fmtid="{D5CDD505-2E9C-101B-9397-08002B2CF9AE}" pid="5" name="Objective-Comment">
    <vt:lpwstr/>
  </property>
  <property fmtid="{D5CDD505-2E9C-101B-9397-08002B2CF9AE}" pid="6" name="Objective-CreationStamp">
    <vt:filetime>2018-09-12T03:46:10Z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2019-02-20T00:25:25Z</vt:filetime>
  </property>
  <property fmtid="{D5CDD505-2E9C-101B-9397-08002B2CF9AE}" pid="10" name="Objective-ModificationStamp">
    <vt:filetime>2019-02-20T00:25:25Z</vt:filetime>
  </property>
  <property fmtid="{D5CDD505-2E9C-101B-9397-08002B2CF9AE}" pid="11" name="Objective-Owner">
    <vt:lpwstr>Andrew Loch</vt:lpwstr>
  </property>
  <property fmtid="{D5CDD505-2E9C-101B-9397-08002B2CF9AE}" pid="12" name="Objective-Path">
    <vt:lpwstr>APVMA:BUSINESS SYSTEMS:Business Systems - Instructional Material Library:Business Systems - Work Instructions - Registration, Management and Evaluation:BS - Work Instructions - Evaluation - Pesticides:02 - Forms letters templates</vt:lpwstr>
  </property>
  <property fmtid="{D5CDD505-2E9C-101B-9397-08002B2CF9AE}" pid="13" name="Objective-Parent">
    <vt:lpwstr>02 - Forms letters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qA18190</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vA2134017</vt:lpwstr>
  </property>
  <property fmtid="{D5CDD505-2E9C-101B-9397-08002B2CF9AE}" pid="23" name="Objective-Connect Creator">
    <vt:lpwstr/>
  </property>
  <property fmtid="{D5CDD505-2E9C-101B-9397-08002B2CF9AE}" pid="24" name="Objective-Connect Creator [system]">
    <vt:lpwstr/>
  </property>
</Properties>
</file>