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94F" w:rsidRDefault="0077494F" w:rsidP="00680417">
      <w:pPr>
        <w:pStyle w:val="APVMACoverTitle"/>
        <w:spacing w:before="7200"/>
        <w:jc w:val="center"/>
      </w:pPr>
      <w:bookmarkStart w:id="0" w:name="_Toc414373842"/>
      <w:bookmarkStart w:id="1" w:name="_Toc414373406"/>
      <w:bookmarkStart w:id="2" w:name="_Toc231963183"/>
      <w:bookmarkStart w:id="3" w:name="_Toc231963195"/>
      <w:r w:rsidRPr="005D1A47">
        <w:rPr>
          <w:noProof/>
          <w:lang w:eastAsia="en-AU"/>
        </w:rPr>
        <w:drawing>
          <wp:inline distT="0" distB="0" distL="0" distR="0" wp14:anchorId="758E3158" wp14:editId="6B0806AF">
            <wp:extent cx="2752725" cy="2676525"/>
            <wp:effectExtent l="0" t="0" r="9525" b="9525"/>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8">
                      <a:extLst>
                        <a:ext uri="{28A0092B-C50C-407E-A947-70E740481C1C}">
                          <a14:useLocalDpi xmlns:a14="http://schemas.microsoft.com/office/drawing/2010/main" val="0"/>
                        </a:ext>
                      </a:extLst>
                    </a:blip>
                    <a:stretch>
                      <a:fillRect/>
                    </a:stretch>
                  </pic:blipFill>
                  <pic:spPr>
                    <a:xfrm>
                      <a:off x="0" y="0"/>
                      <a:ext cx="2752725" cy="2676525"/>
                    </a:xfrm>
                    <a:prstGeom prst="rect">
                      <a:avLst/>
                    </a:prstGeom>
                  </pic:spPr>
                </pic:pic>
              </a:graphicData>
            </a:graphic>
          </wp:inline>
        </w:drawing>
      </w:r>
    </w:p>
    <w:p w:rsidR="0077494F" w:rsidRDefault="00362F5B" w:rsidP="00680417">
      <w:pPr>
        <w:pStyle w:val="APVMACoverTitle"/>
        <w:spacing w:before="1920"/>
        <w:jc w:val="center"/>
      </w:pPr>
      <w:r>
        <w:t>Appendix F</w:t>
      </w:r>
    </w:p>
    <w:p w:rsidR="0077494F" w:rsidRDefault="00362F5B" w:rsidP="0077494F">
      <w:pPr>
        <w:pStyle w:val="APVMACoverSubtitle"/>
        <w:jc w:val="center"/>
      </w:pPr>
      <w:r>
        <w:t>Non-target terrestrial plants</w:t>
      </w:r>
    </w:p>
    <w:p w:rsidR="0077494F" w:rsidRPr="0077494F" w:rsidRDefault="0077494F" w:rsidP="0077494F">
      <w:pPr>
        <w:pStyle w:val="APVMACoverSubtitle"/>
        <w:jc w:val="center"/>
      </w:pPr>
      <w:r>
        <w:t>APRIL 2019</w:t>
      </w:r>
    </w:p>
    <w:p w:rsidR="0077494F" w:rsidRDefault="0077494F" w:rsidP="0077494F">
      <w:pPr>
        <w:pStyle w:val="APVMACoverSubtitle"/>
        <w:sectPr w:rsidR="0077494F">
          <w:headerReference w:type="even" r:id="rId9"/>
          <w:headerReference w:type="default" r:id="rId10"/>
          <w:pgSz w:w="11906" w:h="16838" w:code="9"/>
          <w:pgMar w:top="2835" w:right="1134" w:bottom="1134" w:left="1134" w:header="1701" w:footer="680" w:gutter="0"/>
          <w:cols w:space="708"/>
          <w:docGrid w:linePitch="360"/>
        </w:sectPr>
      </w:pPr>
    </w:p>
    <w:bookmarkEnd w:id="0"/>
    <w:bookmarkEnd w:id="1"/>
    <w:bookmarkEnd w:id="2"/>
    <w:bookmarkEnd w:id="3"/>
    <w:p w:rsidR="002A40CB" w:rsidRDefault="00362F5B" w:rsidP="00362F5B">
      <w:pPr>
        <w:pStyle w:val="APVMAAppendixH1"/>
      </w:pPr>
      <w:r>
        <w:lastRenderedPageBreak/>
        <w:t>introduction</w:t>
      </w:r>
    </w:p>
    <w:p w:rsidR="00362F5B" w:rsidRPr="00362F5B" w:rsidRDefault="00362F5B" w:rsidP="00362F5B">
      <w:pPr>
        <w:pStyle w:val="NormalText"/>
      </w:pPr>
      <w:r w:rsidRPr="00362F5B">
        <w:t>Non-target plants are defined as non-crop plants outside the treatment area. Non-target plants are primary producers supporting organisms at higher trophic levels. These supporting services include primary production, habitat provision and food for other trophic levels. Since it is known that phytotoxic effects may occur for products other than herbicides, some level of testing of all active constituents is necessary, unless it can be shown that exposure will not occur.</w:t>
      </w:r>
    </w:p>
    <w:p w:rsidR="00362F5B" w:rsidRDefault="00362F5B" w:rsidP="00362F5B">
      <w:pPr>
        <w:pStyle w:val="NormalText"/>
        <w:sectPr w:rsidR="00362F5B">
          <w:headerReference w:type="default" r:id="rId11"/>
          <w:pgSz w:w="11906" w:h="16838" w:code="9"/>
          <w:pgMar w:top="2835" w:right="1134" w:bottom="1134" w:left="1134" w:header="1701" w:footer="680" w:gutter="0"/>
          <w:cols w:space="708"/>
          <w:docGrid w:linePitch="360"/>
        </w:sectPr>
      </w:pPr>
      <w:r w:rsidRPr="00362F5B">
        <w:t xml:space="preserve">The general protection goal is to protect biodiversity and ecosystems. The protection goal for higher terrestrial plants aims to protect </w:t>
      </w:r>
      <w:r>
        <w:t>both plant species abundance (</w:t>
      </w:r>
      <w:proofErr w:type="spellStart"/>
      <w:r>
        <w:t>e</w:t>
      </w:r>
      <w:r w:rsidRPr="00362F5B">
        <w:t>g</w:t>
      </w:r>
      <w:proofErr w:type="spellEnd"/>
      <w:r w:rsidRPr="00362F5B">
        <w:t xml:space="preserve"> numbers and/or cover of individuals for single species) and plant diversity in an agricultural area (EFSA 2014). It is assumed that the biodiversity is maintained when the plant populations will not be affected by the use of pesticide product.</w:t>
      </w:r>
    </w:p>
    <w:p w:rsidR="00362F5B" w:rsidRDefault="00362F5B" w:rsidP="00362F5B">
      <w:pPr>
        <w:pStyle w:val="APVMAAppendixH1"/>
      </w:pPr>
      <w:r>
        <w:lastRenderedPageBreak/>
        <w:t>toxicity figures</w:t>
      </w:r>
    </w:p>
    <w:p w:rsidR="00362F5B" w:rsidRDefault="00362F5B" w:rsidP="00362F5B">
      <w:pPr>
        <w:pStyle w:val="APVMAAppendixH2"/>
      </w:pPr>
      <w:bookmarkStart w:id="4" w:name="_GoBack"/>
      <w:r>
        <w:t>Tier</w:t>
      </w:r>
      <w:bookmarkEnd w:id="4"/>
      <w:r>
        <w:t xml:space="preserve"> 1 testing</w:t>
      </w:r>
    </w:p>
    <w:p w:rsidR="00362F5B" w:rsidRPr="00362F5B" w:rsidRDefault="00362F5B" w:rsidP="00362F5B">
      <w:pPr>
        <w:pStyle w:val="NormalText"/>
      </w:pPr>
      <w:r w:rsidRPr="00362F5B">
        <w:t xml:space="preserve">Single-dose </w:t>
      </w:r>
      <w:proofErr w:type="spellStart"/>
      <w:r w:rsidRPr="00362F5B">
        <w:t>phytotoxicity</w:t>
      </w:r>
      <w:proofErr w:type="spellEnd"/>
      <w:r w:rsidRPr="00362F5B">
        <w:t xml:space="preserve"> screening data for terrestrial non-target plants at or above the maximum application rat</w:t>
      </w:r>
      <w:r>
        <w:t>e on a wide range of species (</w:t>
      </w:r>
      <w:proofErr w:type="spellStart"/>
      <w:r>
        <w:t>e</w:t>
      </w:r>
      <w:r w:rsidRPr="00362F5B">
        <w:t>g</w:t>
      </w:r>
      <w:proofErr w:type="spellEnd"/>
      <w:r w:rsidRPr="00362F5B">
        <w:t xml:space="preserve">, at least six but preferably more), is recommended as a first tier to determine whether the active constituent has phytotoxic properties. These data could be supplemented by further information on efficacy, selectivity, </w:t>
      </w:r>
      <w:proofErr w:type="spellStart"/>
      <w:r w:rsidRPr="00362F5B">
        <w:t>phytotoxicity</w:t>
      </w:r>
      <w:proofErr w:type="spellEnd"/>
      <w:r w:rsidRPr="00362F5B">
        <w:t xml:space="preserve">, etc. included in the biological dossier or obtained from the different field assays such as efficacy trials, residue studies, environmental fate and </w:t>
      </w:r>
      <w:proofErr w:type="spellStart"/>
      <w:r w:rsidRPr="00362F5B">
        <w:t>ecotoxicological</w:t>
      </w:r>
      <w:proofErr w:type="spellEnd"/>
      <w:r w:rsidRPr="00362F5B">
        <w:t xml:space="preserve"> studies, etc. The initial step is usually skipped for herbicides and plant growth regulators as these inevitably will end up in the second tier.</w:t>
      </w:r>
    </w:p>
    <w:p w:rsidR="00362F5B" w:rsidRDefault="00362F5B" w:rsidP="00362F5B">
      <w:pPr>
        <w:pStyle w:val="APVMAAppendixH2"/>
      </w:pPr>
      <w:r>
        <w:t>Tier 2 testing</w:t>
      </w:r>
    </w:p>
    <w:p w:rsidR="00362F5B" w:rsidRPr="00362F5B" w:rsidRDefault="00362F5B" w:rsidP="00362F5B">
      <w:pPr>
        <w:pStyle w:val="NormalText"/>
      </w:pPr>
      <w:r w:rsidRPr="00362F5B">
        <w:t xml:space="preserve">If &gt; </w:t>
      </w:r>
      <w:r w:rsidR="008C3322">
        <w:t>50 per cent</w:t>
      </w:r>
      <w:r w:rsidRPr="00362F5B">
        <w:t xml:space="preserve"> effect is observed in </w:t>
      </w:r>
      <w:r w:rsidR="0031276B">
        <w:t>T</w:t>
      </w:r>
      <w:r w:rsidRPr="00362F5B">
        <w:t>ier 1 testing for one or more species, do</w:t>
      </w:r>
      <w:r w:rsidR="008C3322">
        <w:t>se-</w:t>
      </w:r>
      <w:r w:rsidRPr="00362F5B">
        <w:t xml:space="preserve">response relationships for at least six species representing families for which significant herbicidal action has been found are recommended to quantify the level of effect using both soil and foliar exposure scenarios under </w:t>
      </w:r>
      <w:r w:rsidR="0031276B">
        <w:t>T</w:t>
      </w:r>
      <w:r w:rsidRPr="00362F5B">
        <w:t xml:space="preserve">ier 2. The second tier considers laboratory assays on a selection of plant species. It is recommended to </w:t>
      </w:r>
      <w:r w:rsidR="008C3322">
        <w:t xml:space="preserve">conduct dose-response tests on six to </w:t>
      </w:r>
      <w:r w:rsidRPr="00362F5B">
        <w:t xml:space="preserve">10 plant species representing as many taxonomic groups as possible. In order to generate data that are useful for probabilistic approaches there should not be a focus exclusively on species assumed to be the most sensitive. If, from the screening data, a specific mode of action is evident, or strong differences in the species sensitivities are identified, this evidence should be used in the selection of the appropriate test species. This may be especially true if non-herbicides reach </w:t>
      </w:r>
      <w:r w:rsidR="0031276B">
        <w:t>T</w:t>
      </w:r>
      <w:r w:rsidRPr="00362F5B">
        <w:t>ier-2 testing. ER25, ER50 and, if possible, HR5 values (on the ER50 data) should be generated.</w:t>
      </w:r>
    </w:p>
    <w:p w:rsidR="00362F5B" w:rsidRPr="00362F5B" w:rsidRDefault="00362F5B" w:rsidP="00362F5B">
      <w:pPr>
        <w:pStyle w:val="NormalText"/>
      </w:pPr>
      <w:r w:rsidRPr="00362F5B">
        <w:t>For foliar applications, the bioassays should be conducted by spraying the product on the plants, to reproduce as far as possible the realistic exposure conditions and, in particular, spray drift. Soil application should be chosen if that is more appropriate with regard to the mode of action. The test substance should be the lead formulation (or another formulation) because formulations contain, besides the active substance, all those components and co-adjuvants required for maximising biological activity. For systemic products applied on the ground/soil, the tests should repro</w:t>
      </w:r>
      <w:r w:rsidR="008C3322">
        <w:t>duce this application pattern.</w:t>
      </w:r>
    </w:p>
    <w:p w:rsidR="00362F5B" w:rsidRDefault="008C3322" w:rsidP="008C3322">
      <w:pPr>
        <w:pStyle w:val="APVMAPreliminariesH2"/>
      </w:pPr>
      <w:r>
        <w:t>Tier 3 testing</w:t>
      </w:r>
    </w:p>
    <w:p w:rsidR="008C3322" w:rsidRPr="008C3322" w:rsidRDefault="008C3322" w:rsidP="008C3322">
      <w:pPr>
        <w:pStyle w:val="NormalText"/>
      </w:pPr>
      <w:r w:rsidRPr="008C3322">
        <w:t xml:space="preserve">The third tier requires semi-field or field assays, to study the effects observed on non-target plants during realistic applications. Such studies are time-consuming and expensive; before undertaking them it should be checked whether there are options for the refinement of exposure and/or effects. Furthermore, as for all other non-target organisms, field or semi-field studies are not required if the risk based on the </w:t>
      </w:r>
      <w:r w:rsidR="0031276B">
        <w:t>T</w:t>
      </w:r>
      <w:r w:rsidRPr="008C3322">
        <w:t>ier 2 assessment could be managed by risk mitigation measures (</w:t>
      </w:r>
      <w:proofErr w:type="spellStart"/>
      <w:r w:rsidRPr="008C3322">
        <w:t>ie</w:t>
      </w:r>
      <w:proofErr w:type="spellEnd"/>
      <w:r w:rsidRPr="008C3322">
        <w:t xml:space="preserve"> mandatory no-spray zones).</w:t>
      </w:r>
    </w:p>
    <w:p w:rsidR="008C3322" w:rsidRDefault="008C3322" w:rsidP="008C3322">
      <w:pPr>
        <w:pStyle w:val="NormalText"/>
        <w:sectPr w:rsidR="008C3322">
          <w:pgSz w:w="11906" w:h="16838" w:code="9"/>
          <w:pgMar w:top="2835" w:right="1134" w:bottom="1134" w:left="1134" w:header="1701" w:footer="680" w:gutter="0"/>
          <w:cols w:space="708"/>
          <w:docGrid w:linePitch="360"/>
        </w:sectPr>
      </w:pPr>
      <w:r w:rsidRPr="008C3322">
        <w:t>Field or semi-field studies with non-target plants are not standardised. Therefore applicants might wish to discuss the proto</w:t>
      </w:r>
      <w:r>
        <w:t>col with the APVMA under a Pre-A</w:t>
      </w:r>
      <w:r w:rsidRPr="008C3322">
        <w:t>pplication Assistance (PAA) application. Generally, effects on plant abundance and biomass production at different distances from the crop or at exposure levels representing different distances from the crop should be analysed. These studies are compatible with most semi-field and field studies.</w:t>
      </w:r>
    </w:p>
    <w:p w:rsidR="008C3322" w:rsidRDefault="008C3322" w:rsidP="008C3322">
      <w:pPr>
        <w:pStyle w:val="APVMAAppendixH1"/>
      </w:pPr>
      <w:r>
        <w:t>Risk assessment</w:t>
      </w:r>
    </w:p>
    <w:p w:rsidR="008C3322" w:rsidRPr="008C3322" w:rsidRDefault="008C3322" w:rsidP="008C3322">
      <w:pPr>
        <w:pStyle w:val="NormalText"/>
      </w:pPr>
      <w:r w:rsidRPr="008C3322">
        <w:t>Non-target terrestrial plants adjacent to the treatment area could be directly exposed to spray drift during treatment. Risks to non-target terrestrial plants are assessed using a tiered approach, which is in line with current EPHC (2009) guidance. Although non-target plants are defined as non-crop plants located outside the treatment area, screening level risk assessment assumes the worst-case scenario of a direct exposure to the treatment in order to identify those substances and associated uses that do not pose a risk to non-target terrestrial plants (Tables F1 and F2). Both pre-emergent and post-emergent exposure scenarios are considered.</w:t>
      </w:r>
    </w:p>
    <w:p w:rsidR="008C3322" w:rsidRPr="008C3322" w:rsidRDefault="008C3322" w:rsidP="008C3322">
      <w:pPr>
        <w:pStyle w:val="NormalText"/>
      </w:pPr>
      <w:r w:rsidRPr="008C3322">
        <w:t>Only the maximum single application rate is considered for post-emergent exposure; however, for pre-emergent exposure, accumulated residues in soil are considered in the case of multiple applications.</w:t>
      </w:r>
    </w:p>
    <w:p w:rsidR="008C3322" w:rsidRDefault="008C3322" w:rsidP="008C3322">
      <w:pPr>
        <w:pStyle w:val="NormalText"/>
        <w:sectPr w:rsidR="008C3322">
          <w:headerReference w:type="even" r:id="rId12"/>
          <w:pgSz w:w="11906" w:h="16838" w:code="9"/>
          <w:pgMar w:top="2835" w:right="1134" w:bottom="1134" w:left="1134" w:header="1701" w:footer="680" w:gutter="0"/>
          <w:cols w:space="708"/>
          <w:docGrid w:linePitch="360"/>
        </w:sectPr>
      </w:pPr>
      <w:r w:rsidRPr="008C3322">
        <w:t>If the RQ exceeds 1.0 for either exposure scenario, a spray drift assessment is conducted to establish mandatory no-</w:t>
      </w:r>
      <w:r>
        <w:t>spray zones. Please refer to our</w:t>
      </w:r>
      <w:r w:rsidRPr="008C3322">
        <w:t xml:space="preserve"> website for details on APVMA </w:t>
      </w:r>
      <w:hyperlink r:id="rId13" w:history="1">
        <w:r w:rsidRPr="008C3322">
          <w:rPr>
            <w:rStyle w:val="Hyperlink"/>
          </w:rPr>
          <w:t>standard scenarios for spray drift</w:t>
        </w:r>
      </w:hyperlink>
      <w:r>
        <w:t>.</w:t>
      </w:r>
    </w:p>
    <w:p w:rsidR="008C3322" w:rsidRDefault="008C3322" w:rsidP="008C3322">
      <w:pPr>
        <w:pStyle w:val="APVMAPreliminariesH1"/>
      </w:pPr>
      <w:r>
        <w:t>risk assessment tables</w:t>
      </w:r>
    </w:p>
    <w:p w:rsidR="008C3322" w:rsidRDefault="008C3322" w:rsidP="008C3322">
      <w:pPr>
        <w:pStyle w:val="Caption"/>
      </w:pPr>
      <w:bookmarkStart w:id="5" w:name="_Toc237416884"/>
      <w:r>
        <w:t>Tabl</w:t>
      </w:r>
      <w:r w:rsidR="00E26858">
        <w:t>e</w:t>
      </w:r>
      <w:r>
        <w:t xml:space="preserve"> F </w:t>
      </w:r>
      <w:r w:rsidR="00B059F3">
        <w:rPr>
          <w:noProof/>
        </w:rPr>
        <w:fldChar w:fldCharType="begin"/>
      </w:r>
      <w:r w:rsidR="00B059F3">
        <w:rPr>
          <w:noProof/>
        </w:rPr>
        <w:instrText xml:space="preserve"> SEQ Tabel_F \* ARABIC </w:instrText>
      </w:r>
      <w:r w:rsidR="00B059F3">
        <w:rPr>
          <w:noProof/>
        </w:rPr>
        <w:fldChar w:fldCharType="separate"/>
      </w:r>
      <w:r w:rsidR="005E72BC">
        <w:rPr>
          <w:noProof/>
        </w:rPr>
        <w:t>1</w:t>
      </w:r>
      <w:r w:rsidR="00B059F3">
        <w:rPr>
          <w:noProof/>
        </w:rPr>
        <w:fldChar w:fldCharType="end"/>
      </w:r>
      <w:r>
        <w:t>:</w:t>
      </w:r>
      <w:r>
        <w:tab/>
      </w:r>
      <w:bookmarkEnd w:id="5"/>
      <w:r w:rsidR="005E72BC">
        <w:t>Regulatory acceptable rates for non-target terrestrial plants</w:t>
      </w:r>
    </w:p>
    <w:tbl>
      <w:tblPr>
        <w:tblW w:w="5000" w:type="pct"/>
        <w:tblBorders>
          <w:bottom w:val="dotted" w:sz="2" w:space="0" w:color="auto"/>
          <w:insideH w:val="dotted" w:sz="2" w:space="0" w:color="auto"/>
        </w:tblBorders>
        <w:tblLook w:val="01E0" w:firstRow="1" w:lastRow="1" w:firstColumn="1" w:lastColumn="1" w:noHBand="0" w:noVBand="0"/>
      </w:tblPr>
      <w:tblGrid>
        <w:gridCol w:w="1940"/>
        <w:gridCol w:w="2130"/>
        <w:gridCol w:w="2014"/>
        <w:gridCol w:w="1777"/>
        <w:gridCol w:w="1777"/>
      </w:tblGrid>
      <w:tr w:rsidR="005E72BC" w:rsidTr="00057062">
        <w:trPr>
          <w:cantSplit/>
          <w:tblHeader/>
        </w:trPr>
        <w:tc>
          <w:tcPr>
            <w:tcW w:w="1006" w:type="pct"/>
            <w:tcBorders>
              <w:bottom w:val="single" w:sz="4" w:space="0" w:color="auto"/>
            </w:tcBorders>
            <w:shd w:val="clear" w:color="auto" w:fill="53284F"/>
            <w:vAlign w:val="bottom"/>
          </w:tcPr>
          <w:p w:rsidR="005E72BC" w:rsidRDefault="005E72BC" w:rsidP="005E72BC">
            <w:pPr>
              <w:pStyle w:val="APVMATableHead"/>
            </w:pPr>
            <w:r>
              <w:t>Exposure</w:t>
            </w:r>
          </w:p>
        </w:tc>
        <w:tc>
          <w:tcPr>
            <w:tcW w:w="1105" w:type="pct"/>
            <w:tcBorders>
              <w:bottom w:val="single" w:sz="4" w:space="0" w:color="auto"/>
            </w:tcBorders>
            <w:shd w:val="clear" w:color="auto" w:fill="53284F"/>
            <w:vAlign w:val="bottom"/>
          </w:tcPr>
          <w:p w:rsidR="005E72BC" w:rsidRDefault="005E72BC" w:rsidP="005E72BC">
            <w:pPr>
              <w:pStyle w:val="APVMATableHead"/>
            </w:pPr>
            <w:r>
              <w:t>Test</w:t>
            </w:r>
          </w:p>
        </w:tc>
        <w:tc>
          <w:tcPr>
            <w:tcW w:w="1045" w:type="pct"/>
            <w:tcBorders>
              <w:bottom w:val="single" w:sz="4" w:space="0" w:color="auto"/>
            </w:tcBorders>
            <w:shd w:val="clear" w:color="auto" w:fill="53284F"/>
            <w:vAlign w:val="bottom"/>
          </w:tcPr>
          <w:p w:rsidR="005E72BC" w:rsidRDefault="005E72BC" w:rsidP="005E72BC">
            <w:pPr>
              <w:pStyle w:val="APVMATableHead"/>
            </w:pPr>
            <w:r>
              <w:t>Endpoint</w:t>
            </w:r>
          </w:p>
        </w:tc>
        <w:tc>
          <w:tcPr>
            <w:tcW w:w="922" w:type="pct"/>
            <w:tcBorders>
              <w:bottom w:val="single" w:sz="4" w:space="0" w:color="auto"/>
            </w:tcBorders>
            <w:shd w:val="clear" w:color="auto" w:fill="53284F"/>
            <w:vAlign w:val="bottom"/>
          </w:tcPr>
          <w:p w:rsidR="005E72BC" w:rsidRDefault="005E72BC" w:rsidP="005E72BC">
            <w:pPr>
              <w:pStyle w:val="APVMATableHead"/>
            </w:pPr>
            <w:r>
              <w:t>Assessment factor</w:t>
            </w:r>
            <w:r w:rsidRPr="005E72BC">
              <w:rPr>
                <w:vertAlign w:val="superscript"/>
              </w:rPr>
              <w:t>*</w:t>
            </w:r>
          </w:p>
        </w:tc>
        <w:tc>
          <w:tcPr>
            <w:tcW w:w="922" w:type="pct"/>
            <w:tcBorders>
              <w:bottom w:val="single" w:sz="4" w:space="0" w:color="auto"/>
            </w:tcBorders>
            <w:shd w:val="clear" w:color="auto" w:fill="53284F"/>
            <w:vAlign w:val="bottom"/>
          </w:tcPr>
          <w:p w:rsidR="005E72BC" w:rsidRDefault="005E72BC" w:rsidP="005E72BC">
            <w:pPr>
              <w:pStyle w:val="APVMATableHead"/>
            </w:pPr>
            <w:r>
              <w:t>RAR</w:t>
            </w:r>
          </w:p>
        </w:tc>
      </w:tr>
      <w:tr w:rsidR="005E72BC" w:rsidTr="00057062">
        <w:trPr>
          <w:cantSplit/>
        </w:trPr>
        <w:tc>
          <w:tcPr>
            <w:tcW w:w="1006" w:type="pct"/>
            <w:tcBorders>
              <w:top w:val="single" w:sz="4" w:space="0" w:color="auto"/>
              <w:bottom w:val="single" w:sz="4" w:space="0" w:color="auto"/>
            </w:tcBorders>
          </w:tcPr>
          <w:p w:rsidR="005E72BC" w:rsidRPr="005E72BC" w:rsidRDefault="005E72BC" w:rsidP="005E72BC">
            <w:pPr>
              <w:pStyle w:val="APVMATableText"/>
            </w:pPr>
            <w:r w:rsidRPr="005E72BC">
              <w:t>Pre-emergent</w:t>
            </w:r>
          </w:p>
        </w:tc>
        <w:tc>
          <w:tcPr>
            <w:tcW w:w="1105" w:type="pct"/>
            <w:tcBorders>
              <w:top w:val="single" w:sz="4" w:space="0" w:color="auto"/>
              <w:bottom w:val="single" w:sz="4" w:space="0" w:color="auto"/>
            </w:tcBorders>
          </w:tcPr>
          <w:p w:rsidR="005E72BC" w:rsidRPr="005E72BC" w:rsidRDefault="005E72BC" w:rsidP="005E72BC">
            <w:pPr>
              <w:pStyle w:val="APVMATableText"/>
            </w:pPr>
            <w:r w:rsidRPr="005E72BC">
              <w:t>Seedling emergence</w:t>
            </w:r>
          </w:p>
        </w:tc>
        <w:tc>
          <w:tcPr>
            <w:tcW w:w="1045" w:type="pct"/>
            <w:tcBorders>
              <w:top w:val="single" w:sz="4" w:space="0" w:color="auto"/>
              <w:bottom w:val="single" w:sz="4" w:space="0" w:color="auto"/>
            </w:tcBorders>
          </w:tcPr>
          <w:p w:rsidR="005E72BC" w:rsidRPr="005E72BC" w:rsidRDefault="005E72BC" w:rsidP="005E72BC">
            <w:pPr>
              <w:pStyle w:val="APVMATableText"/>
            </w:pPr>
            <w:r w:rsidRPr="005E72BC">
              <w:t>ER50 XX g ac/ha</w:t>
            </w:r>
          </w:p>
          <w:p w:rsidR="005E72BC" w:rsidRPr="005E72BC" w:rsidRDefault="005E72BC" w:rsidP="005E72BC">
            <w:pPr>
              <w:pStyle w:val="APVMATableText"/>
            </w:pPr>
            <w:r w:rsidRPr="005E72BC">
              <w:t>ER25 XX g ac/ha</w:t>
            </w:r>
          </w:p>
          <w:p w:rsidR="005E72BC" w:rsidRPr="005E72BC" w:rsidRDefault="005E72BC" w:rsidP="005E72BC">
            <w:pPr>
              <w:pStyle w:val="APVMATableText"/>
            </w:pPr>
            <w:r w:rsidRPr="005E72BC">
              <w:t>HR5 XX g ac/ha</w:t>
            </w:r>
          </w:p>
        </w:tc>
        <w:tc>
          <w:tcPr>
            <w:tcW w:w="922" w:type="pct"/>
            <w:tcBorders>
              <w:top w:val="single" w:sz="4" w:space="0" w:color="auto"/>
              <w:bottom w:val="single" w:sz="4" w:space="0" w:color="auto"/>
            </w:tcBorders>
          </w:tcPr>
          <w:p w:rsidR="005E72BC" w:rsidRPr="005E72BC" w:rsidRDefault="005E72BC" w:rsidP="005E72BC">
            <w:pPr>
              <w:pStyle w:val="APVMATableText"/>
            </w:pPr>
            <w:r w:rsidRPr="005E72BC">
              <w:t>10</w:t>
            </w:r>
          </w:p>
          <w:p w:rsidR="005E72BC" w:rsidRPr="005E72BC" w:rsidRDefault="005E72BC" w:rsidP="005E72BC">
            <w:pPr>
              <w:pStyle w:val="APVMATableText"/>
            </w:pPr>
            <w:r w:rsidRPr="005E72BC">
              <w:t>2</w:t>
            </w:r>
          </w:p>
          <w:p w:rsidR="005E72BC" w:rsidRPr="005E72BC" w:rsidRDefault="005E72BC" w:rsidP="005E72BC">
            <w:pPr>
              <w:pStyle w:val="APVMATableText"/>
            </w:pPr>
            <w:r w:rsidRPr="005E72BC">
              <w:t>1</w:t>
            </w:r>
          </w:p>
        </w:tc>
        <w:tc>
          <w:tcPr>
            <w:tcW w:w="922" w:type="pct"/>
            <w:tcBorders>
              <w:top w:val="single" w:sz="4" w:space="0" w:color="auto"/>
              <w:bottom w:val="single" w:sz="4" w:space="0" w:color="auto"/>
            </w:tcBorders>
          </w:tcPr>
          <w:p w:rsidR="005E72BC" w:rsidRPr="005E72BC" w:rsidRDefault="005E72BC" w:rsidP="005E72BC">
            <w:pPr>
              <w:pStyle w:val="APVMATableText"/>
            </w:pPr>
            <w:r w:rsidRPr="005E72BC">
              <w:t>XX g ac/ha</w:t>
            </w:r>
          </w:p>
        </w:tc>
      </w:tr>
      <w:tr w:rsidR="005E72BC" w:rsidTr="00057062">
        <w:trPr>
          <w:cantSplit/>
        </w:trPr>
        <w:tc>
          <w:tcPr>
            <w:tcW w:w="1006" w:type="pct"/>
            <w:tcBorders>
              <w:top w:val="single" w:sz="4" w:space="0" w:color="auto"/>
              <w:bottom w:val="single" w:sz="4" w:space="0" w:color="auto"/>
            </w:tcBorders>
          </w:tcPr>
          <w:p w:rsidR="005E72BC" w:rsidRPr="005E72BC" w:rsidRDefault="005E72BC" w:rsidP="005E72BC">
            <w:pPr>
              <w:pStyle w:val="APVMATableText"/>
            </w:pPr>
            <w:r w:rsidRPr="005E72BC">
              <w:t>Post-emergent</w:t>
            </w:r>
          </w:p>
        </w:tc>
        <w:tc>
          <w:tcPr>
            <w:tcW w:w="1105" w:type="pct"/>
            <w:tcBorders>
              <w:top w:val="single" w:sz="4" w:space="0" w:color="auto"/>
              <w:bottom w:val="single" w:sz="4" w:space="0" w:color="auto"/>
            </w:tcBorders>
          </w:tcPr>
          <w:p w:rsidR="005E72BC" w:rsidRPr="005E72BC" w:rsidRDefault="005E72BC" w:rsidP="005E72BC">
            <w:pPr>
              <w:pStyle w:val="APVMATableText"/>
            </w:pPr>
            <w:r w:rsidRPr="005E72BC">
              <w:t>Vegetative vigour</w:t>
            </w:r>
          </w:p>
        </w:tc>
        <w:tc>
          <w:tcPr>
            <w:tcW w:w="1045" w:type="pct"/>
            <w:tcBorders>
              <w:top w:val="single" w:sz="4" w:space="0" w:color="auto"/>
              <w:bottom w:val="single" w:sz="4" w:space="0" w:color="auto"/>
            </w:tcBorders>
          </w:tcPr>
          <w:p w:rsidR="005E72BC" w:rsidRPr="005E72BC" w:rsidRDefault="005E72BC" w:rsidP="005E72BC">
            <w:pPr>
              <w:pStyle w:val="APVMATableText"/>
            </w:pPr>
            <w:r w:rsidRPr="005E72BC">
              <w:t>ER50 XX g ac/ha</w:t>
            </w:r>
          </w:p>
          <w:p w:rsidR="005E72BC" w:rsidRPr="005E72BC" w:rsidRDefault="005E72BC" w:rsidP="005E72BC">
            <w:pPr>
              <w:pStyle w:val="APVMATableText"/>
            </w:pPr>
            <w:r w:rsidRPr="005E72BC">
              <w:t>ER25 XX g ac/ha</w:t>
            </w:r>
          </w:p>
          <w:p w:rsidR="005E72BC" w:rsidRPr="005E72BC" w:rsidRDefault="005E72BC" w:rsidP="005E72BC">
            <w:pPr>
              <w:pStyle w:val="APVMATableText"/>
            </w:pPr>
            <w:r w:rsidRPr="005E72BC">
              <w:t>HR5 XX g ac/ha</w:t>
            </w:r>
          </w:p>
        </w:tc>
        <w:tc>
          <w:tcPr>
            <w:tcW w:w="922" w:type="pct"/>
            <w:tcBorders>
              <w:top w:val="single" w:sz="4" w:space="0" w:color="auto"/>
              <w:bottom w:val="single" w:sz="4" w:space="0" w:color="auto"/>
            </w:tcBorders>
          </w:tcPr>
          <w:p w:rsidR="005E72BC" w:rsidRPr="005E72BC" w:rsidRDefault="005E72BC" w:rsidP="005E72BC">
            <w:pPr>
              <w:pStyle w:val="APVMATableText"/>
            </w:pPr>
            <w:r w:rsidRPr="005E72BC">
              <w:t>10</w:t>
            </w:r>
          </w:p>
          <w:p w:rsidR="005E72BC" w:rsidRPr="005E72BC" w:rsidRDefault="005E72BC" w:rsidP="005E72BC">
            <w:pPr>
              <w:pStyle w:val="APVMATableText"/>
            </w:pPr>
            <w:r w:rsidRPr="005E72BC">
              <w:t>2</w:t>
            </w:r>
          </w:p>
          <w:p w:rsidR="005E72BC" w:rsidRPr="005E72BC" w:rsidRDefault="005E72BC" w:rsidP="005E72BC">
            <w:pPr>
              <w:pStyle w:val="APVMATableText"/>
            </w:pPr>
            <w:r w:rsidRPr="005E72BC">
              <w:t>1</w:t>
            </w:r>
          </w:p>
        </w:tc>
        <w:tc>
          <w:tcPr>
            <w:tcW w:w="922" w:type="pct"/>
            <w:tcBorders>
              <w:top w:val="single" w:sz="4" w:space="0" w:color="auto"/>
              <w:bottom w:val="single" w:sz="4" w:space="0" w:color="auto"/>
            </w:tcBorders>
          </w:tcPr>
          <w:p w:rsidR="005E72BC" w:rsidRPr="005E72BC" w:rsidRDefault="005E72BC" w:rsidP="005E72BC">
            <w:pPr>
              <w:pStyle w:val="APVMATableText"/>
            </w:pPr>
            <w:r w:rsidRPr="005E72BC">
              <w:t>XX g ac/ha</w:t>
            </w:r>
          </w:p>
        </w:tc>
      </w:tr>
    </w:tbl>
    <w:p w:rsidR="005E72BC" w:rsidRPr="005E72BC" w:rsidRDefault="005E72BC" w:rsidP="005E72BC">
      <w:pPr>
        <w:pStyle w:val="APVMASourceTableNote"/>
      </w:pPr>
      <w:r w:rsidRPr="005E72BC">
        <w:t>Assessment factor as per EPHC (2009)</w:t>
      </w:r>
    </w:p>
    <w:p w:rsidR="005E72BC" w:rsidRPr="005E72BC" w:rsidRDefault="005E72BC" w:rsidP="005E72BC">
      <w:pPr>
        <w:pStyle w:val="APVMASourceTableNote"/>
      </w:pPr>
      <w:r w:rsidRPr="005E72BC">
        <w:t>RAR = regulatory acceptable rate = endpoint/assessment factor</w:t>
      </w:r>
    </w:p>
    <w:p w:rsidR="005E72BC" w:rsidRDefault="005E72BC" w:rsidP="005E72BC">
      <w:pPr>
        <w:pStyle w:val="Caption"/>
      </w:pPr>
      <w:r>
        <w:t>Tabl</w:t>
      </w:r>
      <w:r w:rsidR="00E26858">
        <w:t>e</w:t>
      </w:r>
      <w:r>
        <w:t xml:space="preserve"> F </w:t>
      </w:r>
      <w:r w:rsidR="00B059F3">
        <w:rPr>
          <w:noProof/>
        </w:rPr>
        <w:fldChar w:fldCharType="begin"/>
      </w:r>
      <w:r w:rsidR="00B059F3">
        <w:rPr>
          <w:noProof/>
        </w:rPr>
        <w:instrText xml:space="preserve"> SEQ Tabel_F \* ARABIC </w:instrText>
      </w:r>
      <w:r w:rsidR="00B059F3">
        <w:rPr>
          <w:noProof/>
        </w:rPr>
        <w:fldChar w:fldCharType="separate"/>
      </w:r>
      <w:r>
        <w:rPr>
          <w:noProof/>
        </w:rPr>
        <w:t>2</w:t>
      </w:r>
      <w:r w:rsidR="00B059F3">
        <w:rPr>
          <w:noProof/>
        </w:rPr>
        <w:fldChar w:fldCharType="end"/>
      </w:r>
      <w:r>
        <w:t>:</w:t>
      </w:r>
      <w:r>
        <w:tab/>
        <w:t>Screening level risk assessment for risks to non-target terrestrial plants</w:t>
      </w:r>
    </w:p>
    <w:tbl>
      <w:tblPr>
        <w:tblW w:w="5000" w:type="pct"/>
        <w:tblBorders>
          <w:bottom w:val="dotted" w:sz="2" w:space="0" w:color="auto"/>
          <w:insideH w:val="dotted" w:sz="2" w:space="0" w:color="auto"/>
        </w:tblBorders>
        <w:tblLook w:val="01E0" w:firstRow="1" w:lastRow="1" w:firstColumn="1" w:lastColumn="1" w:noHBand="0" w:noVBand="0"/>
      </w:tblPr>
      <w:tblGrid>
        <w:gridCol w:w="1939"/>
        <w:gridCol w:w="2132"/>
        <w:gridCol w:w="2593"/>
        <w:gridCol w:w="2126"/>
        <w:gridCol w:w="848"/>
      </w:tblGrid>
      <w:tr w:rsidR="005E72BC" w:rsidTr="00057062">
        <w:trPr>
          <w:cantSplit/>
          <w:tblHeader/>
        </w:trPr>
        <w:tc>
          <w:tcPr>
            <w:tcW w:w="1006" w:type="pct"/>
            <w:tcBorders>
              <w:bottom w:val="single" w:sz="4" w:space="0" w:color="auto"/>
            </w:tcBorders>
            <w:shd w:val="clear" w:color="auto" w:fill="53284F"/>
            <w:vAlign w:val="bottom"/>
          </w:tcPr>
          <w:p w:rsidR="005E72BC" w:rsidRDefault="005E72BC" w:rsidP="00680417">
            <w:pPr>
              <w:pStyle w:val="APVMATableHead"/>
            </w:pPr>
            <w:r>
              <w:t>Exposure</w:t>
            </w:r>
          </w:p>
        </w:tc>
        <w:tc>
          <w:tcPr>
            <w:tcW w:w="1106" w:type="pct"/>
            <w:tcBorders>
              <w:bottom w:val="single" w:sz="4" w:space="0" w:color="auto"/>
            </w:tcBorders>
            <w:shd w:val="clear" w:color="auto" w:fill="53284F"/>
            <w:vAlign w:val="bottom"/>
          </w:tcPr>
          <w:p w:rsidR="005E72BC" w:rsidRDefault="005E72BC" w:rsidP="00680417">
            <w:pPr>
              <w:pStyle w:val="APVMATableHead"/>
            </w:pPr>
            <w:r>
              <w:t>Test</w:t>
            </w:r>
          </w:p>
        </w:tc>
        <w:tc>
          <w:tcPr>
            <w:tcW w:w="1345" w:type="pct"/>
            <w:tcBorders>
              <w:bottom w:val="single" w:sz="4" w:space="0" w:color="auto"/>
            </w:tcBorders>
            <w:shd w:val="clear" w:color="auto" w:fill="53284F"/>
            <w:vAlign w:val="bottom"/>
          </w:tcPr>
          <w:p w:rsidR="005E72BC" w:rsidRDefault="005E72BC" w:rsidP="00680417">
            <w:pPr>
              <w:pStyle w:val="APVMATableHead"/>
            </w:pPr>
            <w:r>
              <w:t>Application rate (g ac/ha)</w:t>
            </w:r>
          </w:p>
        </w:tc>
        <w:tc>
          <w:tcPr>
            <w:tcW w:w="1103" w:type="pct"/>
            <w:tcBorders>
              <w:bottom w:val="single" w:sz="4" w:space="0" w:color="auto"/>
            </w:tcBorders>
            <w:shd w:val="clear" w:color="auto" w:fill="53284F"/>
            <w:vAlign w:val="bottom"/>
          </w:tcPr>
          <w:p w:rsidR="005E72BC" w:rsidRDefault="005E72BC" w:rsidP="00680417">
            <w:pPr>
              <w:pStyle w:val="APVMATableHead"/>
            </w:pPr>
            <w:r>
              <w:t>RAR (g ac/ha)</w:t>
            </w:r>
          </w:p>
        </w:tc>
        <w:tc>
          <w:tcPr>
            <w:tcW w:w="440" w:type="pct"/>
            <w:tcBorders>
              <w:bottom w:val="single" w:sz="4" w:space="0" w:color="auto"/>
            </w:tcBorders>
            <w:shd w:val="clear" w:color="auto" w:fill="53284F"/>
            <w:vAlign w:val="bottom"/>
          </w:tcPr>
          <w:p w:rsidR="005E72BC" w:rsidRDefault="005E72BC" w:rsidP="00680417">
            <w:pPr>
              <w:pStyle w:val="APVMATableHead"/>
            </w:pPr>
            <w:r>
              <w:t>RQ</w:t>
            </w:r>
          </w:p>
        </w:tc>
      </w:tr>
      <w:tr w:rsidR="005E72BC" w:rsidTr="00057062">
        <w:trPr>
          <w:cantSplit/>
        </w:trPr>
        <w:tc>
          <w:tcPr>
            <w:tcW w:w="1006" w:type="pct"/>
            <w:tcBorders>
              <w:top w:val="single" w:sz="4" w:space="0" w:color="auto"/>
              <w:bottom w:val="single" w:sz="4" w:space="0" w:color="auto"/>
            </w:tcBorders>
          </w:tcPr>
          <w:p w:rsidR="005E72BC" w:rsidRPr="005E72BC" w:rsidRDefault="005E72BC" w:rsidP="00680417">
            <w:pPr>
              <w:pStyle w:val="APVMATableText"/>
            </w:pPr>
            <w:r w:rsidRPr="005E72BC">
              <w:t>Pre-emergent</w:t>
            </w:r>
          </w:p>
        </w:tc>
        <w:tc>
          <w:tcPr>
            <w:tcW w:w="1106" w:type="pct"/>
            <w:tcBorders>
              <w:top w:val="single" w:sz="4" w:space="0" w:color="auto"/>
              <w:bottom w:val="single" w:sz="4" w:space="0" w:color="auto"/>
            </w:tcBorders>
          </w:tcPr>
          <w:p w:rsidR="005E72BC" w:rsidRPr="005E72BC" w:rsidRDefault="005E72BC" w:rsidP="00680417">
            <w:pPr>
              <w:pStyle w:val="APVMATableText"/>
            </w:pPr>
            <w:r w:rsidRPr="005E72BC">
              <w:t>Seedling emergence</w:t>
            </w:r>
          </w:p>
        </w:tc>
        <w:tc>
          <w:tcPr>
            <w:tcW w:w="1345" w:type="pct"/>
            <w:tcBorders>
              <w:top w:val="single" w:sz="4" w:space="0" w:color="auto"/>
              <w:bottom w:val="single" w:sz="4" w:space="0" w:color="auto"/>
            </w:tcBorders>
          </w:tcPr>
          <w:p w:rsidR="005E72BC" w:rsidRPr="005E72BC" w:rsidRDefault="005E72BC" w:rsidP="00680417">
            <w:pPr>
              <w:pStyle w:val="APVMATableText"/>
            </w:pPr>
          </w:p>
        </w:tc>
        <w:tc>
          <w:tcPr>
            <w:tcW w:w="1103" w:type="pct"/>
            <w:tcBorders>
              <w:top w:val="single" w:sz="4" w:space="0" w:color="auto"/>
              <w:bottom w:val="single" w:sz="4" w:space="0" w:color="auto"/>
            </w:tcBorders>
          </w:tcPr>
          <w:p w:rsidR="005E72BC" w:rsidRPr="005E72BC" w:rsidRDefault="005E72BC" w:rsidP="00680417">
            <w:pPr>
              <w:pStyle w:val="APVMATableText"/>
            </w:pPr>
          </w:p>
        </w:tc>
        <w:tc>
          <w:tcPr>
            <w:tcW w:w="440" w:type="pct"/>
            <w:tcBorders>
              <w:top w:val="single" w:sz="4" w:space="0" w:color="auto"/>
              <w:bottom w:val="single" w:sz="4" w:space="0" w:color="auto"/>
            </w:tcBorders>
          </w:tcPr>
          <w:p w:rsidR="005E72BC" w:rsidRPr="005E72BC" w:rsidRDefault="005E72BC" w:rsidP="00680417">
            <w:pPr>
              <w:pStyle w:val="APVMATableText"/>
            </w:pPr>
          </w:p>
        </w:tc>
      </w:tr>
      <w:tr w:rsidR="005E72BC" w:rsidTr="00057062">
        <w:trPr>
          <w:cantSplit/>
        </w:trPr>
        <w:tc>
          <w:tcPr>
            <w:tcW w:w="1006" w:type="pct"/>
            <w:tcBorders>
              <w:top w:val="single" w:sz="4" w:space="0" w:color="auto"/>
              <w:bottom w:val="single" w:sz="4" w:space="0" w:color="auto"/>
            </w:tcBorders>
          </w:tcPr>
          <w:p w:rsidR="005E72BC" w:rsidRPr="005E72BC" w:rsidRDefault="005E72BC" w:rsidP="00680417">
            <w:pPr>
              <w:pStyle w:val="APVMATableText"/>
            </w:pPr>
            <w:r w:rsidRPr="005E72BC">
              <w:t>Post-emergent</w:t>
            </w:r>
          </w:p>
        </w:tc>
        <w:tc>
          <w:tcPr>
            <w:tcW w:w="1106" w:type="pct"/>
            <w:tcBorders>
              <w:top w:val="single" w:sz="4" w:space="0" w:color="auto"/>
              <w:bottom w:val="single" w:sz="4" w:space="0" w:color="auto"/>
            </w:tcBorders>
          </w:tcPr>
          <w:p w:rsidR="005E72BC" w:rsidRPr="005E72BC" w:rsidRDefault="005E72BC" w:rsidP="00680417">
            <w:pPr>
              <w:pStyle w:val="APVMATableText"/>
            </w:pPr>
            <w:r w:rsidRPr="005E72BC">
              <w:t>Vegetative vigour</w:t>
            </w:r>
          </w:p>
        </w:tc>
        <w:tc>
          <w:tcPr>
            <w:tcW w:w="1345" w:type="pct"/>
            <w:tcBorders>
              <w:top w:val="single" w:sz="4" w:space="0" w:color="auto"/>
              <w:bottom w:val="single" w:sz="4" w:space="0" w:color="auto"/>
            </w:tcBorders>
          </w:tcPr>
          <w:p w:rsidR="005E72BC" w:rsidRPr="005E72BC" w:rsidRDefault="005E72BC" w:rsidP="00680417">
            <w:pPr>
              <w:pStyle w:val="APVMATableText"/>
            </w:pPr>
          </w:p>
        </w:tc>
        <w:tc>
          <w:tcPr>
            <w:tcW w:w="1103" w:type="pct"/>
            <w:tcBorders>
              <w:top w:val="single" w:sz="4" w:space="0" w:color="auto"/>
              <w:bottom w:val="single" w:sz="4" w:space="0" w:color="auto"/>
            </w:tcBorders>
          </w:tcPr>
          <w:p w:rsidR="005E72BC" w:rsidRPr="005E72BC" w:rsidRDefault="005E72BC" w:rsidP="00680417">
            <w:pPr>
              <w:pStyle w:val="APVMATableText"/>
            </w:pPr>
          </w:p>
        </w:tc>
        <w:tc>
          <w:tcPr>
            <w:tcW w:w="440" w:type="pct"/>
            <w:tcBorders>
              <w:top w:val="single" w:sz="4" w:space="0" w:color="auto"/>
              <w:bottom w:val="single" w:sz="4" w:space="0" w:color="auto"/>
            </w:tcBorders>
          </w:tcPr>
          <w:p w:rsidR="005E72BC" w:rsidRPr="005E72BC" w:rsidRDefault="005E72BC" w:rsidP="00680417">
            <w:pPr>
              <w:pStyle w:val="APVMATableText"/>
            </w:pPr>
          </w:p>
        </w:tc>
      </w:tr>
    </w:tbl>
    <w:p w:rsidR="005E72BC" w:rsidRPr="005E72BC" w:rsidRDefault="005E72BC" w:rsidP="005E72BC">
      <w:pPr>
        <w:pStyle w:val="APVMASourceTableNote"/>
      </w:pPr>
      <w:r w:rsidRPr="005E72BC">
        <w:t>For pre-emergence exposure, cumulative application rate is based on maximum single application rate, number of applications, interval between applications and soil DT50</w:t>
      </w:r>
    </w:p>
    <w:p w:rsidR="005E72BC" w:rsidRPr="005E72BC" w:rsidRDefault="005E72BC" w:rsidP="005E72BC">
      <w:pPr>
        <w:pStyle w:val="APVMASourceTableNote"/>
      </w:pPr>
      <w:r w:rsidRPr="005E72BC">
        <w:t>RAR = regulatory acceptable rate (from Table F1)</w:t>
      </w:r>
    </w:p>
    <w:p w:rsidR="005E72BC" w:rsidRDefault="005E72BC" w:rsidP="005E72BC">
      <w:pPr>
        <w:pStyle w:val="APVMASourceTableNote"/>
        <w:sectPr w:rsidR="005E72BC">
          <w:pgSz w:w="11906" w:h="16838" w:code="9"/>
          <w:pgMar w:top="2835" w:right="1134" w:bottom="1134" w:left="1134" w:header="1701" w:footer="680" w:gutter="0"/>
          <w:cols w:space="708"/>
          <w:docGrid w:linePitch="360"/>
        </w:sectPr>
      </w:pPr>
      <w:r w:rsidRPr="005E72BC">
        <w:t>RQ = risk quotient = rate / RAR, where acceptable RQ &lt;1</w:t>
      </w:r>
    </w:p>
    <w:p w:rsidR="005E72BC" w:rsidRDefault="005E72BC" w:rsidP="005E72BC">
      <w:pPr>
        <w:pStyle w:val="APVMAPreliminariesH1"/>
      </w:pPr>
      <w:r>
        <w:t>references</w:t>
      </w:r>
    </w:p>
    <w:p w:rsidR="005E72BC" w:rsidRPr="005E72BC" w:rsidRDefault="005E72BC" w:rsidP="005E72BC">
      <w:pPr>
        <w:pStyle w:val="NormalText"/>
      </w:pPr>
      <w:r w:rsidRPr="005E72BC">
        <w:t xml:space="preserve">EFSA (European Food Safety Authority), 2014, </w:t>
      </w:r>
      <w:r w:rsidRPr="005E72BC">
        <w:rPr>
          <w:i/>
        </w:rPr>
        <w:t>Scientific opinion addressing the state of the science on risk assessment of plant protection products on non-target plants</w:t>
      </w:r>
      <w:r w:rsidRPr="005E72BC">
        <w:t xml:space="preserve">, EFSA Journal 12(7): 3800, 153pp, doi:10.2903/j.efsa2014.3800, available </w:t>
      </w:r>
      <w:r>
        <w:t>at</w:t>
      </w:r>
      <w:r w:rsidRPr="005E72BC">
        <w:t xml:space="preserve"> </w:t>
      </w:r>
      <w:hyperlink r:id="rId14" w:history="1">
        <w:r w:rsidRPr="005E72BC">
          <w:rPr>
            <w:rStyle w:val="Hyperlink"/>
          </w:rPr>
          <w:t>www.efsa.europa.eu/efsajournal</w:t>
        </w:r>
      </w:hyperlink>
      <w:r>
        <w:t>.</w:t>
      </w:r>
    </w:p>
    <w:p w:rsidR="005E72BC" w:rsidRPr="005E72BC" w:rsidRDefault="005E72BC" w:rsidP="005E72BC">
      <w:pPr>
        <w:pStyle w:val="NormalText"/>
      </w:pPr>
      <w:r w:rsidRPr="005E72BC">
        <w:t xml:space="preserve">EPHC (Environment Protection and Heritage Council), 2009, </w:t>
      </w:r>
      <w:r w:rsidRPr="005E72BC">
        <w:rPr>
          <w:i/>
        </w:rPr>
        <w:t>Environmental risk assessment guidance manual for agricultural and veterinary chemicals</w:t>
      </w:r>
      <w:r w:rsidRPr="005E72BC">
        <w:t xml:space="preserve">, ISBN 978-1-9221173-38-7, available </w:t>
      </w:r>
      <w:r>
        <w:t xml:space="preserve">at </w:t>
      </w:r>
      <w:hyperlink r:id="rId15" w:history="1">
        <w:r w:rsidRPr="005E72BC">
          <w:rPr>
            <w:rStyle w:val="Hyperlink"/>
          </w:rPr>
          <w:t>www.nepc.gov.au/resource/chemical-risk-assessment-guidance-manuals</w:t>
        </w:r>
      </w:hyperlink>
      <w:r w:rsidR="00644FAB">
        <w:rPr>
          <w:rStyle w:val="Hyperlink"/>
        </w:rPr>
        <w:t>.</w:t>
      </w:r>
    </w:p>
    <w:p w:rsidR="005E72BC" w:rsidRPr="005E72BC" w:rsidRDefault="005E72BC" w:rsidP="005E72BC">
      <w:pPr>
        <w:pStyle w:val="NormalText"/>
      </w:pPr>
      <w:r w:rsidRPr="005E72BC">
        <w:t xml:space="preserve">EPPO (European and Mediterranean Plant Protection Organization), 2003, </w:t>
      </w:r>
      <w:r w:rsidRPr="005E72BC">
        <w:rPr>
          <w:i/>
        </w:rPr>
        <w:t>Environmental risk assessment scheme for plant protection products: Chapter 12: Non-target terrestrial higher plants</w:t>
      </w:r>
      <w:r w:rsidRPr="005E72BC">
        <w:t>, PP3/13(1), EPPO Bulletin 33: 239-244.</w:t>
      </w:r>
    </w:p>
    <w:sectPr w:rsidR="005E72BC" w:rsidRPr="005E72BC">
      <w:headerReference w:type="even" r:id="rId16"/>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94F" w:rsidRDefault="0077494F" w:rsidP="0077494F">
      <w:pPr>
        <w:spacing w:line="240" w:lineRule="auto"/>
      </w:pPr>
      <w:r>
        <w:separator/>
      </w:r>
    </w:p>
  </w:endnote>
  <w:endnote w:type="continuationSeparator" w:id="0">
    <w:p w:rsidR="0077494F" w:rsidRDefault="0077494F" w:rsidP="007749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94F" w:rsidRDefault="0077494F" w:rsidP="0077494F">
      <w:pPr>
        <w:spacing w:line="240" w:lineRule="auto"/>
      </w:pPr>
      <w:r>
        <w:separator/>
      </w:r>
    </w:p>
  </w:footnote>
  <w:footnote w:type="continuationSeparator" w:id="0">
    <w:p w:rsidR="0077494F" w:rsidRDefault="0077494F" w:rsidP="007749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94F" w:rsidRDefault="0077494F" w:rsidP="0077494F">
    <w:pPr>
      <w:pStyle w:val="APVMAEvenHeader"/>
    </w:pPr>
    <w:r w:rsidRPr="0077494F">
      <w:rPr>
        <w:rStyle w:val="PageNumber"/>
        <w:b/>
        <w:caps w:val="0"/>
        <w:szCs w:val="24"/>
      </w:rPr>
      <w:fldChar w:fldCharType="begin"/>
    </w:r>
    <w:r w:rsidRPr="0077494F">
      <w:rPr>
        <w:rStyle w:val="PageNumber"/>
        <w:b/>
        <w:caps w:val="0"/>
        <w:szCs w:val="24"/>
      </w:rPr>
      <w:instrText xml:space="preserve"> PAGE </w:instrText>
    </w:r>
    <w:r w:rsidRPr="0077494F">
      <w:rPr>
        <w:rStyle w:val="PageNumber"/>
        <w:b/>
        <w:caps w:val="0"/>
        <w:szCs w:val="24"/>
      </w:rPr>
      <w:fldChar w:fldCharType="separate"/>
    </w:r>
    <w:r w:rsidR="0031276B">
      <w:rPr>
        <w:rStyle w:val="PageNumber"/>
        <w:b/>
        <w:caps w:val="0"/>
        <w:noProof/>
        <w:szCs w:val="24"/>
      </w:rPr>
      <w:t>2</w:t>
    </w:r>
    <w:r w:rsidRPr="0077494F">
      <w:rPr>
        <w:rStyle w:val="PageNumber"/>
        <w:b/>
        <w:caps w:val="0"/>
        <w:szCs w:val="24"/>
      </w:rPr>
      <w:fldChar w:fldCharType="end"/>
    </w:r>
    <w:r>
      <w:tab/>
      <w:t>INTRODUCTION</w:t>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94F" w:rsidRPr="00A91799" w:rsidRDefault="0077494F">
    <w:pPr>
      <w:pStyle w:val="APVMAOddHeader"/>
      <w:rPr>
        <w:b w:val="0"/>
      </w:rPr>
    </w:pPr>
    <w:r>
      <w:tab/>
      <w:t>APVMA RISK ASSESSMENT MANUAL ENVIRONMENT,</w:t>
    </w:r>
    <w:r w:rsidR="00A91799">
      <w:t xml:space="preserve"> </w:t>
    </w:r>
    <w:r>
      <w:t xml:space="preserve">Appendix </w:t>
    </w:r>
    <w:r w:rsidR="00241B4B">
      <w:t>F</w:t>
    </w:r>
    <w:r>
      <w:tab/>
    </w:r>
    <w:r w:rsidRPr="00A91799">
      <w:rPr>
        <w:rStyle w:val="PageNumber"/>
        <w:rFonts w:cs="Times New Roman"/>
        <w:b/>
        <w:bCs w:val="0"/>
        <w:caps w:val="0"/>
        <w:szCs w:val="24"/>
      </w:rPr>
      <w:fldChar w:fldCharType="begin"/>
    </w:r>
    <w:r w:rsidRPr="00A91799">
      <w:rPr>
        <w:rStyle w:val="PageNumber"/>
        <w:rFonts w:cs="Times New Roman"/>
        <w:b/>
        <w:bCs w:val="0"/>
        <w:caps w:val="0"/>
        <w:szCs w:val="24"/>
      </w:rPr>
      <w:instrText xml:space="preserve"> PAGE </w:instrText>
    </w:r>
    <w:r w:rsidRPr="00A91799">
      <w:rPr>
        <w:rStyle w:val="PageNumber"/>
        <w:rFonts w:cs="Times New Roman"/>
        <w:b/>
        <w:bCs w:val="0"/>
        <w:caps w:val="0"/>
        <w:szCs w:val="24"/>
      </w:rPr>
      <w:fldChar w:fldCharType="separate"/>
    </w:r>
    <w:r w:rsidR="0031276B">
      <w:rPr>
        <w:rStyle w:val="PageNumber"/>
        <w:rFonts w:cs="Times New Roman"/>
        <w:b/>
        <w:bCs w:val="0"/>
        <w:caps w:val="0"/>
        <w:noProof/>
        <w:szCs w:val="24"/>
      </w:rPr>
      <w:t>1</w:t>
    </w:r>
    <w:r w:rsidRPr="00A91799">
      <w:rPr>
        <w:rStyle w:val="PageNumber"/>
        <w:rFonts w:cs="Times New Roman"/>
        <w:b/>
        <w:bCs w:val="0"/>
        <w:caps w:val="0"/>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91" w:rsidRDefault="00D02B37">
    <w:pPr>
      <w:pStyle w:val="APVMAOddHeader"/>
    </w:pPr>
    <w:r>
      <w:tab/>
    </w:r>
    <w:r w:rsidR="00A91799">
      <w:t>APVMA RISK ASSESSMEN</w:t>
    </w:r>
    <w:r w:rsidR="005E72BC">
      <w:t>T MANUAL ENVIRONMENT, Appendix F</w:t>
    </w:r>
    <w:r>
      <w:tab/>
    </w:r>
    <w:r w:rsidRPr="00A91799">
      <w:rPr>
        <w:rStyle w:val="PageNumber"/>
        <w:rFonts w:cs="Times New Roman"/>
        <w:b/>
        <w:bCs w:val="0"/>
        <w:caps w:val="0"/>
        <w:szCs w:val="24"/>
      </w:rPr>
      <w:fldChar w:fldCharType="begin"/>
    </w:r>
    <w:r w:rsidRPr="00A91799">
      <w:rPr>
        <w:rStyle w:val="PageNumber"/>
        <w:rFonts w:cs="Times New Roman"/>
        <w:b/>
        <w:bCs w:val="0"/>
        <w:caps w:val="0"/>
        <w:szCs w:val="24"/>
      </w:rPr>
      <w:instrText xml:space="preserve"> PAGE </w:instrText>
    </w:r>
    <w:r w:rsidRPr="00A91799">
      <w:rPr>
        <w:rStyle w:val="PageNumber"/>
        <w:rFonts w:cs="Times New Roman"/>
        <w:b/>
        <w:bCs w:val="0"/>
        <w:caps w:val="0"/>
        <w:szCs w:val="24"/>
      </w:rPr>
      <w:fldChar w:fldCharType="separate"/>
    </w:r>
    <w:r w:rsidR="0031276B">
      <w:rPr>
        <w:rStyle w:val="PageNumber"/>
        <w:rFonts w:cs="Times New Roman"/>
        <w:b/>
        <w:bCs w:val="0"/>
        <w:caps w:val="0"/>
        <w:noProof/>
        <w:szCs w:val="24"/>
      </w:rPr>
      <w:t>3</w:t>
    </w:r>
    <w:r w:rsidRPr="00A91799">
      <w:rPr>
        <w:rStyle w:val="PageNumber"/>
        <w:rFonts w:cs="Times New Roman"/>
        <w:b/>
        <w:bCs w:val="0"/>
        <w:caps w:val="0"/>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2BC" w:rsidRDefault="005E72BC" w:rsidP="0077494F">
    <w:pPr>
      <w:pStyle w:val="APVMAEvenHeader"/>
    </w:pPr>
    <w:r w:rsidRPr="0077494F">
      <w:rPr>
        <w:rStyle w:val="PageNumber"/>
        <w:b/>
        <w:caps w:val="0"/>
        <w:szCs w:val="24"/>
      </w:rPr>
      <w:fldChar w:fldCharType="begin"/>
    </w:r>
    <w:r w:rsidRPr="0077494F">
      <w:rPr>
        <w:rStyle w:val="PageNumber"/>
        <w:b/>
        <w:caps w:val="0"/>
        <w:szCs w:val="24"/>
      </w:rPr>
      <w:instrText xml:space="preserve"> PAGE </w:instrText>
    </w:r>
    <w:r w:rsidRPr="0077494F">
      <w:rPr>
        <w:rStyle w:val="PageNumber"/>
        <w:b/>
        <w:caps w:val="0"/>
        <w:szCs w:val="24"/>
      </w:rPr>
      <w:fldChar w:fldCharType="separate"/>
    </w:r>
    <w:r w:rsidR="0031276B">
      <w:rPr>
        <w:rStyle w:val="PageNumber"/>
        <w:b/>
        <w:caps w:val="0"/>
        <w:noProof/>
        <w:szCs w:val="24"/>
      </w:rPr>
      <w:t>4</w:t>
    </w:r>
    <w:r w:rsidRPr="0077494F">
      <w:rPr>
        <w:rStyle w:val="PageNumber"/>
        <w:b/>
        <w:caps w:val="0"/>
        <w:szCs w:val="24"/>
      </w:rPr>
      <w:fldChar w:fldCharType="end"/>
    </w:r>
    <w:r>
      <w:tab/>
      <w:t>risk assessment</w:t>
    </w: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2BC" w:rsidRDefault="005E72BC" w:rsidP="0077494F">
    <w:pPr>
      <w:pStyle w:val="APVMAEvenHeader"/>
    </w:pPr>
    <w:r w:rsidRPr="0077494F">
      <w:rPr>
        <w:rStyle w:val="PageNumber"/>
        <w:b/>
        <w:caps w:val="0"/>
        <w:szCs w:val="24"/>
      </w:rPr>
      <w:fldChar w:fldCharType="begin"/>
    </w:r>
    <w:r w:rsidRPr="0077494F">
      <w:rPr>
        <w:rStyle w:val="PageNumber"/>
        <w:b/>
        <w:caps w:val="0"/>
        <w:szCs w:val="24"/>
      </w:rPr>
      <w:instrText xml:space="preserve"> PAGE </w:instrText>
    </w:r>
    <w:r w:rsidRPr="0077494F">
      <w:rPr>
        <w:rStyle w:val="PageNumber"/>
        <w:b/>
        <w:caps w:val="0"/>
        <w:szCs w:val="24"/>
      </w:rPr>
      <w:fldChar w:fldCharType="separate"/>
    </w:r>
    <w:r w:rsidR="0031276B">
      <w:rPr>
        <w:rStyle w:val="PageNumber"/>
        <w:b/>
        <w:caps w:val="0"/>
        <w:noProof/>
        <w:szCs w:val="24"/>
      </w:rPr>
      <w:t>6</w:t>
    </w:r>
    <w:r w:rsidRPr="0077494F">
      <w:rPr>
        <w:rStyle w:val="PageNumber"/>
        <w:b/>
        <w:caps w:val="0"/>
        <w:szCs w:val="24"/>
      </w:rPr>
      <w:fldChar w:fldCharType="end"/>
    </w:r>
    <w:r>
      <w:tab/>
      <w:t>references</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A93846"/>
    <w:multiLevelType w:val="hybridMultilevel"/>
    <w:tmpl w:val="7A4C3A76"/>
    <w:lvl w:ilvl="0" w:tplc="0B90E58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F22731"/>
    <w:multiLevelType w:val="multilevel"/>
    <w:tmpl w:val="7714BE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327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B12141E"/>
    <w:multiLevelType w:val="multilevel"/>
    <w:tmpl w:val="2DDEE8F2"/>
    <w:lvl w:ilvl="0">
      <w:start w:val="1"/>
      <w:numFmt w:val="decimal"/>
      <w:pStyle w:val="Heading1"/>
      <w:lvlText w:val="%1"/>
      <w:lvlJc w:val="left"/>
      <w:pPr>
        <w:ind w:left="501" w:hanging="360"/>
      </w:pPr>
      <w:rPr>
        <w:rFonts w:hint="default"/>
        <w:b w:val="0"/>
        <w:i w:val="0"/>
        <w:color w:val="53284F"/>
        <w:sz w:val="32"/>
        <w:szCs w:val="28"/>
      </w:rPr>
    </w:lvl>
    <w:lvl w:ilvl="1">
      <w:start w:val="1"/>
      <w:numFmt w:val="decimal"/>
      <w:pStyle w:val="Heading2"/>
      <w:lvlText w:val="%1.%2"/>
      <w:lvlJc w:val="left"/>
      <w:pPr>
        <w:tabs>
          <w:tab w:val="num" w:pos="1333"/>
        </w:tabs>
        <w:ind w:left="1333" w:hanging="90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Text w:val=""/>
      <w:lvlJc w:val="left"/>
      <w:pPr>
        <w:tabs>
          <w:tab w:val="num" w:pos="141"/>
        </w:tabs>
        <w:ind w:left="141" w:firstLine="0"/>
      </w:pPr>
      <w:rPr>
        <w:rFonts w:hint="default"/>
        <w:sz w:val="20"/>
      </w:rPr>
    </w:lvl>
    <w:lvl w:ilvl="3">
      <w:start w:val="1"/>
      <w:numFmt w:val="none"/>
      <w:lvlRestart w:val="0"/>
      <w:lvlText w:val=""/>
      <w:lvlJc w:val="left"/>
      <w:pPr>
        <w:tabs>
          <w:tab w:val="num" w:pos="141"/>
        </w:tabs>
        <w:ind w:left="141" w:firstLine="0"/>
      </w:pPr>
      <w:rPr>
        <w:rFonts w:hint="default"/>
      </w:rPr>
    </w:lvl>
    <w:lvl w:ilvl="4">
      <w:start w:val="1"/>
      <w:numFmt w:val="none"/>
      <w:lvlRestart w:val="0"/>
      <w:lvlText w:val=""/>
      <w:lvlJc w:val="left"/>
      <w:pPr>
        <w:tabs>
          <w:tab w:val="num" w:pos="141"/>
        </w:tabs>
        <w:ind w:left="141" w:firstLine="0"/>
      </w:pPr>
      <w:rPr>
        <w:rFonts w:hint="default"/>
      </w:rPr>
    </w:lvl>
    <w:lvl w:ilvl="5">
      <w:start w:val="1"/>
      <w:numFmt w:val="none"/>
      <w:lvlRestart w:val="0"/>
      <w:lvlText w:val=""/>
      <w:lvlJc w:val="left"/>
      <w:pPr>
        <w:tabs>
          <w:tab w:val="num" w:pos="2125"/>
        </w:tabs>
        <w:ind w:left="2125" w:hanging="425"/>
      </w:pPr>
      <w:rPr>
        <w:rFonts w:hint="default"/>
      </w:rPr>
    </w:lvl>
    <w:lvl w:ilvl="6">
      <w:start w:val="1"/>
      <w:numFmt w:val="none"/>
      <w:lvlText w:val="%7%5"/>
      <w:lvlJc w:val="left"/>
      <w:pPr>
        <w:tabs>
          <w:tab w:val="num" w:pos="2125"/>
        </w:tabs>
        <w:ind w:left="2125" w:hanging="425"/>
      </w:pPr>
      <w:rPr>
        <w:rFonts w:hint="default"/>
      </w:rPr>
    </w:lvl>
    <w:lvl w:ilvl="7">
      <w:start w:val="1"/>
      <w:numFmt w:val="none"/>
      <w:lvlText w:val="%8%5"/>
      <w:lvlJc w:val="left"/>
      <w:pPr>
        <w:tabs>
          <w:tab w:val="num" w:pos="2125"/>
        </w:tabs>
        <w:ind w:left="2125" w:hanging="425"/>
      </w:pPr>
      <w:rPr>
        <w:rFonts w:hint="default"/>
      </w:rPr>
    </w:lvl>
    <w:lvl w:ilvl="8">
      <w:start w:val="1"/>
      <w:numFmt w:val="none"/>
      <w:lvlText w:val="%9%5"/>
      <w:lvlJc w:val="left"/>
      <w:pPr>
        <w:tabs>
          <w:tab w:val="num" w:pos="2125"/>
        </w:tabs>
        <w:ind w:left="2125" w:hanging="425"/>
      </w:pPr>
      <w:rPr>
        <w:rFonts w:hint="default"/>
      </w:rPr>
    </w:lvl>
  </w:abstractNum>
  <w:num w:numId="1">
    <w:abstractNumId w:val="1"/>
  </w:num>
  <w:num w:numId="2">
    <w:abstractNumId w:val="8"/>
  </w:num>
  <w:num w:numId="3">
    <w:abstractNumId w:val="3"/>
  </w:num>
  <w:num w:numId="4">
    <w:abstractNumId w:val="4"/>
  </w:num>
  <w:num w:numId="5">
    <w:abstractNumId w:val="0"/>
  </w:num>
  <w:num w:numId="6">
    <w:abstractNumId w:val="2"/>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4F"/>
    <w:rsid w:val="00057062"/>
    <w:rsid w:val="00241B4B"/>
    <w:rsid w:val="00292C3E"/>
    <w:rsid w:val="002A40CB"/>
    <w:rsid w:val="0031276B"/>
    <w:rsid w:val="00362F5B"/>
    <w:rsid w:val="004E4625"/>
    <w:rsid w:val="00524767"/>
    <w:rsid w:val="005E72BC"/>
    <w:rsid w:val="00644FAB"/>
    <w:rsid w:val="0077494F"/>
    <w:rsid w:val="007A62C6"/>
    <w:rsid w:val="008C3322"/>
    <w:rsid w:val="008E703F"/>
    <w:rsid w:val="00997820"/>
    <w:rsid w:val="009B7609"/>
    <w:rsid w:val="00A91799"/>
    <w:rsid w:val="00B059F3"/>
    <w:rsid w:val="00BD653D"/>
    <w:rsid w:val="00D02B37"/>
    <w:rsid w:val="00D44365"/>
    <w:rsid w:val="00D57C0C"/>
    <w:rsid w:val="00E26858"/>
    <w:rsid w:val="00E45227"/>
    <w:rsid w:val="00FF09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98D1E2"/>
  <w15:chartTrackingRefBased/>
  <w15:docId w15:val="{56F092F2-B316-48EE-A421-7ABA10AD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4"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4"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rsid w:val="0077494F"/>
    <w:pPr>
      <w:spacing w:after="0" w:line="240" w:lineRule="atLeast"/>
    </w:pPr>
    <w:rPr>
      <w:rFonts w:ascii="Arial" w:eastAsia="Times New Roman" w:hAnsi="Arial" w:cs="Times New Roman"/>
      <w:sz w:val="20"/>
      <w:szCs w:val="24"/>
    </w:rPr>
  </w:style>
  <w:style w:type="paragraph" w:styleId="Heading1">
    <w:name w:val="heading 1"/>
    <w:aliases w:val="APVMA_H1"/>
    <w:basedOn w:val="NormalText"/>
    <w:next w:val="NormalText"/>
    <w:link w:val="Heading1Char"/>
    <w:uiPriority w:val="1"/>
    <w:qFormat/>
    <w:rsid w:val="0077494F"/>
    <w:pPr>
      <w:keepNext/>
      <w:keepLines/>
      <w:pageBreakBefore/>
      <w:numPr>
        <w:numId w:val="2"/>
      </w:numPr>
      <w:spacing w:before="0" w:after="80" w:line="360" w:lineRule="exact"/>
      <w:ind w:left="357" w:hanging="357"/>
      <w:outlineLvl w:val="0"/>
    </w:pPr>
    <w:rPr>
      <w:rFonts w:ascii="Franklin Gothic Medium" w:hAnsi="Franklin Gothic Medium"/>
      <w:caps/>
      <w:color w:val="53284F"/>
      <w:sz w:val="32"/>
      <w:szCs w:val="32"/>
    </w:rPr>
  </w:style>
  <w:style w:type="paragraph" w:styleId="Heading2">
    <w:name w:val="heading 2"/>
    <w:basedOn w:val="Heading1"/>
    <w:next w:val="NormalText"/>
    <w:link w:val="Heading2Char"/>
    <w:uiPriority w:val="2"/>
    <w:qFormat/>
    <w:rsid w:val="0077494F"/>
    <w:pPr>
      <w:pageBreakBefore w:val="0"/>
      <w:numPr>
        <w:ilvl w:val="1"/>
      </w:numPr>
      <w:spacing w:before="400" w:after="0" w:line="320" w:lineRule="exact"/>
      <w:ind w:left="907"/>
      <w:outlineLvl w:val="1"/>
    </w:pPr>
    <w:rPr>
      <w:caps w:val="0"/>
      <w:sz w:val="28"/>
      <w:szCs w:val="28"/>
    </w:rPr>
  </w:style>
  <w:style w:type="paragraph" w:styleId="Heading3">
    <w:name w:val="heading 3"/>
    <w:basedOn w:val="Heading2"/>
    <w:next w:val="NormalText"/>
    <w:link w:val="Heading3Char"/>
    <w:qFormat/>
    <w:rsid w:val="0077494F"/>
    <w:pPr>
      <w:numPr>
        <w:ilvl w:val="0"/>
        <w:numId w:val="0"/>
      </w:numPr>
      <w:spacing w:before="320" w:line="280" w:lineRule="exact"/>
      <w:outlineLvl w:val="2"/>
    </w:pPr>
    <w:rPr>
      <w:sz w:val="24"/>
      <w:szCs w:val="26"/>
    </w:rPr>
  </w:style>
  <w:style w:type="paragraph" w:styleId="Heading4">
    <w:name w:val="heading 4"/>
    <w:aliases w:val="APVMA_H4"/>
    <w:basedOn w:val="Heading3"/>
    <w:next w:val="NormalText"/>
    <w:link w:val="Heading4Char"/>
    <w:qFormat/>
    <w:rsid w:val="0077494F"/>
    <w:pPr>
      <w:spacing w:before="280" w:line="260" w:lineRule="exact"/>
      <w:outlineLvl w:val="3"/>
    </w:pPr>
    <w:rPr>
      <w:i/>
      <w:sz w:val="22"/>
      <w:szCs w:val="28"/>
    </w:rPr>
  </w:style>
  <w:style w:type="paragraph" w:styleId="Heading5">
    <w:name w:val="heading 5"/>
    <w:aliases w:val="APVMA_H5"/>
    <w:basedOn w:val="Heading4"/>
    <w:next w:val="NormalText"/>
    <w:link w:val="Heading5Char"/>
    <w:uiPriority w:val="9"/>
    <w:qFormat/>
    <w:rsid w:val="0077494F"/>
    <w:pPr>
      <w:spacing w:before="260"/>
      <w:outlineLvl w:val="4"/>
    </w:pPr>
    <w:rPr>
      <w:i w:val="0"/>
      <w:caps/>
      <w:sz w:val="21"/>
      <w:szCs w:val="26"/>
    </w:rPr>
  </w:style>
  <w:style w:type="paragraph" w:styleId="Heading6">
    <w:name w:val="heading 6"/>
    <w:basedOn w:val="Normal"/>
    <w:next w:val="Normal"/>
    <w:link w:val="Heading6Char"/>
    <w:uiPriority w:val="9"/>
    <w:semiHidden/>
    <w:unhideWhenUsed/>
    <w:qFormat/>
    <w:rsid w:val="004E4625"/>
    <w:pPr>
      <w:keepNext/>
      <w:keepLines/>
      <w:spacing w:before="40"/>
      <w:ind w:left="1152" w:hanging="1152"/>
      <w:outlineLvl w:val="5"/>
    </w:pPr>
    <w:rPr>
      <w:rFonts w:ascii="Calibri Light" w:hAnsi="Calibri Light"/>
      <w:color w:val="1F4D78"/>
    </w:rPr>
  </w:style>
  <w:style w:type="paragraph" w:styleId="Heading7">
    <w:name w:val="heading 7"/>
    <w:basedOn w:val="Normal"/>
    <w:next w:val="Normal"/>
    <w:link w:val="Heading7Char"/>
    <w:uiPriority w:val="9"/>
    <w:semiHidden/>
    <w:unhideWhenUsed/>
    <w:qFormat/>
    <w:rsid w:val="004E4625"/>
    <w:pPr>
      <w:keepNext/>
      <w:keepLines/>
      <w:spacing w:before="40"/>
      <w:ind w:left="1296" w:hanging="1296"/>
      <w:outlineLvl w:val="6"/>
    </w:pPr>
    <w:rPr>
      <w:rFonts w:ascii="Calibri Light" w:hAnsi="Calibri Light"/>
      <w:i/>
      <w:iCs/>
      <w:color w:val="1F4D78"/>
    </w:rPr>
  </w:style>
  <w:style w:type="paragraph" w:styleId="Heading8">
    <w:name w:val="heading 8"/>
    <w:basedOn w:val="Normal"/>
    <w:next w:val="Normal"/>
    <w:link w:val="Heading8Char"/>
    <w:uiPriority w:val="9"/>
    <w:semiHidden/>
    <w:unhideWhenUsed/>
    <w:qFormat/>
    <w:rsid w:val="004E4625"/>
    <w:pPr>
      <w:keepNext/>
      <w:keepLines/>
      <w:spacing w:before="40"/>
      <w:ind w:left="1440" w:hanging="1440"/>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rsid w:val="004E4625"/>
    <w:pPr>
      <w:keepNext/>
      <w:keepLines/>
      <w:spacing w:before="40"/>
      <w:ind w:left="1584" w:hanging="1584"/>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VMA_H1 Char"/>
    <w:basedOn w:val="DefaultParagraphFont"/>
    <w:link w:val="Heading1"/>
    <w:uiPriority w:val="1"/>
    <w:rsid w:val="0077494F"/>
    <w:rPr>
      <w:rFonts w:ascii="Franklin Gothic Medium" w:eastAsia="Times New Roman" w:hAnsi="Franklin Gothic Medium" w:cs="Arial"/>
      <w:caps/>
      <w:color w:val="53284F"/>
      <w:kern w:val="20"/>
      <w:sz w:val="32"/>
      <w:szCs w:val="32"/>
      <w:u w:color="000000"/>
    </w:rPr>
  </w:style>
  <w:style w:type="character" w:customStyle="1" w:styleId="Heading2Char">
    <w:name w:val="Heading 2 Char"/>
    <w:basedOn w:val="DefaultParagraphFont"/>
    <w:link w:val="Heading2"/>
    <w:uiPriority w:val="2"/>
    <w:rsid w:val="0077494F"/>
    <w:rPr>
      <w:rFonts w:ascii="Franklin Gothic Medium" w:eastAsia="Times New Roman" w:hAnsi="Franklin Gothic Medium" w:cs="Arial"/>
      <w:color w:val="53284F"/>
      <w:kern w:val="20"/>
      <w:sz w:val="28"/>
      <w:szCs w:val="28"/>
      <w:u w:color="000000"/>
    </w:rPr>
  </w:style>
  <w:style w:type="character" w:customStyle="1" w:styleId="Heading3Char">
    <w:name w:val="Heading 3 Char"/>
    <w:basedOn w:val="DefaultParagraphFont"/>
    <w:link w:val="Heading3"/>
    <w:uiPriority w:val="3"/>
    <w:rsid w:val="0077494F"/>
    <w:rPr>
      <w:rFonts w:ascii="Franklin Gothic Medium" w:eastAsia="Times New Roman" w:hAnsi="Franklin Gothic Medium" w:cs="Arial"/>
      <w:color w:val="53284F"/>
      <w:kern w:val="20"/>
      <w:sz w:val="24"/>
      <w:szCs w:val="26"/>
      <w:u w:color="000000"/>
    </w:rPr>
  </w:style>
  <w:style w:type="character" w:customStyle="1" w:styleId="Heading4Char">
    <w:name w:val="Heading 4 Char"/>
    <w:aliases w:val="APVMA_H4 Char"/>
    <w:basedOn w:val="DefaultParagraphFont"/>
    <w:link w:val="Heading4"/>
    <w:uiPriority w:val="4"/>
    <w:rsid w:val="0077494F"/>
    <w:rPr>
      <w:rFonts w:ascii="Franklin Gothic Medium" w:eastAsia="Times New Roman" w:hAnsi="Franklin Gothic Medium" w:cs="Arial"/>
      <w:i/>
      <w:color w:val="53284F"/>
      <w:kern w:val="20"/>
      <w:szCs w:val="28"/>
      <w:u w:color="000000"/>
    </w:rPr>
  </w:style>
  <w:style w:type="character" w:customStyle="1" w:styleId="Heading5Char">
    <w:name w:val="Heading 5 Char"/>
    <w:aliases w:val="APVMA_H5 Char"/>
    <w:basedOn w:val="DefaultParagraphFont"/>
    <w:link w:val="Heading5"/>
    <w:uiPriority w:val="4"/>
    <w:rsid w:val="0077494F"/>
    <w:rPr>
      <w:rFonts w:ascii="Franklin Gothic Medium" w:eastAsia="Times New Roman" w:hAnsi="Franklin Gothic Medium" w:cs="Arial"/>
      <w:caps/>
      <w:color w:val="53284F"/>
      <w:kern w:val="20"/>
      <w:sz w:val="21"/>
      <w:szCs w:val="26"/>
      <w:u w:color="000000"/>
    </w:rPr>
  </w:style>
  <w:style w:type="paragraph" w:customStyle="1" w:styleId="NormalText">
    <w:name w:val="Normal Text"/>
    <w:basedOn w:val="Normal"/>
    <w:qFormat/>
    <w:rsid w:val="0077494F"/>
    <w:pPr>
      <w:suppressAutoHyphens/>
      <w:spacing w:before="240" w:after="240" w:line="280" w:lineRule="exact"/>
    </w:pPr>
    <w:rPr>
      <w:rFonts w:cs="Arial"/>
      <w:kern w:val="20"/>
      <w:sz w:val="19"/>
      <w:u w:color="000000"/>
    </w:rPr>
  </w:style>
  <w:style w:type="paragraph" w:styleId="TOC1">
    <w:name w:val="toc 1"/>
    <w:aliases w:val="APVMA_TOC 1"/>
    <w:basedOn w:val="NormalText"/>
    <w:next w:val="TOC2"/>
    <w:uiPriority w:val="39"/>
    <w:rsid w:val="0077494F"/>
    <w:pPr>
      <w:pBdr>
        <w:top w:val="single" w:sz="4" w:space="1" w:color="auto"/>
      </w:pBdr>
      <w:tabs>
        <w:tab w:val="right" w:pos="9639"/>
      </w:tabs>
      <w:spacing w:before="180" w:after="60"/>
      <w:ind w:left="454" w:hanging="454"/>
    </w:pPr>
    <w:rPr>
      <w:rFonts w:ascii="Trebuchet MS" w:hAnsi="Trebuchet MS"/>
      <w:b/>
      <w:bCs/>
      <w:caps/>
      <w:noProof/>
      <w:color w:val="53284F"/>
      <w:szCs w:val="30"/>
    </w:rPr>
  </w:style>
  <w:style w:type="paragraph" w:styleId="FootnoteText">
    <w:name w:val="footnote text"/>
    <w:aliases w:val="APVMA_Footnote"/>
    <w:basedOn w:val="NormalText"/>
    <w:link w:val="FootnoteTextChar"/>
    <w:uiPriority w:val="99"/>
    <w:qFormat/>
    <w:rsid w:val="0077494F"/>
    <w:pPr>
      <w:spacing w:after="0" w:line="180" w:lineRule="exact"/>
      <w:ind w:left="227" w:hanging="227"/>
    </w:pPr>
    <w:rPr>
      <w:spacing w:val="6"/>
      <w:sz w:val="16"/>
      <w:szCs w:val="20"/>
    </w:rPr>
  </w:style>
  <w:style w:type="character" w:customStyle="1" w:styleId="FootnoteTextChar">
    <w:name w:val="Footnote Text Char"/>
    <w:aliases w:val="APVMA_Footnote Char"/>
    <w:basedOn w:val="DefaultParagraphFont"/>
    <w:link w:val="FootnoteText"/>
    <w:uiPriority w:val="99"/>
    <w:rsid w:val="0077494F"/>
    <w:rPr>
      <w:rFonts w:ascii="Arial" w:eastAsia="Times New Roman" w:hAnsi="Arial" w:cs="Arial"/>
      <w:spacing w:val="6"/>
      <w:kern w:val="20"/>
      <w:sz w:val="16"/>
      <w:szCs w:val="20"/>
      <w:u w:color="000000"/>
    </w:rPr>
  </w:style>
  <w:style w:type="paragraph" w:styleId="TOC2">
    <w:name w:val="toc 2"/>
    <w:aliases w:val="APVMA_TOC 2"/>
    <w:basedOn w:val="Normal"/>
    <w:uiPriority w:val="39"/>
    <w:rsid w:val="0077494F"/>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rsid w:val="0077494F"/>
    <w:pPr>
      <w:tabs>
        <w:tab w:val="right" w:pos="9639"/>
      </w:tabs>
      <w:spacing w:before="40" w:line="240" w:lineRule="exact"/>
      <w:ind w:left="454"/>
    </w:pPr>
    <w:rPr>
      <w:noProof/>
      <w:sz w:val="18"/>
    </w:rPr>
  </w:style>
  <w:style w:type="character" w:styleId="Hyperlink">
    <w:name w:val="Hyperlink"/>
    <w:uiPriority w:val="99"/>
    <w:rsid w:val="0077494F"/>
    <w:rPr>
      <w:color w:val="0000FF"/>
      <w:u w:val="single"/>
    </w:rPr>
  </w:style>
  <w:style w:type="paragraph" w:customStyle="1" w:styleId="APVMATableBullet">
    <w:name w:val="APVMA_TableBullet"/>
    <w:basedOn w:val="APVMATableText"/>
    <w:uiPriority w:val="4"/>
    <w:rsid w:val="0077494F"/>
    <w:pPr>
      <w:numPr>
        <w:numId w:val="7"/>
      </w:numPr>
      <w:spacing w:after="60"/>
    </w:pPr>
    <w:rPr>
      <w:color w:val="000000" w:themeColor="text1"/>
    </w:rPr>
  </w:style>
  <w:style w:type="paragraph" w:customStyle="1" w:styleId="APVMATableText">
    <w:name w:val="APVMA_TableText"/>
    <w:basedOn w:val="NormalText"/>
    <w:uiPriority w:val="4"/>
    <w:qFormat/>
    <w:rsid w:val="0077494F"/>
    <w:pPr>
      <w:spacing w:before="120" w:after="120" w:line="210" w:lineRule="exact"/>
    </w:pPr>
    <w:rPr>
      <w:spacing w:val="6"/>
      <w:sz w:val="17"/>
    </w:rPr>
  </w:style>
  <w:style w:type="paragraph" w:customStyle="1" w:styleId="APVMATableHead">
    <w:name w:val="APVMA_TableHead"/>
    <w:basedOn w:val="APVMATableText"/>
    <w:uiPriority w:val="4"/>
    <w:qFormat/>
    <w:rsid w:val="0077494F"/>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rsid w:val="0077494F"/>
    <w:pPr>
      <w:numPr>
        <w:numId w:val="6"/>
      </w:numPr>
      <w:spacing w:before="120" w:after="120"/>
    </w:pPr>
  </w:style>
  <w:style w:type="paragraph" w:styleId="Footer">
    <w:name w:val="footer"/>
    <w:basedOn w:val="Normal"/>
    <w:link w:val="FooterChar"/>
    <w:uiPriority w:val="4"/>
    <w:semiHidden/>
    <w:rsid w:val="0077494F"/>
    <w:pPr>
      <w:tabs>
        <w:tab w:val="center" w:pos="4153"/>
        <w:tab w:val="right" w:pos="8306"/>
      </w:tabs>
    </w:pPr>
  </w:style>
  <w:style w:type="character" w:customStyle="1" w:styleId="FooterChar">
    <w:name w:val="Footer Char"/>
    <w:basedOn w:val="DefaultParagraphFont"/>
    <w:link w:val="Footer"/>
    <w:uiPriority w:val="4"/>
    <w:semiHidden/>
    <w:rsid w:val="0077494F"/>
    <w:rPr>
      <w:rFonts w:ascii="Arial" w:eastAsia="Times New Roman" w:hAnsi="Arial" w:cs="Times New Roman"/>
      <w:sz w:val="20"/>
      <w:szCs w:val="24"/>
    </w:rPr>
  </w:style>
  <w:style w:type="character" w:styleId="PageNumber">
    <w:name w:val="page number"/>
    <w:aliases w:val="APVMA Page Number"/>
    <w:uiPriority w:val="4"/>
    <w:semiHidden/>
    <w:rsid w:val="0077494F"/>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rsid w:val="0077494F"/>
    <w:pPr>
      <w:spacing w:before="0" w:after="0" w:line="280" w:lineRule="atLeast"/>
    </w:pPr>
    <w:rPr>
      <w:i/>
      <w:spacing w:val="6"/>
      <w:sz w:val="16"/>
    </w:rPr>
  </w:style>
  <w:style w:type="paragraph" w:customStyle="1" w:styleId="APVMAEvenHeader">
    <w:name w:val="APVMA_Even_Header"/>
    <w:basedOn w:val="APVMAOddHeader"/>
    <w:uiPriority w:val="4"/>
    <w:rsid w:val="0077494F"/>
    <w:pPr>
      <w:tabs>
        <w:tab w:val="clear" w:pos="9072"/>
        <w:tab w:val="left" w:pos="567"/>
      </w:tabs>
      <w:ind w:left="567" w:hanging="567"/>
    </w:pPr>
  </w:style>
  <w:style w:type="paragraph" w:customStyle="1" w:styleId="Bullet1">
    <w:name w:val="Bullet1"/>
    <w:basedOn w:val="NormalText"/>
    <w:uiPriority w:val="4"/>
    <w:qFormat/>
    <w:rsid w:val="0077494F"/>
    <w:pPr>
      <w:numPr>
        <w:numId w:val="3"/>
      </w:numPr>
      <w:spacing w:before="120" w:after="120"/>
    </w:pPr>
  </w:style>
  <w:style w:type="paragraph" w:customStyle="1" w:styleId="APVMATableHeadRight">
    <w:name w:val="APVMA_TableHead_Right"/>
    <w:basedOn w:val="APVMATableHead"/>
    <w:uiPriority w:val="4"/>
    <w:rsid w:val="0077494F"/>
    <w:pPr>
      <w:jc w:val="right"/>
    </w:pPr>
  </w:style>
  <w:style w:type="paragraph" w:customStyle="1" w:styleId="Bullet2">
    <w:name w:val="Bullet2"/>
    <w:basedOn w:val="Bullet1"/>
    <w:uiPriority w:val="4"/>
    <w:qFormat/>
    <w:rsid w:val="0077494F"/>
    <w:pPr>
      <w:numPr>
        <w:numId w:val="1"/>
      </w:numPr>
      <w:spacing w:before="60"/>
    </w:pPr>
  </w:style>
  <w:style w:type="character" w:styleId="FootnoteReference">
    <w:name w:val="footnote reference"/>
    <w:uiPriority w:val="99"/>
    <w:qFormat/>
    <w:rsid w:val="0077494F"/>
    <w:rPr>
      <w:vertAlign w:val="superscript"/>
    </w:rPr>
  </w:style>
  <w:style w:type="paragraph" w:customStyle="1" w:styleId="APVMAQuote">
    <w:name w:val="APVMA_Quote"/>
    <w:basedOn w:val="NormalText"/>
    <w:uiPriority w:val="4"/>
    <w:rsid w:val="0077494F"/>
    <w:pPr>
      <w:ind w:left="567" w:right="567"/>
    </w:pPr>
  </w:style>
  <w:style w:type="paragraph" w:customStyle="1" w:styleId="APVMATableTextRight">
    <w:name w:val="APVMA_TableText_Right"/>
    <w:basedOn w:val="APVMATableText"/>
    <w:uiPriority w:val="4"/>
    <w:rsid w:val="0077494F"/>
    <w:pPr>
      <w:jc w:val="right"/>
    </w:pPr>
  </w:style>
  <w:style w:type="paragraph" w:styleId="Caption">
    <w:name w:val="caption"/>
    <w:aliases w:val="APVMA_Caption"/>
    <w:basedOn w:val="Normal"/>
    <w:next w:val="NormalText"/>
    <w:uiPriority w:val="4"/>
    <w:rsid w:val="0077494F"/>
    <w:pPr>
      <w:keepNext/>
      <w:keepLines/>
      <w:tabs>
        <w:tab w:val="left" w:pos="907"/>
      </w:tabs>
      <w:spacing w:before="240" w:after="120" w:line="280" w:lineRule="exact"/>
      <w:ind w:left="907" w:hanging="907"/>
    </w:pPr>
    <w:rPr>
      <w:rFonts w:ascii="Franklin Gothic Medium" w:hAnsi="Franklin Gothic Medium"/>
      <w:color w:val="53284F"/>
    </w:rPr>
  </w:style>
  <w:style w:type="paragraph" w:styleId="TOAHeading">
    <w:name w:val="toa heading"/>
    <w:aliases w:val="APVMA_TOC heading"/>
    <w:basedOn w:val="Heading1"/>
    <w:next w:val="TOC1"/>
    <w:uiPriority w:val="4"/>
    <w:semiHidden/>
    <w:rsid w:val="0077494F"/>
    <w:pPr>
      <w:pageBreakBefore w:val="0"/>
      <w:numPr>
        <w:numId w:val="0"/>
      </w:numPr>
      <w:outlineLvl w:val="9"/>
    </w:pPr>
    <w:rPr>
      <w:bCs/>
      <w:szCs w:val="20"/>
    </w:rPr>
  </w:style>
  <w:style w:type="paragraph" w:customStyle="1" w:styleId="APVMATableSubHead">
    <w:name w:val="APVMA_Table_SubHead"/>
    <w:basedOn w:val="APVMATableHead"/>
    <w:uiPriority w:val="4"/>
    <w:rsid w:val="0077494F"/>
    <w:rPr>
      <w:color w:val="53284F"/>
    </w:rPr>
  </w:style>
  <w:style w:type="paragraph" w:styleId="TableofFigures">
    <w:name w:val="table of figures"/>
    <w:aliases w:val="APVMA_ToF"/>
    <w:basedOn w:val="TOC3"/>
    <w:uiPriority w:val="4"/>
    <w:semiHidden/>
    <w:rsid w:val="0077494F"/>
    <w:pPr>
      <w:ind w:left="851" w:hanging="851"/>
    </w:pPr>
  </w:style>
  <w:style w:type="paragraph" w:customStyle="1" w:styleId="APVMAOddHeader">
    <w:name w:val="APVMA_Odd_Header"/>
    <w:basedOn w:val="NormalText"/>
    <w:uiPriority w:val="4"/>
    <w:rsid w:val="0077494F"/>
    <w:pPr>
      <w:pBdr>
        <w:bottom w:val="single" w:sz="4" w:space="1" w:color="auto"/>
      </w:pBdr>
      <w:tabs>
        <w:tab w:val="right" w:pos="9072"/>
        <w:tab w:val="right" w:pos="9638"/>
      </w:tabs>
      <w:spacing w:before="0" w:after="0" w:line="200" w:lineRule="exact"/>
    </w:pPr>
    <w:rPr>
      <w:b/>
      <w:bCs/>
      <w:caps/>
      <w:color w:val="53284F"/>
      <w:sz w:val="18"/>
      <w:szCs w:val="18"/>
    </w:rPr>
  </w:style>
  <w:style w:type="paragraph" w:customStyle="1" w:styleId="APVMACoverTitle">
    <w:name w:val="APVMA_Cover_Title"/>
    <w:basedOn w:val="Normal"/>
    <w:uiPriority w:val="4"/>
    <w:qFormat/>
    <w:rsid w:val="0077494F"/>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77494F"/>
    <w:pPr>
      <w:spacing w:before="120" w:line="340" w:lineRule="exact"/>
      <w:jc w:val="right"/>
    </w:pPr>
    <w:rPr>
      <w:rFonts w:ascii="Franklin Gothic Book" w:hAnsi="Franklin Gothic Book"/>
      <w:color w:val="000000" w:themeColor="text1"/>
      <w:sz w:val="28"/>
    </w:rPr>
  </w:style>
  <w:style w:type="paragraph" w:customStyle="1" w:styleId="APVMAImprintText">
    <w:name w:val="APVMA_Imprint_Text"/>
    <w:basedOn w:val="Normal"/>
    <w:rsid w:val="0077494F"/>
    <w:pPr>
      <w:spacing w:before="120" w:after="120" w:line="240" w:lineRule="exact"/>
    </w:pPr>
    <w:rPr>
      <w:spacing w:val="6"/>
      <w:sz w:val="16"/>
    </w:rPr>
  </w:style>
  <w:style w:type="paragraph" w:customStyle="1" w:styleId="APVMAAppendixH1">
    <w:name w:val="APVMA_Appendix_H1"/>
    <w:basedOn w:val="APVMAPreliminariesH1"/>
    <w:next w:val="NormalText"/>
    <w:uiPriority w:val="4"/>
    <w:rsid w:val="0077494F"/>
    <w:pPr>
      <w:tabs>
        <w:tab w:val="left" w:pos="2058"/>
      </w:tabs>
      <w:ind w:left="2044" w:hanging="2044"/>
    </w:pPr>
  </w:style>
  <w:style w:type="paragraph" w:customStyle="1" w:styleId="APVMAPreliminariesH1">
    <w:name w:val="APVMA_Preliminaries_H1"/>
    <w:basedOn w:val="Heading1"/>
    <w:next w:val="NormalText"/>
    <w:uiPriority w:val="4"/>
    <w:rsid w:val="0077494F"/>
    <w:pPr>
      <w:numPr>
        <w:numId w:val="0"/>
      </w:numPr>
    </w:pPr>
    <w:rPr>
      <w:bCs/>
      <w:szCs w:val="30"/>
    </w:rPr>
  </w:style>
  <w:style w:type="paragraph" w:customStyle="1" w:styleId="APVMAPreliminariesH2">
    <w:name w:val="APVMA_Preliminaries_H2"/>
    <w:basedOn w:val="Heading2"/>
    <w:next w:val="NormalText"/>
    <w:uiPriority w:val="4"/>
    <w:rsid w:val="0077494F"/>
    <w:pPr>
      <w:numPr>
        <w:ilvl w:val="0"/>
        <w:numId w:val="0"/>
      </w:numPr>
    </w:pPr>
  </w:style>
  <w:style w:type="paragraph" w:customStyle="1" w:styleId="APVMAPreliminariesH3">
    <w:name w:val="APVMA_Preliminaries_H3"/>
    <w:basedOn w:val="Heading3"/>
    <w:uiPriority w:val="4"/>
    <w:rsid w:val="0077494F"/>
  </w:style>
  <w:style w:type="paragraph" w:customStyle="1" w:styleId="APVMAGlossaryRefH1">
    <w:name w:val="APVMA_Glossary/Ref_H1"/>
    <w:basedOn w:val="APVMAPreliminariesH1"/>
    <w:uiPriority w:val="4"/>
    <w:rsid w:val="0077494F"/>
  </w:style>
  <w:style w:type="paragraph" w:customStyle="1" w:styleId="APVMAListAlpha">
    <w:name w:val="APVMA_List_Alpha"/>
    <w:basedOn w:val="NormalText"/>
    <w:uiPriority w:val="4"/>
    <w:qFormat/>
    <w:rsid w:val="0077494F"/>
    <w:pPr>
      <w:numPr>
        <w:numId w:val="5"/>
      </w:numPr>
      <w:spacing w:before="120" w:after="120"/>
    </w:pPr>
  </w:style>
  <w:style w:type="paragraph" w:customStyle="1" w:styleId="APVMAAppendixH2">
    <w:name w:val="APVMA_Appendix_H2"/>
    <w:basedOn w:val="APVMAPreliminariesH2"/>
    <w:next w:val="NormalText"/>
    <w:uiPriority w:val="4"/>
    <w:rsid w:val="0077494F"/>
    <w:rPr>
      <w:bCs/>
    </w:rPr>
  </w:style>
  <w:style w:type="paragraph" w:customStyle="1" w:styleId="APVMAAppendixH3">
    <w:name w:val="APVMA_Appendix_H3"/>
    <w:basedOn w:val="APVMAPreliminariesH3"/>
    <w:next w:val="NormalText"/>
    <w:uiPriority w:val="4"/>
    <w:rsid w:val="0077494F"/>
  </w:style>
  <w:style w:type="paragraph" w:customStyle="1" w:styleId="APVMABullet3">
    <w:name w:val="APVMA_Bullet3"/>
    <w:basedOn w:val="Bullet2"/>
    <w:uiPriority w:val="4"/>
    <w:rsid w:val="0077494F"/>
    <w:pPr>
      <w:numPr>
        <w:numId w:val="4"/>
      </w:numPr>
      <w:spacing w:before="120"/>
      <w:ind w:left="1020" w:hanging="340"/>
    </w:pPr>
  </w:style>
  <w:style w:type="paragraph" w:styleId="Header">
    <w:name w:val="header"/>
    <w:basedOn w:val="Normal"/>
    <w:link w:val="HeaderChar"/>
    <w:uiPriority w:val="99"/>
    <w:unhideWhenUsed/>
    <w:rsid w:val="0077494F"/>
    <w:pPr>
      <w:tabs>
        <w:tab w:val="center" w:pos="4513"/>
        <w:tab w:val="right" w:pos="9026"/>
      </w:tabs>
      <w:spacing w:line="240" w:lineRule="auto"/>
    </w:pPr>
  </w:style>
  <w:style w:type="character" w:customStyle="1" w:styleId="HeaderChar">
    <w:name w:val="Header Char"/>
    <w:basedOn w:val="DefaultParagraphFont"/>
    <w:link w:val="Header"/>
    <w:uiPriority w:val="99"/>
    <w:rsid w:val="0077494F"/>
    <w:rPr>
      <w:rFonts w:ascii="Arial" w:eastAsia="Times New Roman" w:hAnsi="Arial" w:cs="Times New Roman"/>
      <w:sz w:val="20"/>
      <w:szCs w:val="24"/>
    </w:rPr>
  </w:style>
  <w:style w:type="character" w:styleId="FollowedHyperlink">
    <w:name w:val="FollowedHyperlink"/>
    <w:basedOn w:val="DefaultParagraphFont"/>
    <w:uiPriority w:val="99"/>
    <w:semiHidden/>
    <w:unhideWhenUsed/>
    <w:rsid w:val="008C3322"/>
    <w:rPr>
      <w:color w:val="954F72" w:themeColor="followedHyperlink"/>
      <w:u w:val="single"/>
    </w:rPr>
  </w:style>
  <w:style w:type="paragraph" w:styleId="BodyText">
    <w:name w:val="Body Text"/>
    <w:aliases w:val="style5,bt"/>
    <w:basedOn w:val="Normal"/>
    <w:link w:val="BodyTextChar"/>
    <w:qFormat/>
    <w:rsid w:val="00292C3E"/>
    <w:pPr>
      <w:widowControl w:val="0"/>
      <w:spacing w:line="240" w:lineRule="auto"/>
    </w:pPr>
    <w:rPr>
      <w:rFonts w:ascii="Trebuchet MS" w:eastAsia="Trebuchet MS" w:hAnsi="Trebuchet MS"/>
      <w:sz w:val="19"/>
      <w:szCs w:val="19"/>
      <w:lang w:val="en-US"/>
    </w:rPr>
  </w:style>
  <w:style w:type="character" w:customStyle="1" w:styleId="BodyTextChar">
    <w:name w:val="Body Text Char"/>
    <w:aliases w:val="style5 Char,bt Char"/>
    <w:basedOn w:val="DefaultParagraphFont"/>
    <w:link w:val="BodyText"/>
    <w:rsid w:val="00292C3E"/>
    <w:rPr>
      <w:rFonts w:ascii="Trebuchet MS" w:eastAsia="Trebuchet MS" w:hAnsi="Trebuchet MS" w:cs="Times New Roman"/>
      <w:sz w:val="19"/>
      <w:szCs w:val="19"/>
      <w:lang w:val="en-US"/>
    </w:rPr>
  </w:style>
  <w:style w:type="character" w:customStyle="1" w:styleId="Heading6Char">
    <w:name w:val="Heading 6 Char"/>
    <w:basedOn w:val="DefaultParagraphFont"/>
    <w:link w:val="Heading6"/>
    <w:uiPriority w:val="9"/>
    <w:semiHidden/>
    <w:rsid w:val="004E4625"/>
    <w:rPr>
      <w:rFonts w:ascii="Calibri Light" w:eastAsia="Times New Roman" w:hAnsi="Calibri Light" w:cs="Times New Roman"/>
      <w:color w:val="1F4D78"/>
      <w:sz w:val="20"/>
      <w:szCs w:val="24"/>
    </w:rPr>
  </w:style>
  <w:style w:type="character" w:customStyle="1" w:styleId="Heading7Char">
    <w:name w:val="Heading 7 Char"/>
    <w:basedOn w:val="DefaultParagraphFont"/>
    <w:link w:val="Heading7"/>
    <w:uiPriority w:val="9"/>
    <w:semiHidden/>
    <w:rsid w:val="004E4625"/>
    <w:rPr>
      <w:rFonts w:ascii="Calibri Light" w:eastAsia="Times New Roman" w:hAnsi="Calibri Light" w:cs="Times New Roman"/>
      <w:i/>
      <w:iCs/>
      <w:color w:val="1F4D78"/>
      <w:sz w:val="20"/>
      <w:szCs w:val="24"/>
    </w:rPr>
  </w:style>
  <w:style w:type="character" w:customStyle="1" w:styleId="Heading8Char">
    <w:name w:val="Heading 8 Char"/>
    <w:basedOn w:val="DefaultParagraphFont"/>
    <w:link w:val="Heading8"/>
    <w:uiPriority w:val="9"/>
    <w:semiHidden/>
    <w:rsid w:val="004E4625"/>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4E4625"/>
    <w:rPr>
      <w:rFonts w:ascii="Calibri Light" w:eastAsia="Times New Roman" w:hAnsi="Calibri Light" w:cs="Times New Roman"/>
      <w:i/>
      <w:iCs/>
      <w:color w:val="272727"/>
      <w:sz w:val="21"/>
      <w:szCs w:val="21"/>
    </w:rPr>
  </w:style>
  <w:style w:type="character" w:styleId="CommentReference">
    <w:name w:val="annotation reference"/>
    <w:basedOn w:val="DefaultParagraphFont"/>
    <w:uiPriority w:val="99"/>
    <w:semiHidden/>
    <w:unhideWhenUsed/>
    <w:rsid w:val="00E26858"/>
    <w:rPr>
      <w:sz w:val="16"/>
      <w:szCs w:val="16"/>
    </w:rPr>
  </w:style>
  <w:style w:type="paragraph" w:styleId="CommentText">
    <w:name w:val="annotation text"/>
    <w:basedOn w:val="Normal"/>
    <w:link w:val="CommentTextChar"/>
    <w:uiPriority w:val="99"/>
    <w:semiHidden/>
    <w:unhideWhenUsed/>
    <w:rsid w:val="00E26858"/>
    <w:pPr>
      <w:spacing w:line="240" w:lineRule="auto"/>
    </w:pPr>
    <w:rPr>
      <w:szCs w:val="20"/>
    </w:rPr>
  </w:style>
  <w:style w:type="character" w:customStyle="1" w:styleId="CommentTextChar">
    <w:name w:val="Comment Text Char"/>
    <w:basedOn w:val="DefaultParagraphFont"/>
    <w:link w:val="CommentText"/>
    <w:uiPriority w:val="99"/>
    <w:semiHidden/>
    <w:rsid w:val="00E2685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26858"/>
    <w:rPr>
      <w:b/>
      <w:bCs/>
    </w:rPr>
  </w:style>
  <w:style w:type="character" w:customStyle="1" w:styleId="CommentSubjectChar">
    <w:name w:val="Comment Subject Char"/>
    <w:basedOn w:val="CommentTextChar"/>
    <w:link w:val="CommentSubject"/>
    <w:uiPriority w:val="99"/>
    <w:semiHidden/>
    <w:rsid w:val="00E26858"/>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E2685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85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apvma.gov.au/node/1079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nepc.gov.au/resource/chemical-risk-assessment-guidance-manuals"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fsa.europa.eu/efsajour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4CDC0-F40E-46D3-BDB2-5FCA5DE92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Appendix F, non-target terrestrial plants</vt:lpstr>
    </vt:vector>
  </TitlesOfParts>
  <Company>APVMA</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 non-target terrestrial plants</dc:title>
  <dc:subject/>
  <dc:creator>APVMA</dc:creator>
  <cp:keywords/>
  <dc:description/>
  <cp:lastModifiedBy>DEVENISH-MEARES, Rachel</cp:lastModifiedBy>
  <cp:revision>4</cp:revision>
  <dcterms:created xsi:type="dcterms:W3CDTF">2019-04-08T00:16:00Z</dcterms:created>
  <dcterms:modified xsi:type="dcterms:W3CDTF">2019-04-08T04:22:00Z</dcterms:modified>
</cp:coreProperties>
</file>