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F72" w:rsidRDefault="00541F72" w:rsidP="00B226FB">
      <w:pPr>
        <w:pStyle w:val="APVMACoverTitle"/>
        <w:spacing w:before="7200"/>
        <w:jc w:val="center"/>
      </w:pPr>
      <w:bookmarkStart w:id="0" w:name="_Toc414373842"/>
      <w:bookmarkStart w:id="1" w:name="_Toc414373406"/>
      <w:bookmarkStart w:id="2" w:name="_Toc231963183"/>
      <w:bookmarkStart w:id="3" w:name="_Toc231963195"/>
      <w:r w:rsidRPr="005D1A47">
        <w:rPr>
          <w:noProof/>
          <w:lang w:eastAsia="en-AU"/>
        </w:rPr>
        <w:drawing>
          <wp:inline distT="0" distB="0" distL="0" distR="0" wp14:anchorId="702BFAFC" wp14:editId="62488D5B">
            <wp:extent cx="2752725" cy="2676525"/>
            <wp:effectExtent l="0" t="0" r="9525" b="9525"/>
            <wp:docPr id="1" name="Picture 1" descr="Appendix graphic" tit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8">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p w:rsidR="00541F72" w:rsidRDefault="00541F72" w:rsidP="00541F72">
      <w:pPr>
        <w:pStyle w:val="APVMACoverTitle"/>
        <w:spacing w:before="1920"/>
        <w:jc w:val="center"/>
      </w:pPr>
      <w:r>
        <w:t>Appendix C</w:t>
      </w:r>
    </w:p>
    <w:p w:rsidR="00541F72" w:rsidRDefault="00541F72" w:rsidP="00541F72">
      <w:pPr>
        <w:pStyle w:val="APVMACoverSubtitle"/>
        <w:jc w:val="center"/>
      </w:pPr>
      <w:r>
        <w:t>Bees</w:t>
      </w:r>
    </w:p>
    <w:p w:rsidR="00541F72" w:rsidRDefault="00541F72" w:rsidP="00541F72">
      <w:pPr>
        <w:pStyle w:val="APVMACoverSubtitle"/>
        <w:jc w:val="center"/>
      </w:pPr>
      <w:r>
        <w:t>APRIL 2019</w:t>
      </w:r>
    </w:p>
    <w:p w:rsidR="00541F72" w:rsidRDefault="00541F72" w:rsidP="00541F72">
      <w:pPr>
        <w:pStyle w:val="APVMACoverTitle"/>
        <w:spacing w:before="1920"/>
        <w:jc w:val="center"/>
        <w:sectPr w:rsidR="00541F72">
          <w:headerReference w:type="default" r:id="rId9"/>
          <w:pgSz w:w="11906" w:h="16838" w:code="9"/>
          <w:pgMar w:top="2835" w:right="1134" w:bottom="1134" w:left="1134" w:header="1701" w:footer="680" w:gutter="0"/>
          <w:cols w:space="708"/>
          <w:docGrid w:linePitch="360"/>
        </w:sectPr>
      </w:pPr>
    </w:p>
    <w:bookmarkEnd w:id="0"/>
    <w:bookmarkEnd w:id="1"/>
    <w:p w:rsidR="00541F72" w:rsidRDefault="00541F72" w:rsidP="00B226FB">
      <w:pPr>
        <w:pStyle w:val="APVMAAppendixH1"/>
      </w:pPr>
      <w:r>
        <w:lastRenderedPageBreak/>
        <w:t>introduction</w:t>
      </w:r>
    </w:p>
    <w:p w:rsidR="00541F72" w:rsidRPr="00541F72" w:rsidRDefault="00541F72" w:rsidP="00541F72">
      <w:pPr>
        <w:pStyle w:val="NormalText"/>
      </w:pPr>
      <w:r w:rsidRPr="00541F72">
        <w:t>The general protection goal is to protect biodiversity and ecosystems. The protection goal for bees aims to protect survival and development of colonies, and limit effects on larvae and bee behaviour. In addition, abundance/biomass and reproduction are considered because of their importance for the development and long-term survival of colonies.</w:t>
      </w:r>
    </w:p>
    <w:p w:rsidR="00541F72" w:rsidRPr="00541F72" w:rsidRDefault="00541F72" w:rsidP="00541F72">
      <w:pPr>
        <w:pStyle w:val="NormalText"/>
      </w:pPr>
      <w:r w:rsidRPr="00541F72">
        <w:t>The viability of each colony, the pollination services it provides, and its yield of hive products all depend on the colony‘s strength and, in particular, on the number of individuals it contains. Therefore, protection goals are related specifically to colony strength (colony size). The magnitude of effects on colonies should not exceed 7% reduction in colony size. Foragers</w:t>
      </w:r>
      <w:r>
        <w:t>’</w:t>
      </w:r>
      <w:r w:rsidRPr="00541F72">
        <w:t xml:space="preserve"> mortality should not be increased compared with controls by a factor of 1.5 for six days or a factor of 2 for three days or a factor of 3 for two days.</w:t>
      </w:r>
    </w:p>
    <w:p w:rsidR="00E82ED8" w:rsidRDefault="00541F72" w:rsidP="00541F72">
      <w:pPr>
        <w:pStyle w:val="NormalText"/>
        <w:sectPr w:rsidR="00E82ED8" w:rsidSect="003C5DD4">
          <w:headerReference w:type="even" r:id="rId10"/>
          <w:headerReference w:type="default" r:id="rId11"/>
          <w:pgSz w:w="11906" w:h="16838" w:code="9"/>
          <w:pgMar w:top="2835" w:right="1134" w:bottom="1134" w:left="1134" w:header="1701" w:footer="680" w:gutter="0"/>
          <w:cols w:space="708"/>
          <w:docGrid w:linePitch="360"/>
        </w:sectPr>
      </w:pPr>
      <w:r w:rsidRPr="00541F72">
        <w:t>Honey production is important for beekeepers and it is expected that honey production is covered by the protection goals for colony development and forager mortality.</w:t>
      </w:r>
    </w:p>
    <w:p w:rsidR="00541F72" w:rsidRDefault="00541F72" w:rsidP="00541F72">
      <w:pPr>
        <w:pStyle w:val="APVMAAppendixH1"/>
      </w:pPr>
      <w:r>
        <w:lastRenderedPageBreak/>
        <w:t>Uses that don’t require assessment</w:t>
      </w:r>
    </w:p>
    <w:p w:rsidR="00541F72" w:rsidRPr="00541F72" w:rsidRDefault="00541F72" w:rsidP="00541F72">
      <w:pPr>
        <w:pStyle w:val="NormalText"/>
      </w:pPr>
      <w:r w:rsidRPr="00541F72">
        <w:t>The most important route of exposure of honeybees to pesticide products is by direct exposure to field sprays. In some cases, exposure of bees is not possible and there is no need for a detailed assessment of risks. Examples are: use during winter when bees are not flying; pre-emergence use of herbicides, indoor use and use in glasshouses where bees are not used for pollination; seed treatments and granules except when there is systemic activity; products for dipping bulbs, etc. However, any crops in which there are flowering weeds, or which might be overflown by bees visiting other crops, may present a risk of exposure, even if the crops themselves are not attractive to bees. In such cases, it is prudent to regard exposure as possible and to continue with the assessment.</w:t>
      </w:r>
    </w:p>
    <w:p w:rsidR="00BB375F" w:rsidRPr="00FC7641" w:rsidRDefault="00BB375F" w:rsidP="00BB375F">
      <w:pPr>
        <w:pStyle w:val="APVMAAppendixH2"/>
      </w:pPr>
      <w:r w:rsidRPr="00FC7641">
        <w:t>Toxicity values</w:t>
      </w:r>
    </w:p>
    <w:p w:rsidR="00B612C3" w:rsidRDefault="00BB375F" w:rsidP="00BB375F">
      <w:pPr>
        <w:pStyle w:val="NormalText"/>
      </w:pPr>
      <w:r w:rsidRPr="00FC7641">
        <w:t>Adults:</w:t>
      </w:r>
    </w:p>
    <w:p w:rsidR="00BB375F" w:rsidRPr="00FC7641" w:rsidRDefault="00047152" w:rsidP="00B612C3">
      <w:pPr>
        <w:pStyle w:val="Bullet1"/>
      </w:pPr>
      <w:r>
        <w:t>a</w:t>
      </w:r>
      <w:r w:rsidR="00BB375F" w:rsidRPr="00FC7641">
        <w:t>cute contact LD</w:t>
      </w:r>
      <w:r w:rsidR="00BB375F" w:rsidRPr="00FC7641">
        <w:rPr>
          <w:vertAlign w:val="subscript"/>
        </w:rPr>
        <w:t>50</w:t>
      </w:r>
      <w:r w:rsidR="00BB375F" w:rsidRPr="00FC7641">
        <w:t xml:space="preserve"> </w:t>
      </w:r>
      <w:r w:rsidR="00B612C3">
        <w:t xml:space="preserve">: </w:t>
      </w:r>
      <w:r w:rsidR="00BB375F" w:rsidRPr="00FC7641">
        <w:t>(OECD guideline 214)</w:t>
      </w:r>
    </w:p>
    <w:p w:rsidR="00BB375F" w:rsidRPr="00FC7641" w:rsidRDefault="00047152" w:rsidP="00B612C3">
      <w:pPr>
        <w:pStyle w:val="Bullet1"/>
      </w:pPr>
      <w:r>
        <w:t>a</w:t>
      </w:r>
      <w:r w:rsidR="00BB375F" w:rsidRPr="00FC7641">
        <w:t>cute oral LD</w:t>
      </w:r>
      <w:r w:rsidR="00BB375F" w:rsidRPr="00FC7641">
        <w:rPr>
          <w:vertAlign w:val="subscript"/>
        </w:rPr>
        <w:t>50</w:t>
      </w:r>
      <w:r w:rsidR="00B612C3" w:rsidRPr="00B612C3">
        <w:t>:</w:t>
      </w:r>
      <w:r w:rsidR="00B612C3">
        <w:rPr>
          <w:vertAlign w:val="subscript"/>
        </w:rPr>
        <w:t xml:space="preserve"> </w:t>
      </w:r>
      <w:r w:rsidR="00BB375F" w:rsidRPr="00FC7641">
        <w:t xml:space="preserve">(OECD guideline 213) </w:t>
      </w:r>
    </w:p>
    <w:p w:rsidR="00BB375F" w:rsidRPr="00FC7641" w:rsidRDefault="00047152" w:rsidP="00B612C3">
      <w:pPr>
        <w:pStyle w:val="Bullet1"/>
      </w:pPr>
      <w:proofErr w:type="gramStart"/>
      <w:r>
        <w:t>c</w:t>
      </w:r>
      <w:r w:rsidR="00BB375F" w:rsidRPr="00FC7641">
        <w:t>hronic</w:t>
      </w:r>
      <w:proofErr w:type="gramEnd"/>
      <w:r w:rsidR="00BB375F" w:rsidRPr="00FC7641">
        <w:t xml:space="preserve"> oral NOEL</w:t>
      </w:r>
      <w:r w:rsidR="00B612C3">
        <w:t xml:space="preserve">: </w:t>
      </w:r>
      <w:r w:rsidR="00BB375F" w:rsidRPr="00FC7641">
        <w:t>(OECD guideline 245)</w:t>
      </w:r>
      <w:r>
        <w:t>.</w:t>
      </w:r>
    </w:p>
    <w:p w:rsidR="00B612C3" w:rsidRDefault="00BB375F" w:rsidP="00BB375F">
      <w:pPr>
        <w:pStyle w:val="NormalText"/>
      </w:pPr>
      <w:r w:rsidRPr="00FC7641">
        <w:t>Larva</w:t>
      </w:r>
      <w:r w:rsidR="00B612C3">
        <w:t>e:</w:t>
      </w:r>
    </w:p>
    <w:p w:rsidR="00BB375F" w:rsidRPr="00FC7641" w:rsidRDefault="00047152" w:rsidP="00B612C3">
      <w:pPr>
        <w:pStyle w:val="Bullet1"/>
      </w:pPr>
      <w:r>
        <w:t>a</w:t>
      </w:r>
      <w:r w:rsidR="00BB375F" w:rsidRPr="00FC7641">
        <w:t>cute oral LD</w:t>
      </w:r>
      <w:r w:rsidR="00BB375F" w:rsidRPr="00FC7641">
        <w:rPr>
          <w:vertAlign w:val="subscript"/>
        </w:rPr>
        <w:t>50</w:t>
      </w:r>
      <w:r w:rsidR="00B612C3" w:rsidRPr="00B612C3">
        <w:t>:</w:t>
      </w:r>
      <w:r w:rsidR="00BB375F" w:rsidRPr="00FC7641">
        <w:t xml:space="preserve"> (OECD guideline 237)</w:t>
      </w:r>
    </w:p>
    <w:p w:rsidR="00BB375F" w:rsidRPr="00FC7641" w:rsidRDefault="00047152" w:rsidP="00B612C3">
      <w:pPr>
        <w:pStyle w:val="Bullet1"/>
      </w:pPr>
      <w:proofErr w:type="gramStart"/>
      <w:r>
        <w:t>c</w:t>
      </w:r>
      <w:r w:rsidR="00BB375F" w:rsidRPr="00FC7641">
        <w:t>hronic</w:t>
      </w:r>
      <w:proofErr w:type="gramEnd"/>
      <w:r w:rsidR="00BB375F" w:rsidRPr="00FC7641">
        <w:t xml:space="preserve"> oral NOEL</w:t>
      </w:r>
      <w:r w:rsidR="00B612C3">
        <w:t xml:space="preserve">: </w:t>
      </w:r>
      <w:r w:rsidR="00BB375F" w:rsidRPr="00FC7641">
        <w:t>(OECD Series on Testing &amp; Assessment No. 239)</w:t>
      </w:r>
      <w:r>
        <w:t>.</w:t>
      </w:r>
    </w:p>
    <w:p w:rsidR="00541F72" w:rsidRDefault="00BB375F" w:rsidP="00BB375F">
      <w:pPr>
        <w:pStyle w:val="APVMAAppendixH3"/>
      </w:pPr>
      <w:r>
        <w:t>Systemic products</w:t>
      </w:r>
    </w:p>
    <w:p w:rsidR="00BB375F" w:rsidRPr="00BB375F" w:rsidRDefault="00BB375F" w:rsidP="00BB375F">
      <w:pPr>
        <w:pStyle w:val="NormalText"/>
      </w:pPr>
      <w:r w:rsidRPr="00BB375F">
        <w:t>For soil-applied products (</w:t>
      </w:r>
      <w:proofErr w:type="spellStart"/>
      <w:r w:rsidRPr="00BB375F">
        <w:t>eg</w:t>
      </w:r>
      <w:proofErr w:type="spellEnd"/>
      <w:r w:rsidRPr="00BB375F">
        <w:t xml:space="preserve"> seed dressing) the oral toxicity of the active substance(s) have to be determined. If potential risks to honeybees are identified, realistic exposure conditions </w:t>
      </w:r>
      <w:r>
        <w:t xml:space="preserve">should be taken into account, </w:t>
      </w:r>
      <w:proofErr w:type="spellStart"/>
      <w:r>
        <w:t>i</w:t>
      </w:r>
      <w:r w:rsidRPr="00BB375F">
        <w:t>e</w:t>
      </w:r>
      <w:proofErr w:type="spellEnd"/>
      <w:r w:rsidRPr="00BB375F">
        <w:t xml:space="preserve"> realistic exposure concentrations as expected in nectar and pollen as indicated by residue studies. If a risk is indicated, higher tier studies (cage/tent/tunnel or field studies) with realistic exposure scenarios should be performed.</w:t>
      </w:r>
    </w:p>
    <w:p w:rsidR="00BB375F" w:rsidRDefault="00B612C3" w:rsidP="00B612C3">
      <w:pPr>
        <w:pStyle w:val="APVMAAppendixH3"/>
      </w:pPr>
      <w:r>
        <w:t>Residual toxicity</w:t>
      </w:r>
    </w:p>
    <w:p w:rsidR="0032293F" w:rsidRDefault="0032293F" w:rsidP="0032293F">
      <w:pPr>
        <w:pStyle w:val="NormalText"/>
      </w:pPr>
      <w:r w:rsidRPr="0032293F">
        <w:t>Residual toxicity information can be used to determine whether a product can be used during bloom, but when bees are not actively foraging. While bees may forage over a broad range of temperatures and environmental conditions, honey bees tend to forage during specific times when flowers are prone to</w:t>
      </w:r>
      <w:r w:rsidRPr="0032293F">
        <w:rPr>
          <w:rFonts w:ascii="Calibri" w:hAnsi="Calibri" w:cs="Calibri"/>
          <w:sz w:val="22"/>
          <w:szCs w:val="22"/>
        </w:rPr>
        <w:t xml:space="preserve"> </w:t>
      </w:r>
      <w:r w:rsidRPr="0032293F">
        <w:t>releasing pollen and/or nectar; foraging for pollen or nectar generally does not begin until temperatures reach 12</w:t>
      </w:r>
      <w:r w:rsidR="00047152">
        <w:t>–</w:t>
      </w:r>
      <w:r w:rsidRPr="0032293F">
        <w:t>14⁰C, and forage flights are generally correlated with greater light intensity (Winston 1987). While not always the case, such conditions tend to occur during the day but after the early morning hours and before the late evening hours.</w:t>
      </w:r>
    </w:p>
    <w:p w:rsidR="0032293F" w:rsidRDefault="0032293F" w:rsidP="0032293F">
      <w:pPr>
        <w:pStyle w:val="NormalText"/>
      </w:pPr>
      <w:r w:rsidRPr="0032293F">
        <w:t>Residual toxicity data are generated through the ‘toxicity of residues on foliage test’ (OCSPP 850.3030) and are referred to as RT</w:t>
      </w:r>
      <w:r w:rsidRPr="0032293F">
        <w:rPr>
          <w:vertAlign w:val="subscript"/>
        </w:rPr>
        <w:t>25</w:t>
      </w:r>
      <w:r w:rsidRPr="0032293F">
        <w:t xml:space="preserve"> data. RT</w:t>
      </w:r>
      <w:r w:rsidRPr="0032293F">
        <w:rPr>
          <w:vertAlign w:val="subscript"/>
        </w:rPr>
        <w:t>25</w:t>
      </w:r>
      <w:r w:rsidRPr="0032293F">
        <w:t xml:space="preserve"> is the length of time post-application that residues on foliage are toxic to 25% of honey bees tested. RT</w:t>
      </w:r>
      <w:r w:rsidRPr="0032293F">
        <w:rPr>
          <w:vertAlign w:val="subscript"/>
        </w:rPr>
        <w:t>25</w:t>
      </w:r>
      <w:r w:rsidRPr="0032293F">
        <w:t xml:space="preserve"> values are a function of a number of factors including application rate, physical-chemical properties, dissipation, crop, and pesticide formulation. Thus, there is considerable variability in RT</w:t>
      </w:r>
      <w:r w:rsidRPr="0032293F">
        <w:rPr>
          <w:vertAlign w:val="subscript"/>
        </w:rPr>
        <w:t>25</w:t>
      </w:r>
      <w:r w:rsidRPr="0032293F">
        <w:t xml:space="preserve"> values within a single formulation, between formulations, between crops, and across application rates. USEPA (2017) believes </w:t>
      </w:r>
      <w:r w:rsidRPr="0032293F">
        <w:lastRenderedPageBreak/>
        <w:t>that a product with an RT</w:t>
      </w:r>
      <w:r w:rsidRPr="0032293F">
        <w:rPr>
          <w:vertAlign w:val="subscript"/>
        </w:rPr>
        <w:t>25</w:t>
      </w:r>
      <w:r w:rsidRPr="0032293F">
        <w:t xml:space="preserve"> value of </w:t>
      </w:r>
      <w:r w:rsidR="00047152">
        <w:t>six</w:t>
      </w:r>
      <w:r w:rsidRPr="0032293F">
        <w:t xml:space="preserve"> hours or less could be used during bloom provided the application window starts </w:t>
      </w:r>
      <w:r w:rsidR="00047152">
        <w:t>two</w:t>
      </w:r>
      <w:r w:rsidRPr="0032293F">
        <w:t xml:space="preserve"> hours prior to sunset and </w:t>
      </w:r>
      <w:r w:rsidR="00047152">
        <w:t>eight</w:t>
      </w:r>
      <w:r w:rsidRPr="0032293F">
        <w:t xml:space="preserve"> hours prior to sunrise.</w:t>
      </w:r>
    </w:p>
    <w:p w:rsidR="0032293F" w:rsidRDefault="0032293F" w:rsidP="0032293F">
      <w:pPr>
        <w:pStyle w:val="APVMAAppendixH3"/>
      </w:pPr>
      <w:r>
        <w:t>Higher tier tests</w:t>
      </w:r>
    </w:p>
    <w:p w:rsidR="0032293F" w:rsidRPr="0032293F" w:rsidRDefault="0032293F" w:rsidP="0032293F">
      <w:pPr>
        <w:pStyle w:val="NormalText"/>
      </w:pPr>
      <w:r w:rsidRPr="0032293F">
        <w:t>For higher tier testing (cage/tent/tunnel or field trials), the recommendations of EPPO guideline 170 should be taken into account.</w:t>
      </w:r>
    </w:p>
    <w:p w:rsidR="0032293F" w:rsidRDefault="0032293F" w:rsidP="0032293F">
      <w:pPr>
        <w:pStyle w:val="APVMAAppendixH3"/>
      </w:pPr>
      <w:r>
        <w:t>Metabolite testing</w:t>
      </w:r>
    </w:p>
    <w:p w:rsidR="00E82ED8" w:rsidRDefault="0032293F" w:rsidP="0032293F">
      <w:pPr>
        <w:pStyle w:val="NormalText"/>
        <w:sectPr w:rsidR="00E82ED8" w:rsidSect="003C5DD4">
          <w:headerReference w:type="even" r:id="rId12"/>
          <w:pgSz w:w="11906" w:h="16838" w:code="9"/>
          <w:pgMar w:top="2835" w:right="1134" w:bottom="1134" w:left="1134" w:header="1701" w:footer="680" w:gutter="0"/>
          <w:cols w:space="708"/>
          <w:docGrid w:linePitch="360"/>
        </w:sectPr>
      </w:pPr>
      <w:r w:rsidRPr="0032293F">
        <w:t xml:space="preserve">Standard lab tests are normally not required for metabolites. Exceptions may be cases where, for example, the metabolite is the </w:t>
      </w:r>
      <w:proofErr w:type="spellStart"/>
      <w:r w:rsidRPr="0032293F">
        <w:t>pesticidal</w:t>
      </w:r>
      <w:proofErr w:type="spellEnd"/>
      <w:r w:rsidRPr="0032293F">
        <w:t xml:space="preserve"> active molecule. If higher tier studies (cage/tent/tunnel or field) are conducted with the product under realistic exposure conditions, potential risks from metabolites should be covered.</w:t>
      </w:r>
    </w:p>
    <w:p w:rsidR="0032293F" w:rsidRDefault="00E93A66" w:rsidP="00E93A66">
      <w:pPr>
        <w:pStyle w:val="APVMAAppendixH1"/>
      </w:pPr>
      <w:r>
        <w:lastRenderedPageBreak/>
        <w:t>Risk assessment</w:t>
      </w:r>
    </w:p>
    <w:p w:rsidR="00E93A66" w:rsidRDefault="00E93A66" w:rsidP="00E93A66">
      <w:pPr>
        <w:pStyle w:val="NormalText"/>
      </w:pPr>
      <w:r w:rsidRPr="00E93A66">
        <w:t xml:space="preserve">The acute and chronic risks to bees are assessed using a tiered approach, which is in line with current APVMA (2017) guidance. For the assessment, a regulatory acceptable dose (RAD) is first calculated for acute and chronic exposure scenarios as indicated in Table </w:t>
      </w:r>
      <w:r w:rsidR="00863480">
        <w:t>C1</w:t>
      </w:r>
      <w:r w:rsidRPr="00E93A66">
        <w:t>. A screening level risk assessment then assumes the worst-case scenario of a direct overspray of blooming plants that are frequented by bees in order to identify those substances and associated uses that do not pose a risk (Table C</w:t>
      </w:r>
      <w:r w:rsidR="00863480">
        <w:t>2</w:t>
      </w:r>
      <w:r w:rsidRPr="00E93A66">
        <w:t>).</w:t>
      </w:r>
    </w:p>
    <w:p w:rsidR="00E93A66" w:rsidRPr="00E93A66" w:rsidRDefault="00E93A66" w:rsidP="00E93A66">
      <w:pPr>
        <w:pStyle w:val="NormalText"/>
      </w:pPr>
      <w:r w:rsidRPr="00E93A66">
        <w:t>For systemic products, exposure considerations and calculations should be based on the active constituent present i</w:t>
      </w:r>
      <w:r w:rsidR="00047152">
        <w:t>n the respective plant parts (</w:t>
      </w:r>
      <w:proofErr w:type="spellStart"/>
      <w:r w:rsidR="00047152">
        <w:t>e</w:t>
      </w:r>
      <w:r w:rsidRPr="00E93A66">
        <w:t>g</w:t>
      </w:r>
      <w:proofErr w:type="spellEnd"/>
      <w:r w:rsidRPr="00E93A66">
        <w:t xml:space="preserve"> nectar, pollen) to which honeybees could be exposed. However, it should be noted that estimates of these concentrations are rarely available.</w:t>
      </w:r>
    </w:p>
    <w:p w:rsidR="00E93A66" w:rsidRDefault="00E93A66" w:rsidP="00E93A66">
      <w:pPr>
        <w:pStyle w:val="NormalText"/>
      </w:pPr>
      <w:r w:rsidRPr="00E93A66">
        <w:t>If a refined assessment is necessary, the attractiveness of the crop plant to honeybees may be considered. Useful guidance in this respect may be found in EFSA (2013), Appendix D and USDA (2017). There are also recommendations on additional criteria to consider, such as the presence in the foraging area of other sources of nectar</w:t>
      </w:r>
      <w:r w:rsidR="00047152">
        <w:t>/honeydew of higher/</w:t>
      </w:r>
      <w:r w:rsidRPr="00E93A66">
        <w:t>l</w:t>
      </w:r>
      <w:r w:rsidR="00047152">
        <w:t xml:space="preserve">ower level of attractiveness, </w:t>
      </w:r>
      <w:proofErr w:type="spellStart"/>
      <w:r w:rsidR="00047152">
        <w:t>i</w:t>
      </w:r>
      <w:r w:rsidRPr="00E93A66">
        <w:t>e</w:t>
      </w:r>
      <w:proofErr w:type="spellEnd"/>
      <w:r w:rsidRPr="00E93A66">
        <w:t xml:space="preserve"> weeds, which may influence the behaviour of bees towards the crop of interest. In general, a crop can be considered as unattractive to bees when it is harvested before flowering. Some plants that are intrinsically not attractive to bees may be visited due to extra floral nectaries</w:t>
      </w:r>
      <w:r w:rsidR="00047152">
        <w:t xml:space="preserve">, </w:t>
      </w:r>
      <w:proofErr w:type="spellStart"/>
      <w:r w:rsidR="00047152">
        <w:t>e</w:t>
      </w:r>
      <w:r w:rsidRPr="00E93A66">
        <w:t>g</w:t>
      </w:r>
      <w:proofErr w:type="spellEnd"/>
      <w:r w:rsidRPr="00E93A66">
        <w:t xml:space="preserve"> in field beans, or due to honeydew produced by aphids on crops otherwise not attractive to bees. Similarly, the presence of bee-attractive flowering weeds or of ‘secondary’ crops (</w:t>
      </w:r>
      <w:proofErr w:type="spellStart"/>
      <w:r w:rsidRPr="00E93A66">
        <w:t>eg</w:t>
      </w:r>
      <w:proofErr w:type="spellEnd"/>
      <w:r w:rsidRPr="00E93A66">
        <w:t xml:space="preserve"> associated flowering crop, mixed cropping, intercropping) in an unattractive crop may result in bee activity that leads to some exposure. A description of agricultural practices associated to the crop of concern may help in deciding whether or not visits and exposure are to be expected.</w:t>
      </w:r>
    </w:p>
    <w:p w:rsidR="00E93A66" w:rsidRDefault="00E93A66" w:rsidP="00E93A66">
      <w:pPr>
        <w:pStyle w:val="APVMAAppendixH2"/>
      </w:pPr>
      <w:r>
        <w:t>Systemic products</w:t>
      </w:r>
    </w:p>
    <w:p w:rsidR="00E93A66" w:rsidRPr="00E93A66" w:rsidRDefault="00E93A66" w:rsidP="00E93A66">
      <w:pPr>
        <w:pStyle w:val="NormalText"/>
      </w:pPr>
      <w:r w:rsidRPr="00E93A66">
        <w:t xml:space="preserve">The exposure of honeybees to pesticide products used for soil or seed treatments may occur in the case of transfer of the active constituent itself, or its degradation products, to the parts of the plant </w:t>
      </w:r>
      <w:r w:rsidR="00047152">
        <w:t xml:space="preserve">that may be consumed by bees, </w:t>
      </w:r>
      <w:proofErr w:type="spellStart"/>
      <w:r w:rsidR="00047152">
        <w:t>i</w:t>
      </w:r>
      <w:r w:rsidRPr="00E93A66">
        <w:t>e</w:t>
      </w:r>
      <w:proofErr w:type="spellEnd"/>
      <w:r w:rsidRPr="00E93A66">
        <w:t xml:space="preserve"> nectar, pollen or honeydew. Exposure to contaminated honeydew is not considered a relevant route in the case of soil and seed treatments. This is because the concentration of a systemic compound that could circulate in the phloem and reach honeydew without harming aphids should, in principle, not be capable of harming bees foraging on the honeydew, unless the compound is highly selectiv</w:t>
      </w:r>
      <w:r>
        <w:t>e towards non-aphid insects.</w:t>
      </w:r>
    </w:p>
    <w:p w:rsidR="00E82ED8" w:rsidRDefault="00E93A66" w:rsidP="00E93A66">
      <w:pPr>
        <w:pStyle w:val="NormalText"/>
        <w:sectPr w:rsidR="00E82ED8" w:rsidSect="003C5DD4">
          <w:pgSz w:w="11906" w:h="16838" w:code="9"/>
          <w:pgMar w:top="2835" w:right="1134" w:bottom="1134" w:left="1134" w:header="1701" w:footer="680" w:gutter="0"/>
          <w:cols w:space="708"/>
          <w:docGrid w:linePitch="360"/>
        </w:sectPr>
      </w:pPr>
      <w:r w:rsidRPr="00E93A66">
        <w:t>Information derived from residue studies and plant metabolism studies is, in general, sufficient to identify if the substance is transferred into the plant during its growth, and if it is further degraded into major degradation products. Similarly, possible uptake in plants of major soil degradation products will be identified in these residue studies. The plant protection product is considered systemic in case of uptake and transfer into the plant.</w:t>
      </w:r>
    </w:p>
    <w:p w:rsidR="00E93A66" w:rsidRDefault="00E93A66" w:rsidP="00E93A66">
      <w:pPr>
        <w:pStyle w:val="APVMAAppendixH1"/>
      </w:pPr>
      <w:r>
        <w:lastRenderedPageBreak/>
        <w:t>Risk assessment tables</w:t>
      </w:r>
    </w:p>
    <w:p w:rsidR="00E93A66" w:rsidRPr="00E93A66" w:rsidRDefault="00E93A66" w:rsidP="00E93A66">
      <w:pPr>
        <w:pStyle w:val="Caption"/>
      </w:pPr>
      <w:r>
        <w:t xml:space="preserve">Table C </w:t>
      </w:r>
      <w:fldSimple w:instr=" SEQ Table_C \* ARABIC ">
        <w:r w:rsidR="00261FD7">
          <w:rPr>
            <w:noProof/>
          </w:rPr>
          <w:t>1</w:t>
        </w:r>
      </w:fldSimple>
      <w:r>
        <w:t xml:space="preserve"> </w:t>
      </w:r>
      <w:r>
        <w:tab/>
        <w:t>Regulatory acceptable doses for bees</w:t>
      </w:r>
    </w:p>
    <w:tbl>
      <w:tblPr>
        <w:tblW w:w="5000" w:type="pct"/>
        <w:tblBorders>
          <w:bottom w:val="dotted" w:sz="2" w:space="0" w:color="auto"/>
          <w:insideH w:val="dotted" w:sz="2" w:space="0" w:color="auto"/>
        </w:tblBorders>
        <w:tblLook w:val="01E0" w:firstRow="1" w:lastRow="1" w:firstColumn="1" w:lastColumn="1" w:noHBand="0" w:noVBand="0"/>
      </w:tblPr>
      <w:tblGrid>
        <w:gridCol w:w="2011"/>
        <w:gridCol w:w="2092"/>
        <w:gridCol w:w="2111"/>
        <w:gridCol w:w="1712"/>
        <w:gridCol w:w="1712"/>
      </w:tblGrid>
      <w:tr w:rsidR="00E93A66" w:rsidTr="00B226FB">
        <w:trPr>
          <w:cantSplit/>
          <w:tblHeader/>
        </w:trPr>
        <w:tc>
          <w:tcPr>
            <w:tcW w:w="1043" w:type="pct"/>
            <w:tcBorders>
              <w:bottom w:val="single" w:sz="4" w:space="0" w:color="auto"/>
            </w:tcBorders>
            <w:shd w:val="clear" w:color="auto" w:fill="53284F"/>
            <w:vAlign w:val="bottom"/>
          </w:tcPr>
          <w:p w:rsidR="00E93A66" w:rsidRPr="000C1380" w:rsidRDefault="00E93A66" w:rsidP="00B226FB">
            <w:pPr>
              <w:pStyle w:val="APVMATableHead"/>
            </w:pPr>
            <w:r>
              <w:t>Life stage</w:t>
            </w:r>
          </w:p>
        </w:tc>
        <w:tc>
          <w:tcPr>
            <w:tcW w:w="1085" w:type="pct"/>
            <w:tcBorders>
              <w:bottom w:val="single" w:sz="4" w:space="0" w:color="auto"/>
            </w:tcBorders>
            <w:shd w:val="clear" w:color="auto" w:fill="53284F"/>
            <w:vAlign w:val="bottom"/>
          </w:tcPr>
          <w:p w:rsidR="00E93A66" w:rsidRPr="000C1380" w:rsidRDefault="00E93A66" w:rsidP="00B226FB">
            <w:pPr>
              <w:pStyle w:val="APVMATableHead"/>
            </w:pPr>
            <w:r w:rsidRPr="000C1380">
              <w:t>Exposure</w:t>
            </w:r>
          </w:p>
        </w:tc>
        <w:tc>
          <w:tcPr>
            <w:tcW w:w="1095" w:type="pct"/>
            <w:tcBorders>
              <w:bottom w:val="single" w:sz="4" w:space="0" w:color="auto"/>
            </w:tcBorders>
            <w:shd w:val="clear" w:color="auto" w:fill="53284F"/>
            <w:vAlign w:val="bottom"/>
          </w:tcPr>
          <w:p w:rsidR="00E93A66" w:rsidRPr="000C1380" w:rsidRDefault="00E93A66" w:rsidP="00B226FB">
            <w:pPr>
              <w:pStyle w:val="APVMATableHead"/>
            </w:pPr>
            <w:r w:rsidRPr="000C1380">
              <w:t>Endpoint</w:t>
            </w:r>
            <w:r>
              <w:t xml:space="preserve"> (µ ac/bee)</w:t>
            </w:r>
          </w:p>
        </w:tc>
        <w:tc>
          <w:tcPr>
            <w:tcW w:w="888" w:type="pct"/>
            <w:tcBorders>
              <w:bottom w:val="single" w:sz="4" w:space="0" w:color="auto"/>
            </w:tcBorders>
            <w:shd w:val="clear" w:color="auto" w:fill="53284F"/>
          </w:tcPr>
          <w:p w:rsidR="00E93A66" w:rsidRPr="000C1380" w:rsidRDefault="00E93A66" w:rsidP="00B226FB">
            <w:pPr>
              <w:pStyle w:val="APVMATableHead"/>
            </w:pPr>
            <w:r w:rsidRPr="000C1380">
              <w:t>Assessment factor</w:t>
            </w:r>
          </w:p>
        </w:tc>
        <w:tc>
          <w:tcPr>
            <w:tcW w:w="888" w:type="pct"/>
            <w:tcBorders>
              <w:bottom w:val="single" w:sz="4" w:space="0" w:color="auto"/>
            </w:tcBorders>
            <w:shd w:val="clear" w:color="auto" w:fill="53284F"/>
          </w:tcPr>
          <w:p w:rsidR="00E93A66" w:rsidRPr="000C1380" w:rsidRDefault="00E93A66" w:rsidP="00B226FB">
            <w:pPr>
              <w:pStyle w:val="APVMATableHead"/>
            </w:pPr>
            <w:r>
              <w:t>RAD (µ ac/bee)</w:t>
            </w:r>
          </w:p>
        </w:tc>
      </w:tr>
      <w:tr w:rsidR="00261FD7" w:rsidTr="00B226FB">
        <w:trPr>
          <w:cantSplit/>
        </w:trPr>
        <w:tc>
          <w:tcPr>
            <w:tcW w:w="1043" w:type="pct"/>
            <w:vMerge w:val="restart"/>
            <w:tcBorders>
              <w:top w:val="single" w:sz="4" w:space="0" w:color="auto"/>
            </w:tcBorders>
          </w:tcPr>
          <w:p w:rsidR="00261FD7" w:rsidRPr="000C1380" w:rsidRDefault="00261FD7" w:rsidP="00B226FB">
            <w:pPr>
              <w:pStyle w:val="APVMATableText"/>
            </w:pPr>
            <w:r>
              <w:t>Adults</w:t>
            </w:r>
          </w:p>
        </w:tc>
        <w:tc>
          <w:tcPr>
            <w:tcW w:w="1085" w:type="pct"/>
            <w:tcBorders>
              <w:top w:val="single" w:sz="4" w:space="0" w:color="auto"/>
              <w:bottom w:val="single" w:sz="4" w:space="0" w:color="auto"/>
            </w:tcBorders>
          </w:tcPr>
          <w:p w:rsidR="00261FD7" w:rsidRPr="000C1380" w:rsidRDefault="00261FD7" w:rsidP="00B226FB">
            <w:pPr>
              <w:pStyle w:val="APVMATableText"/>
            </w:pPr>
            <w:r>
              <w:t>Acute contact</w:t>
            </w:r>
          </w:p>
        </w:tc>
        <w:tc>
          <w:tcPr>
            <w:tcW w:w="1095" w:type="pct"/>
            <w:tcBorders>
              <w:top w:val="single" w:sz="4" w:space="0" w:color="auto"/>
              <w:bottom w:val="single" w:sz="4" w:space="0" w:color="auto"/>
            </w:tcBorders>
          </w:tcPr>
          <w:p w:rsidR="00261FD7" w:rsidRPr="000C1380" w:rsidRDefault="00261FD7" w:rsidP="00261FD7">
            <w:pPr>
              <w:pStyle w:val="APVMATableText"/>
            </w:pPr>
            <w:r w:rsidRPr="000C1380">
              <w:t>L</w:t>
            </w:r>
            <w:r>
              <w:t>D</w:t>
            </w:r>
            <w:r w:rsidRPr="000C1380">
              <w:rPr>
                <w:vertAlign w:val="subscript"/>
              </w:rPr>
              <w:t>50</w:t>
            </w:r>
            <w:r>
              <w:t xml:space="preserve"> XX</w:t>
            </w:r>
          </w:p>
        </w:tc>
        <w:tc>
          <w:tcPr>
            <w:tcW w:w="888" w:type="pct"/>
            <w:tcBorders>
              <w:top w:val="single" w:sz="4" w:space="0" w:color="auto"/>
              <w:bottom w:val="single" w:sz="4" w:space="0" w:color="auto"/>
            </w:tcBorders>
          </w:tcPr>
          <w:p w:rsidR="00261FD7" w:rsidRPr="000C1380" w:rsidRDefault="00261FD7" w:rsidP="00B226FB">
            <w:pPr>
              <w:pStyle w:val="APVMATableText"/>
            </w:pPr>
            <w:r>
              <w:t>2.5</w:t>
            </w:r>
          </w:p>
        </w:tc>
        <w:tc>
          <w:tcPr>
            <w:tcW w:w="888" w:type="pct"/>
            <w:tcBorders>
              <w:top w:val="single" w:sz="4" w:space="0" w:color="auto"/>
              <w:bottom w:val="single" w:sz="4" w:space="0" w:color="auto"/>
            </w:tcBorders>
          </w:tcPr>
          <w:p w:rsidR="00261FD7" w:rsidRPr="000C1380" w:rsidRDefault="00261FD7" w:rsidP="00B226FB">
            <w:pPr>
              <w:pStyle w:val="APVMATableText"/>
            </w:pPr>
          </w:p>
        </w:tc>
      </w:tr>
      <w:tr w:rsidR="00261FD7" w:rsidTr="002E1816">
        <w:trPr>
          <w:cantSplit/>
        </w:trPr>
        <w:tc>
          <w:tcPr>
            <w:tcW w:w="1043" w:type="pct"/>
            <w:vMerge/>
          </w:tcPr>
          <w:p w:rsidR="00261FD7" w:rsidRPr="000C1380" w:rsidRDefault="00261FD7" w:rsidP="00B226FB">
            <w:pPr>
              <w:pStyle w:val="APVMATableText"/>
            </w:pPr>
          </w:p>
        </w:tc>
        <w:tc>
          <w:tcPr>
            <w:tcW w:w="1085" w:type="pct"/>
            <w:tcBorders>
              <w:top w:val="single" w:sz="4" w:space="0" w:color="auto"/>
              <w:bottom w:val="single" w:sz="4" w:space="0" w:color="auto"/>
            </w:tcBorders>
          </w:tcPr>
          <w:p w:rsidR="00261FD7" w:rsidRPr="000C1380" w:rsidRDefault="00261FD7" w:rsidP="00B226FB">
            <w:pPr>
              <w:pStyle w:val="APVMATableText"/>
            </w:pPr>
            <w:r>
              <w:t>Acute oral</w:t>
            </w:r>
          </w:p>
        </w:tc>
        <w:tc>
          <w:tcPr>
            <w:tcW w:w="1095" w:type="pct"/>
            <w:tcBorders>
              <w:top w:val="single" w:sz="4" w:space="0" w:color="auto"/>
              <w:bottom w:val="single" w:sz="4" w:space="0" w:color="auto"/>
            </w:tcBorders>
          </w:tcPr>
          <w:p w:rsidR="00261FD7" w:rsidRPr="000C1380" w:rsidRDefault="00261FD7" w:rsidP="00B226FB">
            <w:pPr>
              <w:pStyle w:val="APVMATableText"/>
            </w:pPr>
            <w:r w:rsidRPr="000C1380">
              <w:t>L</w:t>
            </w:r>
            <w:r>
              <w:t>D</w:t>
            </w:r>
            <w:r w:rsidRPr="000C1380">
              <w:rPr>
                <w:vertAlign w:val="subscript"/>
              </w:rPr>
              <w:t>50</w:t>
            </w:r>
            <w:r>
              <w:t xml:space="preserve"> XX</w:t>
            </w:r>
          </w:p>
        </w:tc>
        <w:tc>
          <w:tcPr>
            <w:tcW w:w="888" w:type="pct"/>
            <w:tcBorders>
              <w:top w:val="single" w:sz="4" w:space="0" w:color="auto"/>
              <w:bottom w:val="single" w:sz="4" w:space="0" w:color="auto"/>
            </w:tcBorders>
          </w:tcPr>
          <w:p w:rsidR="00261FD7" w:rsidRPr="000C1380" w:rsidRDefault="00261FD7" w:rsidP="00B226FB">
            <w:pPr>
              <w:pStyle w:val="APVMATableText"/>
            </w:pPr>
            <w:r>
              <w:t>2.5</w:t>
            </w:r>
          </w:p>
        </w:tc>
        <w:tc>
          <w:tcPr>
            <w:tcW w:w="888" w:type="pct"/>
            <w:tcBorders>
              <w:top w:val="single" w:sz="4" w:space="0" w:color="auto"/>
              <w:bottom w:val="single" w:sz="4" w:space="0" w:color="auto"/>
            </w:tcBorders>
          </w:tcPr>
          <w:p w:rsidR="00261FD7" w:rsidRPr="000C1380" w:rsidRDefault="00261FD7" w:rsidP="00B226FB">
            <w:pPr>
              <w:pStyle w:val="APVMATableText"/>
            </w:pPr>
          </w:p>
        </w:tc>
      </w:tr>
      <w:tr w:rsidR="00261FD7" w:rsidTr="00B226FB">
        <w:trPr>
          <w:cantSplit/>
        </w:trPr>
        <w:tc>
          <w:tcPr>
            <w:tcW w:w="1043" w:type="pct"/>
            <w:vMerge/>
            <w:tcBorders>
              <w:bottom w:val="single" w:sz="4" w:space="0" w:color="auto"/>
            </w:tcBorders>
          </w:tcPr>
          <w:p w:rsidR="00261FD7" w:rsidRPr="000C1380" w:rsidRDefault="00261FD7" w:rsidP="00B226FB">
            <w:pPr>
              <w:pStyle w:val="APVMATableText"/>
            </w:pPr>
          </w:p>
        </w:tc>
        <w:tc>
          <w:tcPr>
            <w:tcW w:w="1085" w:type="pct"/>
            <w:tcBorders>
              <w:top w:val="single" w:sz="4" w:space="0" w:color="auto"/>
              <w:bottom w:val="single" w:sz="4" w:space="0" w:color="auto"/>
            </w:tcBorders>
          </w:tcPr>
          <w:p w:rsidR="00261FD7" w:rsidRDefault="00261FD7" w:rsidP="00B226FB">
            <w:pPr>
              <w:pStyle w:val="APVMATableText"/>
            </w:pPr>
            <w:r>
              <w:t>Chronic oral</w:t>
            </w:r>
          </w:p>
        </w:tc>
        <w:tc>
          <w:tcPr>
            <w:tcW w:w="1095" w:type="pct"/>
            <w:tcBorders>
              <w:top w:val="single" w:sz="4" w:space="0" w:color="auto"/>
              <w:bottom w:val="single" w:sz="4" w:space="0" w:color="auto"/>
            </w:tcBorders>
          </w:tcPr>
          <w:p w:rsidR="00261FD7" w:rsidRPr="000C1380" w:rsidRDefault="00261FD7" w:rsidP="00B226FB">
            <w:pPr>
              <w:pStyle w:val="APVMATableText"/>
            </w:pPr>
            <w:r>
              <w:t>NOEL XX</w:t>
            </w:r>
          </w:p>
        </w:tc>
        <w:tc>
          <w:tcPr>
            <w:tcW w:w="888" w:type="pct"/>
            <w:tcBorders>
              <w:top w:val="single" w:sz="4" w:space="0" w:color="auto"/>
              <w:bottom w:val="single" w:sz="4" w:space="0" w:color="auto"/>
            </w:tcBorders>
          </w:tcPr>
          <w:p w:rsidR="00261FD7" w:rsidRDefault="00261FD7" w:rsidP="00B226FB">
            <w:pPr>
              <w:pStyle w:val="APVMATableText"/>
            </w:pPr>
            <w:r>
              <w:t>1</w:t>
            </w:r>
          </w:p>
        </w:tc>
        <w:tc>
          <w:tcPr>
            <w:tcW w:w="888" w:type="pct"/>
            <w:tcBorders>
              <w:top w:val="single" w:sz="4" w:space="0" w:color="auto"/>
              <w:bottom w:val="single" w:sz="4" w:space="0" w:color="auto"/>
            </w:tcBorders>
          </w:tcPr>
          <w:p w:rsidR="00261FD7" w:rsidRPr="000C1380" w:rsidRDefault="00261FD7" w:rsidP="00B226FB">
            <w:pPr>
              <w:pStyle w:val="APVMATableText"/>
            </w:pPr>
          </w:p>
        </w:tc>
      </w:tr>
      <w:tr w:rsidR="00E93A66" w:rsidTr="00B226FB">
        <w:trPr>
          <w:cantSplit/>
        </w:trPr>
        <w:tc>
          <w:tcPr>
            <w:tcW w:w="1043" w:type="pct"/>
            <w:vMerge w:val="restart"/>
          </w:tcPr>
          <w:p w:rsidR="00E93A66" w:rsidRPr="000C1380" w:rsidRDefault="00261FD7" w:rsidP="00B226FB">
            <w:pPr>
              <w:pStyle w:val="APVMATableText"/>
            </w:pPr>
            <w:r>
              <w:t>Larvae</w:t>
            </w:r>
          </w:p>
        </w:tc>
        <w:tc>
          <w:tcPr>
            <w:tcW w:w="1085" w:type="pct"/>
            <w:tcBorders>
              <w:top w:val="single" w:sz="4" w:space="0" w:color="auto"/>
              <w:bottom w:val="single" w:sz="4" w:space="0" w:color="auto"/>
            </w:tcBorders>
          </w:tcPr>
          <w:p w:rsidR="00E93A66" w:rsidRPr="000C1380" w:rsidRDefault="00E93A66" w:rsidP="00B226FB">
            <w:pPr>
              <w:pStyle w:val="APVMATableText"/>
            </w:pPr>
            <w:r w:rsidRPr="000C1380">
              <w:t>Acute</w:t>
            </w:r>
            <w:r w:rsidR="00261FD7">
              <w:t xml:space="preserve"> oral</w:t>
            </w:r>
          </w:p>
        </w:tc>
        <w:tc>
          <w:tcPr>
            <w:tcW w:w="1095" w:type="pct"/>
            <w:tcBorders>
              <w:top w:val="single" w:sz="4" w:space="0" w:color="auto"/>
              <w:bottom w:val="single" w:sz="4" w:space="0" w:color="auto"/>
            </w:tcBorders>
          </w:tcPr>
          <w:p w:rsidR="00E93A66" w:rsidRPr="000C1380" w:rsidRDefault="00261FD7" w:rsidP="00B226FB">
            <w:pPr>
              <w:pStyle w:val="APVMATableText"/>
            </w:pPr>
            <w:r w:rsidRPr="000C1380">
              <w:t>L</w:t>
            </w:r>
            <w:r>
              <w:t>D</w:t>
            </w:r>
            <w:r w:rsidRPr="000C1380">
              <w:rPr>
                <w:vertAlign w:val="subscript"/>
              </w:rPr>
              <w:t>50</w:t>
            </w:r>
            <w:r>
              <w:t xml:space="preserve"> XX</w:t>
            </w:r>
          </w:p>
        </w:tc>
        <w:tc>
          <w:tcPr>
            <w:tcW w:w="888" w:type="pct"/>
            <w:tcBorders>
              <w:top w:val="single" w:sz="4" w:space="0" w:color="auto"/>
              <w:bottom w:val="single" w:sz="4" w:space="0" w:color="auto"/>
            </w:tcBorders>
          </w:tcPr>
          <w:p w:rsidR="00E93A66" w:rsidRPr="000C1380" w:rsidRDefault="00261FD7" w:rsidP="00B226FB">
            <w:pPr>
              <w:pStyle w:val="APVMATableText"/>
            </w:pPr>
            <w:r>
              <w:t>2.5</w:t>
            </w:r>
          </w:p>
        </w:tc>
        <w:tc>
          <w:tcPr>
            <w:tcW w:w="888" w:type="pct"/>
            <w:tcBorders>
              <w:top w:val="single" w:sz="4" w:space="0" w:color="auto"/>
              <w:bottom w:val="single" w:sz="4" w:space="0" w:color="auto"/>
            </w:tcBorders>
          </w:tcPr>
          <w:p w:rsidR="00E93A66" w:rsidRPr="000C1380" w:rsidRDefault="00E93A66" w:rsidP="00B226FB">
            <w:pPr>
              <w:pStyle w:val="APVMATableText"/>
            </w:pPr>
          </w:p>
        </w:tc>
      </w:tr>
      <w:tr w:rsidR="00E93A66" w:rsidTr="00B226FB">
        <w:trPr>
          <w:cantSplit/>
        </w:trPr>
        <w:tc>
          <w:tcPr>
            <w:tcW w:w="1043" w:type="pct"/>
            <w:vMerge/>
            <w:tcBorders>
              <w:bottom w:val="single" w:sz="4" w:space="0" w:color="auto"/>
            </w:tcBorders>
          </w:tcPr>
          <w:p w:rsidR="00E93A66" w:rsidRPr="000C1380" w:rsidRDefault="00E93A66" w:rsidP="00B226FB">
            <w:pPr>
              <w:pStyle w:val="APVMATableText"/>
            </w:pPr>
          </w:p>
        </w:tc>
        <w:tc>
          <w:tcPr>
            <w:tcW w:w="1085" w:type="pct"/>
            <w:tcBorders>
              <w:top w:val="single" w:sz="4" w:space="0" w:color="auto"/>
              <w:bottom w:val="single" w:sz="4" w:space="0" w:color="auto"/>
            </w:tcBorders>
          </w:tcPr>
          <w:p w:rsidR="00E93A66" w:rsidRPr="000C1380" w:rsidRDefault="00E93A66" w:rsidP="00B226FB">
            <w:pPr>
              <w:pStyle w:val="APVMATableText"/>
            </w:pPr>
            <w:r w:rsidRPr="000C1380">
              <w:t>Chronic</w:t>
            </w:r>
            <w:r w:rsidR="00261FD7">
              <w:t xml:space="preserve"> oral</w:t>
            </w:r>
          </w:p>
        </w:tc>
        <w:tc>
          <w:tcPr>
            <w:tcW w:w="1095" w:type="pct"/>
            <w:tcBorders>
              <w:top w:val="single" w:sz="4" w:space="0" w:color="auto"/>
              <w:bottom w:val="single" w:sz="4" w:space="0" w:color="auto"/>
            </w:tcBorders>
          </w:tcPr>
          <w:p w:rsidR="00E93A66" w:rsidRPr="000C1380" w:rsidRDefault="00261FD7" w:rsidP="00B226FB">
            <w:pPr>
              <w:pStyle w:val="APVMATableText"/>
            </w:pPr>
            <w:r>
              <w:t>NOEL XX</w:t>
            </w:r>
          </w:p>
        </w:tc>
        <w:tc>
          <w:tcPr>
            <w:tcW w:w="888" w:type="pct"/>
            <w:tcBorders>
              <w:top w:val="single" w:sz="4" w:space="0" w:color="auto"/>
              <w:bottom w:val="single" w:sz="4" w:space="0" w:color="auto"/>
            </w:tcBorders>
          </w:tcPr>
          <w:p w:rsidR="00E93A66" w:rsidRPr="000C1380" w:rsidRDefault="00E93A66" w:rsidP="00B226FB">
            <w:pPr>
              <w:pStyle w:val="APVMATableText"/>
            </w:pPr>
            <w:r w:rsidRPr="000C1380">
              <w:t>1</w:t>
            </w:r>
          </w:p>
        </w:tc>
        <w:tc>
          <w:tcPr>
            <w:tcW w:w="888" w:type="pct"/>
            <w:tcBorders>
              <w:top w:val="single" w:sz="4" w:space="0" w:color="auto"/>
              <w:bottom w:val="single" w:sz="4" w:space="0" w:color="auto"/>
            </w:tcBorders>
          </w:tcPr>
          <w:p w:rsidR="00E93A66" w:rsidRPr="000C1380" w:rsidRDefault="00E93A66" w:rsidP="00B226FB">
            <w:pPr>
              <w:pStyle w:val="APVMATableText"/>
            </w:pPr>
          </w:p>
        </w:tc>
      </w:tr>
    </w:tbl>
    <w:p w:rsidR="00261FD7" w:rsidRPr="00E04E84" w:rsidRDefault="00261FD7" w:rsidP="00261FD7">
      <w:pPr>
        <w:pStyle w:val="APVMASourceTableNote"/>
      </w:pPr>
      <w:r w:rsidRPr="00E04E84">
        <w:t>Assessment factors as per APVMA roadmap for pollinator assessment (APVMA 2017)</w:t>
      </w:r>
    </w:p>
    <w:p w:rsidR="00261FD7" w:rsidRPr="00AB73B9" w:rsidRDefault="00261FD7" w:rsidP="00261FD7">
      <w:pPr>
        <w:pStyle w:val="APVMASourceTableNote"/>
      </w:pPr>
      <w:r w:rsidRPr="00AB73B9">
        <w:t xml:space="preserve">RAD = Regulatory Acceptable Dose = endpoint / assessment factor </w:t>
      </w:r>
    </w:p>
    <w:p w:rsidR="00E93A66" w:rsidRDefault="00261FD7" w:rsidP="00261FD7">
      <w:pPr>
        <w:pStyle w:val="Caption"/>
      </w:pPr>
      <w:r>
        <w:t xml:space="preserve">Table C </w:t>
      </w:r>
      <w:fldSimple w:instr=" SEQ Table_C \* ARABIC ">
        <w:r>
          <w:rPr>
            <w:noProof/>
          </w:rPr>
          <w:t>2</w:t>
        </w:r>
      </w:fldSimple>
      <w:r>
        <w:tab/>
        <w:t>Screening level assessment of risks to bees</w:t>
      </w:r>
    </w:p>
    <w:tbl>
      <w:tblPr>
        <w:tblW w:w="5000" w:type="pct"/>
        <w:tblBorders>
          <w:bottom w:val="dotted" w:sz="2" w:space="0" w:color="auto"/>
          <w:insideH w:val="dotted" w:sz="2" w:space="0" w:color="auto"/>
        </w:tblBorders>
        <w:tblLook w:val="01E0" w:firstRow="1" w:lastRow="1" w:firstColumn="1" w:lastColumn="1" w:noHBand="0" w:noVBand="0"/>
      </w:tblPr>
      <w:tblGrid>
        <w:gridCol w:w="1713"/>
        <w:gridCol w:w="1777"/>
        <w:gridCol w:w="1793"/>
        <w:gridCol w:w="1664"/>
        <w:gridCol w:w="1700"/>
        <w:gridCol w:w="991"/>
      </w:tblGrid>
      <w:tr w:rsidR="00261FD7" w:rsidTr="00261FD7">
        <w:trPr>
          <w:cantSplit/>
          <w:tblHeader/>
        </w:trPr>
        <w:tc>
          <w:tcPr>
            <w:tcW w:w="889" w:type="pct"/>
            <w:tcBorders>
              <w:bottom w:val="single" w:sz="4" w:space="0" w:color="auto"/>
            </w:tcBorders>
            <w:shd w:val="clear" w:color="auto" w:fill="53284F"/>
            <w:vAlign w:val="bottom"/>
          </w:tcPr>
          <w:p w:rsidR="00261FD7" w:rsidRPr="000C1380" w:rsidRDefault="00261FD7" w:rsidP="00B226FB">
            <w:pPr>
              <w:pStyle w:val="APVMATableHead"/>
            </w:pPr>
            <w:r>
              <w:t>Life stage</w:t>
            </w:r>
          </w:p>
        </w:tc>
        <w:tc>
          <w:tcPr>
            <w:tcW w:w="922" w:type="pct"/>
            <w:tcBorders>
              <w:bottom w:val="single" w:sz="4" w:space="0" w:color="auto"/>
            </w:tcBorders>
            <w:shd w:val="clear" w:color="auto" w:fill="53284F"/>
            <w:vAlign w:val="bottom"/>
          </w:tcPr>
          <w:p w:rsidR="00261FD7" w:rsidRPr="000C1380" w:rsidRDefault="00261FD7" w:rsidP="00B226FB">
            <w:pPr>
              <w:pStyle w:val="APVMATableHead"/>
            </w:pPr>
            <w:r w:rsidRPr="000C1380">
              <w:t>Exposure</w:t>
            </w:r>
          </w:p>
        </w:tc>
        <w:tc>
          <w:tcPr>
            <w:tcW w:w="930" w:type="pct"/>
            <w:tcBorders>
              <w:bottom w:val="single" w:sz="4" w:space="0" w:color="auto"/>
            </w:tcBorders>
            <w:shd w:val="clear" w:color="auto" w:fill="53284F"/>
            <w:vAlign w:val="bottom"/>
          </w:tcPr>
          <w:p w:rsidR="00261FD7" w:rsidRPr="000C1380" w:rsidRDefault="00261FD7" w:rsidP="00B226FB">
            <w:pPr>
              <w:pStyle w:val="APVMATableHead"/>
            </w:pPr>
            <w:r>
              <w:t>Application rate (g ac/ha)</w:t>
            </w:r>
          </w:p>
        </w:tc>
        <w:tc>
          <w:tcPr>
            <w:tcW w:w="863" w:type="pct"/>
            <w:tcBorders>
              <w:bottom w:val="single" w:sz="4" w:space="0" w:color="auto"/>
            </w:tcBorders>
            <w:shd w:val="clear" w:color="auto" w:fill="53284F"/>
          </w:tcPr>
          <w:p w:rsidR="00261FD7" w:rsidRPr="000C1380" w:rsidRDefault="00261FD7" w:rsidP="00B226FB">
            <w:pPr>
              <w:pStyle w:val="APVMATableHead"/>
            </w:pPr>
            <w:r>
              <w:t>Predicted total dose (µ ac/bee)</w:t>
            </w:r>
          </w:p>
        </w:tc>
        <w:tc>
          <w:tcPr>
            <w:tcW w:w="882" w:type="pct"/>
            <w:tcBorders>
              <w:bottom w:val="single" w:sz="4" w:space="0" w:color="auto"/>
            </w:tcBorders>
            <w:shd w:val="clear" w:color="auto" w:fill="53284F"/>
          </w:tcPr>
          <w:p w:rsidR="00261FD7" w:rsidRPr="000C1380" w:rsidRDefault="00261FD7" w:rsidP="00B226FB">
            <w:pPr>
              <w:pStyle w:val="APVMATableHead"/>
            </w:pPr>
            <w:r>
              <w:t>RAD (µ ac/bee)</w:t>
            </w:r>
          </w:p>
        </w:tc>
        <w:tc>
          <w:tcPr>
            <w:tcW w:w="514" w:type="pct"/>
            <w:tcBorders>
              <w:bottom w:val="single" w:sz="4" w:space="0" w:color="auto"/>
            </w:tcBorders>
            <w:shd w:val="clear" w:color="auto" w:fill="53284F"/>
          </w:tcPr>
          <w:p w:rsidR="00261FD7" w:rsidRDefault="00261FD7" w:rsidP="00B226FB">
            <w:pPr>
              <w:pStyle w:val="APVMATableHead"/>
            </w:pPr>
            <w:r>
              <w:t>RQ</w:t>
            </w:r>
          </w:p>
        </w:tc>
      </w:tr>
      <w:tr w:rsidR="00261FD7" w:rsidTr="00261FD7">
        <w:trPr>
          <w:cantSplit/>
        </w:trPr>
        <w:tc>
          <w:tcPr>
            <w:tcW w:w="889" w:type="pct"/>
            <w:vMerge w:val="restart"/>
            <w:tcBorders>
              <w:top w:val="single" w:sz="4" w:space="0" w:color="auto"/>
            </w:tcBorders>
          </w:tcPr>
          <w:p w:rsidR="00261FD7" w:rsidRPr="000C1380" w:rsidRDefault="00261FD7" w:rsidP="00B226FB">
            <w:pPr>
              <w:pStyle w:val="APVMATableText"/>
            </w:pPr>
            <w:r>
              <w:t>Adults</w:t>
            </w:r>
          </w:p>
        </w:tc>
        <w:tc>
          <w:tcPr>
            <w:tcW w:w="922" w:type="pct"/>
            <w:tcBorders>
              <w:top w:val="single" w:sz="4" w:space="0" w:color="auto"/>
              <w:bottom w:val="single" w:sz="4" w:space="0" w:color="auto"/>
            </w:tcBorders>
          </w:tcPr>
          <w:p w:rsidR="00261FD7" w:rsidRPr="000C1380" w:rsidRDefault="00261FD7" w:rsidP="00B226FB">
            <w:pPr>
              <w:pStyle w:val="APVMATableText"/>
            </w:pPr>
            <w:r>
              <w:t>Acute contact</w:t>
            </w:r>
          </w:p>
        </w:tc>
        <w:tc>
          <w:tcPr>
            <w:tcW w:w="930" w:type="pct"/>
            <w:tcBorders>
              <w:top w:val="single" w:sz="4" w:space="0" w:color="auto"/>
              <w:bottom w:val="single" w:sz="4" w:space="0" w:color="auto"/>
            </w:tcBorders>
          </w:tcPr>
          <w:p w:rsidR="00261FD7" w:rsidRPr="000C1380" w:rsidRDefault="00261FD7" w:rsidP="00B226FB">
            <w:pPr>
              <w:pStyle w:val="APVMATableText"/>
            </w:pPr>
          </w:p>
        </w:tc>
        <w:tc>
          <w:tcPr>
            <w:tcW w:w="863" w:type="pct"/>
            <w:tcBorders>
              <w:top w:val="single" w:sz="4" w:space="0" w:color="auto"/>
              <w:bottom w:val="single" w:sz="4" w:space="0" w:color="auto"/>
            </w:tcBorders>
          </w:tcPr>
          <w:p w:rsidR="00261FD7" w:rsidRPr="000C1380" w:rsidRDefault="00261FD7" w:rsidP="00B226FB">
            <w:pPr>
              <w:pStyle w:val="APVMATableText"/>
            </w:pPr>
          </w:p>
        </w:tc>
        <w:tc>
          <w:tcPr>
            <w:tcW w:w="882" w:type="pct"/>
            <w:tcBorders>
              <w:top w:val="single" w:sz="4" w:space="0" w:color="auto"/>
              <w:bottom w:val="single" w:sz="4" w:space="0" w:color="auto"/>
            </w:tcBorders>
          </w:tcPr>
          <w:p w:rsidR="00261FD7" w:rsidRPr="000C1380" w:rsidRDefault="00261FD7" w:rsidP="00B226FB">
            <w:pPr>
              <w:pStyle w:val="APVMATableText"/>
            </w:pPr>
          </w:p>
        </w:tc>
        <w:tc>
          <w:tcPr>
            <w:tcW w:w="514" w:type="pct"/>
            <w:tcBorders>
              <w:top w:val="single" w:sz="4" w:space="0" w:color="auto"/>
              <w:bottom w:val="single" w:sz="4" w:space="0" w:color="auto"/>
            </w:tcBorders>
          </w:tcPr>
          <w:p w:rsidR="00261FD7" w:rsidRPr="000C1380" w:rsidRDefault="00261FD7" w:rsidP="00B226FB">
            <w:pPr>
              <w:pStyle w:val="APVMATableText"/>
            </w:pPr>
          </w:p>
        </w:tc>
      </w:tr>
      <w:tr w:rsidR="00261FD7" w:rsidTr="00261FD7">
        <w:trPr>
          <w:cantSplit/>
        </w:trPr>
        <w:tc>
          <w:tcPr>
            <w:tcW w:w="889" w:type="pct"/>
            <w:vMerge/>
          </w:tcPr>
          <w:p w:rsidR="00261FD7" w:rsidRPr="000C1380" w:rsidRDefault="00261FD7" w:rsidP="00B226FB">
            <w:pPr>
              <w:pStyle w:val="APVMATableText"/>
            </w:pPr>
          </w:p>
        </w:tc>
        <w:tc>
          <w:tcPr>
            <w:tcW w:w="922" w:type="pct"/>
            <w:tcBorders>
              <w:top w:val="single" w:sz="4" w:space="0" w:color="auto"/>
              <w:bottom w:val="single" w:sz="4" w:space="0" w:color="auto"/>
            </w:tcBorders>
          </w:tcPr>
          <w:p w:rsidR="00261FD7" w:rsidRPr="000C1380" w:rsidRDefault="00261FD7" w:rsidP="00B226FB">
            <w:pPr>
              <w:pStyle w:val="APVMATableText"/>
            </w:pPr>
            <w:r>
              <w:t>Acute oral</w:t>
            </w:r>
          </w:p>
        </w:tc>
        <w:tc>
          <w:tcPr>
            <w:tcW w:w="930" w:type="pct"/>
            <w:tcBorders>
              <w:top w:val="single" w:sz="4" w:space="0" w:color="auto"/>
              <w:bottom w:val="single" w:sz="4" w:space="0" w:color="auto"/>
            </w:tcBorders>
          </w:tcPr>
          <w:p w:rsidR="00261FD7" w:rsidRPr="000C1380" w:rsidRDefault="00261FD7" w:rsidP="00B226FB">
            <w:pPr>
              <w:pStyle w:val="APVMATableText"/>
            </w:pPr>
          </w:p>
        </w:tc>
        <w:tc>
          <w:tcPr>
            <w:tcW w:w="863" w:type="pct"/>
            <w:tcBorders>
              <w:top w:val="single" w:sz="4" w:space="0" w:color="auto"/>
              <w:bottom w:val="single" w:sz="4" w:space="0" w:color="auto"/>
            </w:tcBorders>
          </w:tcPr>
          <w:p w:rsidR="00261FD7" w:rsidRPr="000C1380" w:rsidRDefault="00261FD7" w:rsidP="00B226FB">
            <w:pPr>
              <w:pStyle w:val="APVMATableText"/>
            </w:pPr>
          </w:p>
        </w:tc>
        <w:tc>
          <w:tcPr>
            <w:tcW w:w="882" w:type="pct"/>
            <w:tcBorders>
              <w:top w:val="single" w:sz="4" w:space="0" w:color="auto"/>
              <w:bottom w:val="single" w:sz="4" w:space="0" w:color="auto"/>
            </w:tcBorders>
          </w:tcPr>
          <w:p w:rsidR="00261FD7" w:rsidRPr="000C1380" w:rsidRDefault="00261FD7" w:rsidP="00B226FB">
            <w:pPr>
              <w:pStyle w:val="APVMATableText"/>
            </w:pPr>
          </w:p>
        </w:tc>
        <w:tc>
          <w:tcPr>
            <w:tcW w:w="514" w:type="pct"/>
            <w:tcBorders>
              <w:top w:val="single" w:sz="4" w:space="0" w:color="auto"/>
              <w:bottom w:val="single" w:sz="4" w:space="0" w:color="auto"/>
            </w:tcBorders>
          </w:tcPr>
          <w:p w:rsidR="00261FD7" w:rsidRPr="000C1380" w:rsidRDefault="00261FD7" w:rsidP="00B226FB">
            <w:pPr>
              <w:pStyle w:val="APVMATableText"/>
            </w:pPr>
          </w:p>
        </w:tc>
      </w:tr>
      <w:tr w:rsidR="00261FD7" w:rsidTr="00261FD7">
        <w:trPr>
          <w:cantSplit/>
        </w:trPr>
        <w:tc>
          <w:tcPr>
            <w:tcW w:w="889" w:type="pct"/>
            <w:vMerge/>
            <w:tcBorders>
              <w:bottom w:val="single" w:sz="4" w:space="0" w:color="auto"/>
            </w:tcBorders>
          </w:tcPr>
          <w:p w:rsidR="00261FD7" w:rsidRPr="000C1380" w:rsidRDefault="00261FD7" w:rsidP="00B226FB">
            <w:pPr>
              <w:pStyle w:val="APVMATableText"/>
            </w:pPr>
          </w:p>
        </w:tc>
        <w:tc>
          <w:tcPr>
            <w:tcW w:w="922" w:type="pct"/>
            <w:tcBorders>
              <w:top w:val="single" w:sz="4" w:space="0" w:color="auto"/>
              <w:bottom w:val="single" w:sz="4" w:space="0" w:color="auto"/>
            </w:tcBorders>
          </w:tcPr>
          <w:p w:rsidR="00261FD7" w:rsidRDefault="00261FD7" w:rsidP="00B226FB">
            <w:pPr>
              <w:pStyle w:val="APVMATableText"/>
            </w:pPr>
            <w:r>
              <w:t>Chronic oral</w:t>
            </w:r>
          </w:p>
        </w:tc>
        <w:tc>
          <w:tcPr>
            <w:tcW w:w="930" w:type="pct"/>
            <w:tcBorders>
              <w:top w:val="single" w:sz="4" w:space="0" w:color="auto"/>
              <w:bottom w:val="single" w:sz="4" w:space="0" w:color="auto"/>
            </w:tcBorders>
          </w:tcPr>
          <w:p w:rsidR="00261FD7" w:rsidRPr="000C1380" w:rsidRDefault="00261FD7" w:rsidP="00B226FB">
            <w:pPr>
              <w:pStyle w:val="APVMATableText"/>
            </w:pPr>
          </w:p>
        </w:tc>
        <w:tc>
          <w:tcPr>
            <w:tcW w:w="863" w:type="pct"/>
            <w:tcBorders>
              <w:top w:val="single" w:sz="4" w:space="0" w:color="auto"/>
              <w:bottom w:val="single" w:sz="4" w:space="0" w:color="auto"/>
            </w:tcBorders>
          </w:tcPr>
          <w:p w:rsidR="00261FD7" w:rsidRDefault="00261FD7" w:rsidP="00B226FB">
            <w:pPr>
              <w:pStyle w:val="APVMATableText"/>
            </w:pPr>
          </w:p>
        </w:tc>
        <w:tc>
          <w:tcPr>
            <w:tcW w:w="882" w:type="pct"/>
            <w:tcBorders>
              <w:top w:val="single" w:sz="4" w:space="0" w:color="auto"/>
              <w:bottom w:val="single" w:sz="4" w:space="0" w:color="auto"/>
            </w:tcBorders>
          </w:tcPr>
          <w:p w:rsidR="00261FD7" w:rsidRPr="000C1380" w:rsidRDefault="00261FD7" w:rsidP="00B226FB">
            <w:pPr>
              <w:pStyle w:val="APVMATableText"/>
            </w:pPr>
          </w:p>
        </w:tc>
        <w:tc>
          <w:tcPr>
            <w:tcW w:w="514" w:type="pct"/>
            <w:tcBorders>
              <w:top w:val="single" w:sz="4" w:space="0" w:color="auto"/>
              <w:bottom w:val="single" w:sz="4" w:space="0" w:color="auto"/>
            </w:tcBorders>
          </w:tcPr>
          <w:p w:rsidR="00261FD7" w:rsidRPr="000C1380" w:rsidRDefault="00261FD7" w:rsidP="00B226FB">
            <w:pPr>
              <w:pStyle w:val="APVMATableText"/>
            </w:pPr>
          </w:p>
        </w:tc>
      </w:tr>
      <w:tr w:rsidR="00261FD7" w:rsidTr="00261FD7">
        <w:trPr>
          <w:cantSplit/>
        </w:trPr>
        <w:tc>
          <w:tcPr>
            <w:tcW w:w="889" w:type="pct"/>
            <w:vMerge w:val="restart"/>
          </w:tcPr>
          <w:p w:rsidR="00261FD7" w:rsidRPr="000C1380" w:rsidRDefault="00261FD7" w:rsidP="00B226FB">
            <w:pPr>
              <w:pStyle w:val="APVMATableText"/>
            </w:pPr>
            <w:r>
              <w:t>Larvae</w:t>
            </w:r>
          </w:p>
        </w:tc>
        <w:tc>
          <w:tcPr>
            <w:tcW w:w="922" w:type="pct"/>
            <w:tcBorders>
              <w:top w:val="single" w:sz="4" w:space="0" w:color="auto"/>
              <w:bottom w:val="single" w:sz="4" w:space="0" w:color="auto"/>
            </w:tcBorders>
          </w:tcPr>
          <w:p w:rsidR="00261FD7" w:rsidRPr="000C1380" w:rsidRDefault="00261FD7" w:rsidP="00B226FB">
            <w:pPr>
              <w:pStyle w:val="APVMATableText"/>
            </w:pPr>
            <w:r w:rsidRPr="000C1380">
              <w:t>Acute</w:t>
            </w:r>
            <w:r>
              <w:t xml:space="preserve"> oral</w:t>
            </w:r>
          </w:p>
        </w:tc>
        <w:tc>
          <w:tcPr>
            <w:tcW w:w="930" w:type="pct"/>
            <w:tcBorders>
              <w:top w:val="single" w:sz="4" w:space="0" w:color="auto"/>
              <w:bottom w:val="single" w:sz="4" w:space="0" w:color="auto"/>
            </w:tcBorders>
          </w:tcPr>
          <w:p w:rsidR="00261FD7" w:rsidRPr="000C1380" w:rsidRDefault="00261FD7" w:rsidP="00B226FB">
            <w:pPr>
              <w:pStyle w:val="APVMATableText"/>
            </w:pPr>
          </w:p>
        </w:tc>
        <w:tc>
          <w:tcPr>
            <w:tcW w:w="863" w:type="pct"/>
            <w:tcBorders>
              <w:top w:val="single" w:sz="4" w:space="0" w:color="auto"/>
              <w:bottom w:val="single" w:sz="4" w:space="0" w:color="auto"/>
            </w:tcBorders>
          </w:tcPr>
          <w:p w:rsidR="00261FD7" w:rsidRPr="000C1380" w:rsidRDefault="00261FD7" w:rsidP="00B226FB">
            <w:pPr>
              <w:pStyle w:val="APVMATableText"/>
            </w:pPr>
          </w:p>
        </w:tc>
        <w:tc>
          <w:tcPr>
            <w:tcW w:w="882" w:type="pct"/>
            <w:tcBorders>
              <w:top w:val="single" w:sz="4" w:space="0" w:color="auto"/>
              <w:bottom w:val="single" w:sz="4" w:space="0" w:color="auto"/>
            </w:tcBorders>
          </w:tcPr>
          <w:p w:rsidR="00261FD7" w:rsidRPr="000C1380" w:rsidRDefault="00261FD7" w:rsidP="00B226FB">
            <w:pPr>
              <w:pStyle w:val="APVMATableText"/>
            </w:pPr>
          </w:p>
        </w:tc>
        <w:tc>
          <w:tcPr>
            <w:tcW w:w="514" w:type="pct"/>
            <w:tcBorders>
              <w:top w:val="single" w:sz="4" w:space="0" w:color="auto"/>
              <w:bottom w:val="single" w:sz="4" w:space="0" w:color="auto"/>
            </w:tcBorders>
          </w:tcPr>
          <w:p w:rsidR="00261FD7" w:rsidRPr="000C1380" w:rsidRDefault="00261FD7" w:rsidP="00B226FB">
            <w:pPr>
              <w:pStyle w:val="APVMATableText"/>
            </w:pPr>
          </w:p>
        </w:tc>
      </w:tr>
      <w:tr w:rsidR="00261FD7" w:rsidTr="00261FD7">
        <w:trPr>
          <w:cantSplit/>
        </w:trPr>
        <w:tc>
          <w:tcPr>
            <w:tcW w:w="889" w:type="pct"/>
            <w:vMerge/>
            <w:tcBorders>
              <w:bottom w:val="single" w:sz="4" w:space="0" w:color="auto"/>
            </w:tcBorders>
          </w:tcPr>
          <w:p w:rsidR="00261FD7" w:rsidRPr="000C1380" w:rsidRDefault="00261FD7" w:rsidP="00B226FB">
            <w:pPr>
              <w:pStyle w:val="APVMATableText"/>
            </w:pPr>
          </w:p>
        </w:tc>
        <w:tc>
          <w:tcPr>
            <w:tcW w:w="922" w:type="pct"/>
            <w:tcBorders>
              <w:top w:val="single" w:sz="4" w:space="0" w:color="auto"/>
              <w:bottom w:val="single" w:sz="4" w:space="0" w:color="auto"/>
            </w:tcBorders>
          </w:tcPr>
          <w:p w:rsidR="00261FD7" w:rsidRPr="000C1380" w:rsidRDefault="00261FD7" w:rsidP="00B226FB">
            <w:pPr>
              <w:pStyle w:val="APVMATableText"/>
            </w:pPr>
            <w:r w:rsidRPr="000C1380">
              <w:t>Chronic</w:t>
            </w:r>
            <w:r>
              <w:t xml:space="preserve"> oral</w:t>
            </w:r>
          </w:p>
        </w:tc>
        <w:tc>
          <w:tcPr>
            <w:tcW w:w="930" w:type="pct"/>
            <w:tcBorders>
              <w:top w:val="single" w:sz="4" w:space="0" w:color="auto"/>
              <w:bottom w:val="single" w:sz="4" w:space="0" w:color="auto"/>
            </w:tcBorders>
          </w:tcPr>
          <w:p w:rsidR="00261FD7" w:rsidRPr="000C1380" w:rsidRDefault="00261FD7" w:rsidP="00B226FB">
            <w:pPr>
              <w:pStyle w:val="APVMATableText"/>
            </w:pPr>
          </w:p>
        </w:tc>
        <w:tc>
          <w:tcPr>
            <w:tcW w:w="863" w:type="pct"/>
            <w:tcBorders>
              <w:top w:val="single" w:sz="4" w:space="0" w:color="auto"/>
              <w:bottom w:val="single" w:sz="4" w:space="0" w:color="auto"/>
            </w:tcBorders>
          </w:tcPr>
          <w:p w:rsidR="00261FD7" w:rsidRPr="000C1380" w:rsidRDefault="00261FD7" w:rsidP="00B226FB">
            <w:pPr>
              <w:pStyle w:val="APVMATableText"/>
            </w:pPr>
          </w:p>
        </w:tc>
        <w:tc>
          <w:tcPr>
            <w:tcW w:w="882" w:type="pct"/>
            <w:tcBorders>
              <w:top w:val="single" w:sz="4" w:space="0" w:color="auto"/>
              <w:bottom w:val="single" w:sz="4" w:space="0" w:color="auto"/>
            </w:tcBorders>
          </w:tcPr>
          <w:p w:rsidR="00261FD7" w:rsidRPr="000C1380" w:rsidRDefault="00261FD7" w:rsidP="00B226FB">
            <w:pPr>
              <w:pStyle w:val="APVMATableText"/>
            </w:pPr>
          </w:p>
        </w:tc>
        <w:tc>
          <w:tcPr>
            <w:tcW w:w="514" w:type="pct"/>
            <w:tcBorders>
              <w:top w:val="single" w:sz="4" w:space="0" w:color="auto"/>
              <w:bottom w:val="single" w:sz="4" w:space="0" w:color="auto"/>
            </w:tcBorders>
          </w:tcPr>
          <w:p w:rsidR="00261FD7" w:rsidRPr="000C1380" w:rsidRDefault="00261FD7" w:rsidP="00B226FB">
            <w:pPr>
              <w:pStyle w:val="APVMATableText"/>
            </w:pPr>
          </w:p>
        </w:tc>
      </w:tr>
    </w:tbl>
    <w:p w:rsidR="00261FD7" w:rsidRPr="0035687E" w:rsidRDefault="00261FD7" w:rsidP="00261FD7">
      <w:pPr>
        <w:pStyle w:val="APVMASourceTableNote"/>
      </w:pPr>
      <w:r w:rsidRPr="0035687E">
        <w:t>Cumulative application rate is based on maximum single application rate, number of applications, interval between applications and default DT</w:t>
      </w:r>
      <w:r w:rsidRPr="0035687E">
        <w:rPr>
          <w:vertAlign w:val="subscript"/>
        </w:rPr>
        <w:t>50</w:t>
      </w:r>
      <w:r w:rsidRPr="0035687E">
        <w:t xml:space="preserve"> 10 days</w:t>
      </w:r>
    </w:p>
    <w:p w:rsidR="00261FD7" w:rsidRPr="0035687E" w:rsidRDefault="00261FD7" w:rsidP="00261FD7">
      <w:pPr>
        <w:pStyle w:val="APVMASourceTableNote"/>
      </w:pPr>
      <w:r w:rsidRPr="0035687E">
        <w:t xml:space="preserve">Predicted total dose calculated using USEPA </w:t>
      </w:r>
      <w:proofErr w:type="spellStart"/>
      <w:r w:rsidRPr="0035687E">
        <w:t>BeeREX</w:t>
      </w:r>
      <w:proofErr w:type="spellEnd"/>
      <w:r w:rsidRPr="0035687E">
        <w:t xml:space="preserve"> tool for adult worker bee foraging for nectar and larval drone within the hive</w:t>
      </w:r>
    </w:p>
    <w:p w:rsidR="00261FD7" w:rsidRPr="0035687E" w:rsidRDefault="00261FD7" w:rsidP="00261FD7">
      <w:pPr>
        <w:pStyle w:val="APVMASourceTableNote"/>
      </w:pPr>
      <w:r w:rsidRPr="0035687E">
        <w:t>RAD = Regulatory Acceptable Dose from Table C1</w:t>
      </w:r>
    </w:p>
    <w:p w:rsidR="00E82ED8" w:rsidRDefault="00261FD7" w:rsidP="00261FD7">
      <w:pPr>
        <w:pStyle w:val="APVMASourceTableNote"/>
      </w:pPr>
      <w:r w:rsidRPr="0035687E">
        <w:t>RQ = risk quotient = Predicted total dose/RAD, where acceptable RQ &lt;1</w:t>
      </w:r>
    </w:p>
    <w:p w:rsidR="00E82ED8" w:rsidRDefault="00E82ED8" w:rsidP="00E82ED8">
      <w:pPr>
        <w:tabs>
          <w:tab w:val="left" w:pos="6284"/>
        </w:tabs>
        <w:sectPr w:rsidR="00E82ED8" w:rsidSect="003C5DD4">
          <w:headerReference w:type="even" r:id="rId13"/>
          <w:pgSz w:w="11906" w:h="16838" w:code="9"/>
          <w:pgMar w:top="2835" w:right="1134" w:bottom="1134" w:left="1134" w:header="1701" w:footer="680" w:gutter="0"/>
          <w:cols w:space="708"/>
          <w:docGrid w:linePitch="360"/>
        </w:sectPr>
      </w:pPr>
      <w:r>
        <w:tab/>
      </w:r>
    </w:p>
    <w:p w:rsidR="00261FD7" w:rsidRDefault="00261FD7" w:rsidP="00261FD7">
      <w:pPr>
        <w:pStyle w:val="APVMAAppendixH1"/>
      </w:pPr>
      <w:r>
        <w:lastRenderedPageBreak/>
        <w:t>Risk mitigation and labelling</w:t>
      </w:r>
    </w:p>
    <w:p w:rsidR="00261FD7" w:rsidRPr="00261FD7" w:rsidRDefault="00261FD7" w:rsidP="00261FD7">
      <w:pPr>
        <w:pStyle w:val="NormalText"/>
      </w:pPr>
      <w:r w:rsidRPr="00261FD7">
        <w:t>If the adult acute oral and/or contact LD</w:t>
      </w:r>
      <w:r w:rsidRPr="00261FD7">
        <w:rPr>
          <w:vertAlign w:val="subscript"/>
        </w:rPr>
        <w:t>50</w:t>
      </w:r>
      <w:r w:rsidRPr="00261FD7">
        <w:t xml:space="preserve"> values are &lt;0.1 </w:t>
      </w:r>
      <w:proofErr w:type="spellStart"/>
      <w:r w:rsidRPr="00261FD7">
        <w:t>ug</w:t>
      </w:r>
      <w:proofErr w:type="spellEnd"/>
      <w:r w:rsidRPr="00261FD7">
        <w:t xml:space="preserve"> ac/bee, then the following hazard statement is required under the heading ‘PROTECTION OF HONEY BEES AND OTHER INSECT POLLINATORS’.</w:t>
      </w:r>
    </w:p>
    <w:p w:rsidR="00261FD7" w:rsidRPr="00FC7641" w:rsidRDefault="00047152" w:rsidP="00261FD7">
      <w:pPr>
        <w:pStyle w:val="Bullet1"/>
      </w:pPr>
      <w:proofErr w:type="gramStart"/>
      <w:r>
        <w:t>h</w:t>
      </w:r>
      <w:r w:rsidR="00261FD7" w:rsidRPr="00FC7641">
        <w:t>ighly</w:t>
      </w:r>
      <w:proofErr w:type="gramEnd"/>
      <w:r w:rsidR="00261FD7" w:rsidRPr="00FC7641">
        <w:t xml:space="preserve"> toxic to bees.</w:t>
      </w:r>
    </w:p>
    <w:p w:rsidR="00261FD7" w:rsidRPr="00FC7641" w:rsidRDefault="00261FD7" w:rsidP="00261FD7">
      <w:pPr>
        <w:pStyle w:val="NormalText"/>
      </w:pPr>
      <w:r w:rsidRPr="00FC7641">
        <w:t>If the LD</w:t>
      </w:r>
      <w:r w:rsidRPr="00FC7641">
        <w:rPr>
          <w:vertAlign w:val="subscript"/>
        </w:rPr>
        <w:t>50</w:t>
      </w:r>
      <w:r w:rsidRPr="00FC7641">
        <w:t xml:space="preserve"> value is ≥0.1 </w:t>
      </w:r>
      <w:proofErr w:type="spellStart"/>
      <w:r w:rsidRPr="00FC7641">
        <w:t>ug</w:t>
      </w:r>
      <w:proofErr w:type="spellEnd"/>
      <w:r w:rsidRPr="00FC7641">
        <w:t xml:space="preserve"> ac/bee and &lt;1.0 </w:t>
      </w:r>
      <w:proofErr w:type="spellStart"/>
      <w:r w:rsidRPr="00FC7641">
        <w:t>ug</w:t>
      </w:r>
      <w:proofErr w:type="spellEnd"/>
      <w:r w:rsidRPr="00FC7641">
        <w:t xml:space="preserve"> ac/bee, then the following statement applies:</w:t>
      </w:r>
    </w:p>
    <w:p w:rsidR="00261FD7" w:rsidRDefault="00047152" w:rsidP="00261FD7">
      <w:pPr>
        <w:pStyle w:val="Bullet1"/>
      </w:pPr>
      <w:proofErr w:type="gramStart"/>
      <w:r>
        <w:t>t</w:t>
      </w:r>
      <w:r w:rsidR="00261FD7" w:rsidRPr="00FC7641">
        <w:t>oxic</w:t>
      </w:r>
      <w:proofErr w:type="gramEnd"/>
      <w:r w:rsidR="00261FD7" w:rsidRPr="00FC7641">
        <w:t xml:space="preserve"> to bees.</w:t>
      </w:r>
    </w:p>
    <w:p w:rsidR="00261FD7" w:rsidRPr="00261FD7" w:rsidRDefault="00261FD7" w:rsidP="00261FD7">
      <w:pPr>
        <w:pStyle w:val="NormalText"/>
      </w:pPr>
      <w:r w:rsidRPr="00261FD7">
        <w:t xml:space="preserve">If the LD50 value is ≥1.0 </w:t>
      </w:r>
      <w:proofErr w:type="spellStart"/>
      <w:r w:rsidRPr="00261FD7">
        <w:t>ug</w:t>
      </w:r>
      <w:proofErr w:type="spellEnd"/>
      <w:r w:rsidRPr="00261FD7">
        <w:t xml:space="preserve"> ac/bee and &lt;10 </w:t>
      </w:r>
      <w:proofErr w:type="spellStart"/>
      <w:r w:rsidRPr="00261FD7">
        <w:t>ug</w:t>
      </w:r>
      <w:proofErr w:type="spellEnd"/>
      <w:r w:rsidRPr="00261FD7">
        <w:t xml:space="preserve"> ac/bee, then the following hazard statement applies:</w:t>
      </w:r>
    </w:p>
    <w:p w:rsidR="00261FD7" w:rsidRPr="00FC7641" w:rsidRDefault="00047152" w:rsidP="00261FD7">
      <w:pPr>
        <w:pStyle w:val="Bullet1"/>
      </w:pPr>
      <w:proofErr w:type="gramStart"/>
      <w:r>
        <w:t>m</w:t>
      </w:r>
      <w:r w:rsidR="00261FD7">
        <w:t>oderately</w:t>
      </w:r>
      <w:proofErr w:type="gramEnd"/>
      <w:r w:rsidR="00261FD7">
        <w:t xml:space="preserve"> toxic to bees.</w:t>
      </w:r>
    </w:p>
    <w:p w:rsidR="00261FD7" w:rsidRPr="00FC7641" w:rsidRDefault="00261FD7" w:rsidP="00261FD7">
      <w:pPr>
        <w:pStyle w:val="NormalText"/>
      </w:pPr>
      <w:r w:rsidRPr="00FC7641">
        <w:t>For systemic compounds that are expected to result in detectable residues in pollen &amp; nectar, the following statement is required.</w:t>
      </w:r>
    </w:p>
    <w:p w:rsidR="00261FD7" w:rsidRPr="00FC7641" w:rsidRDefault="00047152" w:rsidP="00261FD7">
      <w:pPr>
        <w:pStyle w:val="Bullet1"/>
      </w:pPr>
      <w:r>
        <w:t>(</w:t>
      </w:r>
      <w:proofErr w:type="gramStart"/>
      <w:r>
        <w:t>a</w:t>
      </w:r>
      <w:r w:rsidR="00261FD7" w:rsidRPr="00FC7641">
        <w:t>ctive</w:t>
      </w:r>
      <w:proofErr w:type="gramEnd"/>
      <w:r w:rsidR="00261FD7" w:rsidRPr="00FC7641">
        <w:t>) has a systemic action.</w:t>
      </w:r>
    </w:p>
    <w:p w:rsidR="00261FD7" w:rsidRPr="00FC7641" w:rsidRDefault="00261FD7" w:rsidP="00261FD7">
      <w:pPr>
        <w:pStyle w:val="NormalText"/>
      </w:pPr>
      <w:r w:rsidRPr="00FC7641">
        <w:t>When bee brood RQ &gt;1:</w:t>
      </w:r>
    </w:p>
    <w:p w:rsidR="00261FD7" w:rsidRPr="00FC7641" w:rsidRDefault="00047152" w:rsidP="00261FD7">
      <w:pPr>
        <w:pStyle w:val="Bullet1"/>
      </w:pPr>
      <w:proofErr w:type="gramStart"/>
      <w:r>
        <w:t>h</w:t>
      </w:r>
      <w:r w:rsidR="00261FD7" w:rsidRPr="00FC7641">
        <w:t>armful</w:t>
      </w:r>
      <w:proofErr w:type="gramEnd"/>
      <w:r w:rsidR="00261FD7" w:rsidRPr="00FC7641">
        <w:t xml:space="preserve"> to bee brood.</w:t>
      </w:r>
    </w:p>
    <w:p w:rsidR="00261FD7" w:rsidRPr="00FC7641" w:rsidRDefault="00261FD7" w:rsidP="00261FD7">
      <w:pPr>
        <w:pStyle w:val="NormalText"/>
      </w:pPr>
      <w:r w:rsidRPr="00FC7641">
        <w:t>When hazard or systemic action identified but screening level RQ ≤1:</w:t>
      </w:r>
    </w:p>
    <w:p w:rsidR="00261FD7" w:rsidRPr="00FC7641" w:rsidRDefault="00047152" w:rsidP="00261FD7">
      <w:pPr>
        <w:pStyle w:val="Bullet1"/>
      </w:pPr>
      <w:proofErr w:type="gramStart"/>
      <w:r>
        <w:t>h</w:t>
      </w:r>
      <w:r w:rsidR="00261FD7" w:rsidRPr="00FC7641">
        <w:t>owever</w:t>
      </w:r>
      <w:proofErr w:type="gramEnd"/>
      <w:r w:rsidR="00261FD7" w:rsidRPr="00FC7641">
        <w:t>, the use of this product as directed is not expected to have adverse effects on bees.</w:t>
      </w:r>
    </w:p>
    <w:p w:rsidR="00261FD7" w:rsidRPr="00261FD7" w:rsidRDefault="00261FD7" w:rsidP="00261FD7">
      <w:pPr>
        <w:pStyle w:val="NormalText"/>
      </w:pPr>
      <w:r w:rsidRPr="00261FD7">
        <w:t>For soil-applied products for which a hazard statement is required, the following statement is also required:</w:t>
      </w:r>
    </w:p>
    <w:p w:rsidR="00261FD7" w:rsidRPr="00261FD7" w:rsidRDefault="00047152" w:rsidP="00261FD7">
      <w:pPr>
        <w:pStyle w:val="Bullet1"/>
      </w:pPr>
      <w:proofErr w:type="gramStart"/>
      <w:r>
        <w:t>a</w:t>
      </w:r>
      <w:r w:rsidR="00261FD7" w:rsidRPr="00261FD7">
        <w:t>void</w:t>
      </w:r>
      <w:proofErr w:type="gramEnd"/>
      <w:r w:rsidR="00261FD7" w:rsidRPr="00261FD7">
        <w:t xml:space="preserve"> application by surface drippers or micro sprinklers while bees are foraging, especially on hot days as bees can use these devices as sources of water for the hive.</w:t>
      </w:r>
    </w:p>
    <w:p w:rsidR="00261FD7" w:rsidRPr="00FC7641" w:rsidRDefault="00261FD7" w:rsidP="00261FD7">
      <w:pPr>
        <w:pStyle w:val="APVMAAppendixH2"/>
      </w:pPr>
      <w:r w:rsidRPr="00FC7641">
        <w:t>Mitigating risks due to contact toxicity</w:t>
      </w:r>
    </w:p>
    <w:p w:rsidR="00261FD7" w:rsidRPr="00261FD7" w:rsidRDefault="00261FD7" w:rsidP="00261FD7">
      <w:pPr>
        <w:pStyle w:val="NormalText"/>
      </w:pPr>
      <w:r w:rsidRPr="00261FD7">
        <w:t>Generally, residual toxicity data are necessary at a minimum to mitigate risks of contact toxicity. When (acute RQ &gt;1 and RT</w:t>
      </w:r>
      <w:r w:rsidRPr="00261FD7">
        <w:rPr>
          <w:vertAlign w:val="subscript"/>
        </w:rPr>
        <w:t>25</w:t>
      </w:r>
      <w:r w:rsidRPr="00261FD7">
        <w:t xml:space="preserve"> &gt;6 hours) or (bee brood RQ &gt;1), then it is not advised that the product be applied during bloom:</w:t>
      </w:r>
    </w:p>
    <w:p w:rsidR="00261FD7" w:rsidRDefault="00261FD7" w:rsidP="00261FD7">
      <w:pPr>
        <w:pStyle w:val="Bullet1"/>
      </w:pPr>
      <w:r w:rsidRPr="00261FD7">
        <w:t>DO NOT apply to crops from the onset of flowering until flowering is complete.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 Residues may remain at levels toxic to bees for X days</w:t>
      </w:r>
      <w:r w:rsidRPr="00261FD7">
        <w:rPr>
          <w:rStyle w:val="FootnoteReference"/>
        </w:rPr>
        <w:footnoteReference w:id="1"/>
      </w:r>
      <w:r w:rsidRPr="00261FD7">
        <w:t xml:space="preserve"> following application.</w:t>
      </w:r>
    </w:p>
    <w:p w:rsidR="00261FD7" w:rsidRPr="00FC7641" w:rsidRDefault="00261FD7" w:rsidP="00261FD7">
      <w:pPr>
        <w:pStyle w:val="NormalText"/>
      </w:pPr>
      <w:r w:rsidRPr="00FC7641">
        <w:lastRenderedPageBreak/>
        <w:t>When acute RQ &gt;1 and RT</w:t>
      </w:r>
      <w:r w:rsidRPr="00FC7641">
        <w:rPr>
          <w:vertAlign w:val="subscript"/>
        </w:rPr>
        <w:t>25</w:t>
      </w:r>
      <w:r w:rsidRPr="00FC7641">
        <w:t xml:space="preserve"> ≤6 hours, the product can be safely applied at night when bees are not actively foraging:</w:t>
      </w:r>
    </w:p>
    <w:p w:rsidR="00261FD7" w:rsidRPr="00261FD7" w:rsidRDefault="00261FD7" w:rsidP="00261FD7">
      <w:pPr>
        <w:pStyle w:val="Bullet1"/>
      </w:pPr>
      <w:r w:rsidRPr="00261FD7">
        <w:t xml:space="preserve">DO NOT apply to crops from the onset of flowering until flowering is complete unless the application is made in the time period between </w:t>
      </w:r>
      <w:r w:rsidR="00047152">
        <w:t>two</w:t>
      </w:r>
      <w:r w:rsidRPr="00261FD7">
        <w:t xml:space="preserve"> hours prior to sunset and 8 hours prior to sunrise.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w:t>
      </w:r>
    </w:p>
    <w:p w:rsidR="00261FD7" w:rsidRPr="00261FD7" w:rsidRDefault="00261FD7" w:rsidP="00261FD7">
      <w:pPr>
        <w:pStyle w:val="NormalText"/>
      </w:pPr>
      <w:r w:rsidRPr="00261FD7">
        <w:t xml:space="preserve">The above statements would not be required if higher tier semi-field or field studies demonstrate they are not necessary. Product-specific statements can be developed based on the outcome of higher tier studies and the specific concerns identified. </w:t>
      </w:r>
    </w:p>
    <w:p w:rsidR="00B93AFF" w:rsidRPr="00FC7641" w:rsidRDefault="00B93AFF" w:rsidP="00B93AFF">
      <w:pPr>
        <w:pStyle w:val="APVMAAppendixH2"/>
      </w:pPr>
      <w:r w:rsidRPr="00FC7641">
        <w:t>Mitigat</w:t>
      </w:r>
      <w:r>
        <w:t>ion risks due to oral toxicity</w:t>
      </w:r>
    </w:p>
    <w:p w:rsidR="00B93AFF" w:rsidRPr="00FC7641" w:rsidRDefault="00B93AFF" w:rsidP="00B93AFF">
      <w:pPr>
        <w:pStyle w:val="NormalText"/>
      </w:pPr>
      <w:r w:rsidRPr="00FC7641">
        <w:t>Please refer to APVMA (2017) for additional guidance on risk m</w:t>
      </w:r>
      <w:bookmarkStart w:id="4" w:name="_GoBack"/>
      <w:bookmarkEnd w:id="4"/>
      <w:r w:rsidRPr="00FC7641">
        <w:t>itigation and labelling.</w:t>
      </w:r>
    </w:p>
    <w:bookmarkEnd w:id="2"/>
    <w:bookmarkEnd w:id="3"/>
    <w:p w:rsidR="00541F72" w:rsidRDefault="00541F72" w:rsidP="00541F72">
      <w:pPr>
        <w:pStyle w:val="NormalText"/>
        <w:tabs>
          <w:tab w:val="left" w:pos="1980"/>
        </w:tabs>
        <w:ind w:left="1980" w:hanging="1980"/>
        <w:sectPr w:rsidR="00541F72" w:rsidSect="003C5DD4">
          <w:headerReference w:type="even" r:id="rId14"/>
          <w:pgSz w:w="11906" w:h="16838" w:code="9"/>
          <w:pgMar w:top="2835" w:right="1134" w:bottom="1134" w:left="1134" w:header="1701" w:footer="680" w:gutter="0"/>
          <w:cols w:space="708"/>
          <w:docGrid w:linePitch="360"/>
        </w:sectPr>
      </w:pPr>
    </w:p>
    <w:p w:rsidR="00541F72" w:rsidRDefault="00541F72" w:rsidP="00541F72">
      <w:pPr>
        <w:pStyle w:val="APVMAGlossaryRefH1"/>
      </w:pPr>
      <w:bookmarkStart w:id="5" w:name="_Toc231963196"/>
      <w:bookmarkStart w:id="6" w:name="_Toc414373414"/>
      <w:bookmarkStart w:id="7" w:name="_Toc414373850"/>
      <w:r>
        <w:lastRenderedPageBreak/>
        <w:t>Reference</w:t>
      </w:r>
      <w:bookmarkEnd w:id="5"/>
      <w:bookmarkEnd w:id="6"/>
      <w:bookmarkEnd w:id="7"/>
      <w:r w:rsidR="00B93AFF">
        <w:t>s</w:t>
      </w:r>
    </w:p>
    <w:p w:rsidR="00B93AFF" w:rsidRPr="00B93AFF" w:rsidRDefault="00B93AFF" w:rsidP="00B93AFF">
      <w:pPr>
        <w:pStyle w:val="NormalText"/>
      </w:pPr>
      <w:r w:rsidRPr="00B93AFF">
        <w:t>APVMA (Australian Pesticides and Veterinary Medicines Authority), 2017</w:t>
      </w:r>
      <w:r w:rsidRPr="00B93AFF">
        <w:rPr>
          <w:i/>
        </w:rPr>
        <w:t>, Roadmap for insect pollinator risk assessment in Australia</w:t>
      </w:r>
      <w:r w:rsidRPr="00B93AFF">
        <w:t>, ISBN 978-1-</w:t>
      </w:r>
      <w:r w:rsidR="003D6044">
        <w:t xml:space="preserve">925390-00-1, available online: </w:t>
      </w:r>
      <w:hyperlink r:id="rId15" w:history="1">
        <w:r w:rsidR="003D6044" w:rsidRPr="00126DED">
          <w:rPr>
            <w:rStyle w:val="Hyperlink"/>
          </w:rPr>
          <w:t>www.apvma.gov.au/node/27551</w:t>
        </w:r>
      </w:hyperlink>
      <w:r w:rsidR="003D6044">
        <w:t>.</w:t>
      </w:r>
    </w:p>
    <w:p w:rsidR="00B93AFF" w:rsidRPr="00B93AFF" w:rsidRDefault="00B93AFF" w:rsidP="00B93AFF">
      <w:pPr>
        <w:pStyle w:val="NormalText"/>
      </w:pPr>
      <w:r w:rsidRPr="00B93AFF">
        <w:t xml:space="preserve">EFSA (European Food Safety Authority), 2013, </w:t>
      </w:r>
      <w:r w:rsidRPr="00B93AFF">
        <w:rPr>
          <w:i/>
        </w:rPr>
        <w:t>Guidance on the risk assessment of plant protection products on bees (</w:t>
      </w:r>
      <w:proofErr w:type="spellStart"/>
      <w:r w:rsidRPr="00B93AFF">
        <w:rPr>
          <w:i/>
        </w:rPr>
        <w:t>Apis</w:t>
      </w:r>
      <w:proofErr w:type="spellEnd"/>
      <w:r w:rsidRPr="00B93AFF">
        <w:rPr>
          <w:i/>
        </w:rPr>
        <w:t xml:space="preserve"> </w:t>
      </w:r>
      <w:proofErr w:type="spellStart"/>
      <w:r w:rsidRPr="00B93AFF">
        <w:rPr>
          <w:i/>
        </w:rPr>
        <w:t>mellifera</w:t>
      </w:r>
      <w:proofErr w:type="spellEnd"/>
      <w:r w:rsidRPr="00B93AFF">
        <w:rPr>
          <w:i/>
        </w:rPr>
        <w:t xml:space="preserve">, </w:t>
      </w:r>
      <w:proofErr w:type="spellStart"/>
      <w:r w:rsidRPr="00B93AFF">
        <w:rPr>
          <w:i/>
        </w:rPr>
        <w:t>Bombus</w:t>
      </w:r>
      <w:proofErr w:type="spellEnd"/>
      <w:r w:rsidRPr="00B93AFF">
        <w:rPr>
          <w:i/>
        </w:rPr>
        <w:t xml:space="preserve"> spp. and solitary bees)</w:t>
      </w:r>
      <w:r w:rsidRPr="00B93AFF">
        <w:t xml:space="preserve">, EFSA Journal 11(7): 3295, 266 pp, </w:t>
      </w:r>
      <w:proofErr w:type="spellStart"/>
      <w:r w:rsidRPr="00B93AFF">
        <w:t>doi</w:t>
      </w:r>
      <w:proofErr w:type="spellEnd"/>
      <w:r w:rsidRPr="00B93AFF">
        <w:t xml:space="preserve">: 10.2903/j.efsa.2013.3295, available </w:t>
      </w:r>
      <w:r>
        <w:t>at</w:t>
      </w:r>
      <w:r w:rsidRPr="00B93AFF">
        <w:t>:</w:t>
      </w:r>
      <w:r>
        <w:t xml:space="preserve"> </w:t>
      </w:r>
      <w:hyperlink r:id="rId16" w:history="1">
        <w:r w:rsidRPr="00EC7173">
          <w:rPr>
            <w:rStyle w:val="Hyperlink"/>
          </w:rPr>
          <w:t>www.efsa.europa.eu/efsajournal</w:t>
        </w:r>
      </w:hyperlink>
      <w:r w:rsidR="003D6044" w:rsidRPr="003D6044">
        <w:t>.</w:t>
      </w:r>
    </w:p>
    <w:p w:rsidR="00B93AFF" w:rsidRPr="00B93AFF" w:rsidRDefault="00B93AFF" w:rsidP="00B93AFF">
      <w:pPr>
        <w:pStyle w:val="NormalText"/>
      </w:pPr>
      <w:r w:rsidRPr="00B93AFF">
        <w:t xml:space="preserve">USDA (United States Department of Agriculture), 2017, </w:t>
      </w:r>
      <w:r w:rsidRPr="00B93AFF">
        <w:rPr>
          <w:i/>
        </w:rPr>
        <w:t>Attractiveness of agricultural crops to pollinating bees for the collection of nectar and/or pollen</w:t>
      </w:r>
      <w:r w:rsidRPr="00B93AFF">
        <w:t xml:space="preserve">, available </w:t>
      </w:r>
      <w:r>
        <w:t>at</w:t>
      </w:r>
      <w:r w:rsidRPr="00B93AFF">
        <w:t xml:space="preserve">: </w:t>
      </w:r>
      <w:hyperlink r:id="rId17" w:history="1">
        <w:r w:rsidRPr="00EC7173">
          <w:rPr>
            <w:rStyle w:val="Hyperlink"/>
          </w:rPr>
          <w:t>www.ars.usda.gov/ARSUserFiles/OPMP/Attractiveness%20of%20Agriculture%20Crops%20to%20Pollinating%20Bees%20Report-FINAL_Web%20Version_Jan%203_2018.pdf</w:t>
        </w:r>
      </w:hyperlink>
      <w:r w:rsidR="003D6044" w:rsidRPr="003D6044">
        <w:t>.</w:t>
      </w:r>
    </w:p>
    <w:p w:rsidR="00B93AFF" w:rsidRPr="00B93AFF" w:rsidRDefault="00B93AFF" w:rsidP="00B93AFF">
      <w:pPr>
        <w:pStyle w:val="NormalText"/>
      </w:pPr>
      <w:r w:rsidRPr="00B93AFF">
        <w:t xml:space="preserve">USEPA (United States Environmental Protection Agency), 2017, </w:t>
      </w:r>
      <w:r w:rsidRPr="00B93AFF">
        <w:rPr>
          <w:i/>
        </w:rPr>
        <w:t>Residual time to 25% bee mortality (RT25) data</w:t>
      </w:r>
      <w:r w:rsidRPr="00B93AFF">
        <w:t xml:space="preserve">, Office of Pesticide Programs, Environmental Fate and Effects Division, Washington, DC, </w:t>
      </w:r>
      <w:hyperlink r:id="rId18" w:history="1">
        <w:r w:rsidRPr="00EC7173">
          <w:rPr>
            <w:rStyle w:val="Hyperlink"/>
          </w:rPr>
          <w:t>www.epa.gov/pollinator-protection/residual-time-25-bee-mortality-rt25-data</w:t>
        </w:r>
      </w:hyperlink>
      <w:r w:rsidRPr="00B93AFF">
        <w:t>, last updated 31/03/2017, last accessed 10/02/2018.</w:t>
      </w:r>
    </w:p>
    <w:p w:rsidR="00B93AFF" w:rsidRPr="00B93AFF" w:rsidRDefault="00B93AFF" w:rsidP="00B93AFF">
      <w:pPr>
        <w:pStyle w:val="NormalText"/>
      </w:pPr>
      <w:r w:rsidRPr="00B93AFF">
        <w:t xml:space="preserve">Winston ML, 1987, </w:t>
      </w:r>
      <w:proofErr w:type="gramStart"/>
      <w:r w:rsidRPr="00B93AFF">
        <w:rPr>
          <w:i/>
        </w:rPr>
        <w:t>The</w:t>
      </w:r>
      <w:proofErr w:type="gramEnd"/>
      <w:r w:rsidRPr="00B93AFF">
        <w:rPr>
          <w:i/>
        </w:rPr>
        <w:t xml:space="preserve"> biology of the honey bee</w:t>
      </w:r>
      <w:r w:rsidRPr="00B93AFF">
        <w:t>, Harvard University Press, Cambridge, MA, ISGN 0-674-07409-2</w:t>
      </w:r>
      <w:r w:rsidR="003D6044">
        <w:t>.</w:t>
      </w:r>
    </w:p>
    <w:sectPr w:rsidR="00B93AFF" w:rsidRPr="00B93AFF">
      <w:headerReference w:type="default" r:id="rId19"/>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F72" w:rsidRDefault="00541F72" w:rsidP="00541F72">
      <w:pPr>
        <w:spacing w:line="240" w:lineRule="auto"/>
      </w:pPr>
      <w:r>
        <w:separator/>
      </w:r>
    </w:p>
  </w:endnote>
  <w:endnote w:type="continuationSeparator" w:id="0">
    <w:p w:rsidR="00541F72" w:rsidRDefault="00541F72" w:rsidP="00541F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F72" w:rsidRDefault="00541F72" w:rsidP="00541F72">
      <w:pPr>
        <w:spacing w:line="240" w:lineRule="auto"/>
      </w:pPr>
      <w:r>
        <w:separator/>
      </w:r>
    </w:p>
  </w:footnote>
  <w:footnote w:type="continuationSeparator" w:id="0">
    <w:p w:rsidR="00541F72" w:rsidRDefault="00541F72" w:rsidP="00541F72">
      <w:pPr>
        <w:spacing w:line="240" w:lineRule="auto"/>
      </w:pPr>
      <w:r>
        <w:continuationSeparator/>
      </w:r>
    </w:p>
  </w:footnote>
  <w:footnote w:id="1">
    <w:p w:rsidR="00261FD7" w:rsidRPr="003C4BCD" w:rsidRDefault="00261FD7" w:rsidP="00261FD7">
      <w:pPr>
        <w:pStyle w:val="FootnoteText"/>
        <w:rPr>
          <w:lang w:val="en-US"/>
        </w:rPr>
      </w:pPr>
      <w:r>
        <w:rPr>
          <w:rStyle w:val="FootnoteReference"/>
        </w:rPr>
        <w:footnoteRef/>
      </w:r>
      <w:r>
        <w:t xml:space="preserve"> In absence of data, </w:t>
      </w:r>
      <w:r>
        <w:rPr>
          <w:lang w:val="en-US"/>
        </w:rPr>
        <w:t>X can be estimated: ln (adult contact LD</w:t>
      </w:r>
      <w:r w:rsidRPr="003C4BCD">
        <w:rPr>
          <w:vertAlign w:val="subscript"/>
          <w:lang w:val="en-US"/>
        </w:rPr>
        <w:t>50</w:t>
      </w:r>
      <w:r>
        <w:rPr>
          <w:lang w:val="en-US"/>
        </w:rPr>
        <w:t xml:space="preserve"> in µg ac/bee × 0.17 / application rate in kg ac/ha) / (-ln2/foliar DT</w:t>
      </w:r>
      <w:r w:rsidRPr="003C4BCD">
        <w:rPr>
          <w:vertAlign w:val="subscript"/>
          <w:lang w:val="en-US"/>
        </w:rPr>
        <w:t>50</w:t>
      </w:r>
      <w:r>
        <w:rPr>
          <w:lang w:val="en-US"/>
        </w:rPr>
        <w:t xml:space="preserve"> in days)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ED8" w:rsidRDefault="00E82ED8" w:rsidP="00E82ED8">
    <w:pPr>
      <w:pStyle w:val="APVMAOddHeader"/>
    </w:pPr>
    <w:r w:rsidRPr="003C5DD4">
      <w:tab/>
    </w:r>
    <w:r>
      <w:t>APVMA RIsk assessment manual environment, appendix c</w:t>
    </w:r>
    <w:r>
      <w:tab/>
    </w:r>
    <w:r w:rsidRPr="003C5DD4">
      <w:rPr>
        <w:rStyle w:val="PageNumber"/>
        <w:rFonts w:cs="Times New Roman"/>
        <w:b/>
        <w:bCs w:val="0"/>
        <w:caps w:val="0"/>
        <w:szCs w:val="24"/>
      </w:rPr>
      <w:fldChar w:fldCharType="begin"/>
    </w:r>
    <w:r w:rsidRPr="003C5DD4">
      <w:rPr>
        <w:rStyle w:val="PageNumber"/>
        <w:rFonts w:cs="Times New Roman"/>
        <w:b/>
        <w:bCs w:val="0"/>
        <w:caps w:val="0"/>
        <w:szCs w:val="24"/>
      </w:rPr>
      <w:instrText xml:space="preserve"> PAGE </w:instrText>
    </w:r>
    <w:r w:rsidRPr="003C5DD4">
      <w:rPr>
        <w:rStyle w:val="PageNumber"/>
        <w:rFonts w:cs="Times New Roman"/>
        <w:b/>
        <w:bCs w:val="0"/>
        <w:caps w:val="0"/>
        <w:szCs w:val="24"/>
      </w:rPr>
      <w:fldChar w:fldCharType="separate"/>
    </w:r>
    <w:r w:rsidR="00047152">
      <w:rPr>
        <w:rStyle w:val="PageNumber"/>
        <w:rFonts w:cs="Times New Roman"/>
        <w:b/>
        <w:bCs w:val="0"/>
        <w:caps w:val="0"/>
        <w:noProof/>
        <w:szCs w:val="24"/>
      </w:rPr>
      <w:t>1</w:t>
    </w:r>
    <w:r w:rsidRPr="003C5DD4">
      <w:rPr>
        <w:rStyle w:val="PageNumber"/>
        <w:rFonts w:cs="Times New Roman"/>
        <w:b/>
        <w:bCs w:val="0"/>
        <w:caps w:val="0"/>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DD4" w:rsidRDefault="003C5DD4" w:rsidP="003C5DD4">
    <w:pPr>
      <w:pStyle w:val="APVMAEvenHeader"/>
      <w:pBdr>
        <w:bottom w:val="single" w:sz="4" w:space="2" w:color="auto"/>
      </w:pBdr>
    </w:pPr>
    <w:r w:rsidRPr="003C5DD4">
      <w:rPr>
        <w:rStyle w:val="PageNumber"/>
        <w:b/>
        <w:caps w:val="0"/>
        <w:szCs w:val="24"/>
      </w:rPr>
      <w:fldChar w:fldCharType="begin"/>
    </w:r>
    <w:r w:rsidRPr="003C5DD4">
      <w:rPr>
        <w:rStyle w:val="PageNumber"/>
        <w:b/>
        <w:caps w:val="0"/>
        <w:szCs w:val="24"/>
      </w:rPr>
      <w:instrText xml:space="preserve"> PAGE </w:instrText>
    </w:r>
    <w:r w:rsidRPr="003C5DD4">
      <w:rPr>
        <w:rStyle w:val="PageNumber"/>
        <w:b/>
        <w:caps w:val="0"/>
        <w:szCs w:val="24"/>
      </w:rPr>
      <w:fldChar w:fldCharType="separate"/>
    </w:r>
    <w:r w:rsidR="00047152">
      <w:rPr>
        <w:rStyle w:val="PageNumber"/>
        <w:b/>
        <w:caps w:val="0"/>
        <w:noProof/>
        <w:szCs w:val="24"/>
      </w:rPr>
      <w:t>2</w:t>
    </w:r>
    <w:r w:rsidRPr="003C5DD4">
      <w:rPr>
        <w:rStyle w:val="PageNumber"/>
        <w:b/>
        <w:caps w:val="0"/>
        <w:szCs w:val="24"/>
      </w:rPr>
      <w:fldChar w:fldCharType="end"/>
    </w:r>
    <w:r>
      <w:tab/>
    </w:r>
    <w:r w:rsidR="00E82ED8">
      <w:t>introduction</w:t>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F72" w:rsidRDefault="00541F72" w:rsidP="003C5DD4">
    <w:pPr>
      <w:pStyle w:val="APVMAOddHeader"/>
    </w:pPr>
    <w:r w:rsidRPr="003C5DD4">
      <w:tab/>
    </w:r>
    <w:r w:rsidR="00234227">
      <w:t>APVMA RIsk assessment manual environment</w:t>
    </w:r>
    <w:r w:rsidR="00E82ED8">
      <w:t>,</w:t>
    </w:r>
    <w:r w:rsidR="00234227">
      <w:t xml:space="preserve"> appendix c</w:t>
    </w:r>
    <w:r>
      <w:tab/>
    </w:r>
    <w:r w:rsidR="003C5DD4" w:rsidRPr="003C5DD4">
      <w:rPr>
        <w:rStyle w:val="PageNumber"/>
        <w:rFonts w:cs="Times New Roman"/>
        <w:b/>
        <w:bCs w:val="0"/>
        <w:caps w:val="0"/>
        <w:szCs w:val="24"/>
      </w:rPr>
      <w:fldChar w:fldCharType="begin"/>
    </w:r>
    <w:r w:rsidR="003C5DD4" w:rsidRPr="003C5DD4">
      <w:rPr>
        <w:rStyle w:val="PageNumber"/>
        <w:rFonts w:cs="Times New Roman"/>
        <w:b/>
        <w:bCs w:val="0"/>
        <w:caps w:val="0"/>
        <w:szCs w:val="24"/>
      </w:rPr>
      <w:instrText xml:space="preserve"> PAGE </w:instrText>
    </w:r>
    <w:r w:rsidR="003C5DD4" w:rsidRPr="003C5DD4">
      <w:rPr>
        <w:rStyle w:val="PageNumber"/>
        <w:rFonts w:cs="Times New Roman"/>
        <w:b/>
        <w:bCs w:val="0"/>
        <w:caps w:val="0"/>
        <w:szCs w:val="24"/>
      </w:rPr>
      <w:fldChar w:fldCharType="separate"/>
    </w:r>
    <w:r w:rsidR="00047152">
      <w:rPr>
        <w:rStyle w:val="PageNumber"/>
        <w:rFonts w:cs="Times New Roman"/>
        <w:b/>
        <w:bCs w:val="0"/>
        <w:caps w:val="0"/>
        <w:noProof/>
        <w:szCs w:val="24"/>
      </w:rPr>
      <w:t>7</w:t>
    </w:r>
    <w:r w:rsidR="003C5DD4" w:rsidRPr="003C5DD4">
      <w:rPr>
        <w:rStyle w:val="PageNumber"/>
        <w:rFonts w:cs="Times New Roman"/>
        <w:b/>
        <w:bCs w:val="0"/>
        <w:caps w:val="0"/>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ED8" w:rsidRDefault="00E82ED8" w:rsidP="003C5DD4">
    <w:pPr>
      <w:pStyle w:val="APVMAEvenHeader"/>
      <w:pBdr>
        <w:bottom w:val="single" w:sz="4" w:space="2" w:color="auto"/>
      </w:pBdr>
    </w:pPr>
    <w:r w:rsidRPr="003C5DD4">
      <w:rPr>
        <w:rStyle w:val="PageNumber"/>
        <w:b/>
        <w:caps w:val="0"/>
        <w:szCs w:val="24"/>
      </w:rPr>
      <w:fldChar w:fldCharType="begin"/>
    </w:r>
    <w:r w:rsidRPr="003C5DD4">
      <w:rPr>
        <w:rStyle w:val="PageNumber"/>
        <w:b/>
        <w:caps w:val="0"/>
        <w:szCs w:val="24"/>
      </w:rPr>
      <w:instrText xml:space="preserve"> PAGE </w:instrText>
    </w:r>
    <w:r w:rsidRPr="003C5DD4">
      <w:rPr>
        <w:rStyle w:val="PageNumber"/>
        <w:b/>
        <w:caps w:val="0"/>
        <w:szCs w:val="24"/>
      </w:rPr>
      <w:fldChar w:fldCharType="separate"/>
    </w:r>
    <w:r w:rsidR="00047152">
      <w:rPr>
        <w:rStyle w:val="PageNumber"/>
        <w:b/>
        <w:caps w:val="0"/>
        <w:noProof/>
        <w:szCs w:val="24"/>
      </w:rPr>
      <w:t>4</w:t>
    </w:r>
    <w:r w:rsidRPr="003C5DD4">
      <w:rPr>
        <w:rStyle w:val="PageNumber"/>
        <w:b/>
        <w:caps w:val="0"/>
        <w:szCs w:val="24"/>
      </w:rPr>
      <w:fldChar w:fldCharType="end"/>
    </w:r>
    <w:r>
      <w:tab/>
      <w:t>uses that don’t require assessment</w:t>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ED8" w:rsidRDefault="00E82ED8" w:rsidP="003C5DD4">
    <w:pPr>
      <w:pStyle w:val="APVMAEvenHeader"/>
      <w:pBdr>
        <w:bottom w:val="single" w:sz="4" w:space="2" w:color="auto"/>
      </w:pBdr>
    </w:pPr>
    <w:r w:rsidRPr="003C5DD4">
      <w:rPr>
        <w:rStyle w:val="PageNumber"/>
        <w:b/>
        <w:caps w:val="0"/>
        <w:szCs w:val="24"/>
      </w:rPr>
      <w:fldChar w:fldCharType="begin"/>
    </w:r>
    <w:r w:rsidRPr="003C5DD4">
      <w:rPr>
        <w:rStyle w:val="PageNumber"/>
        <w:b/>
        <w:caps w:val="0"/>
        <w:szCs w:val="24"/>
      </w:rPr>
      <w:instrText xml:space="preserve"> PAGE </w:instrText>
    </w:r>
    <w:r w:rsidRPr="003C5DD4">
      <w:rPr>
        <w:rStyle w:val="PageNumber"/>
        <w:b/>
        <w:caps w:val="0"/>
        <w:szCs w:val="24"/>
      </w:rPr>
      <w:fldChar w:fldCharType="separate"/>
    </w:r>
    <w:r w:rsidR="00047152">
      <w:rPr>
        <w:rStyle w:val="PageNumber"/>
        <w:b/>
        <w:caps w:val="0"/>
        <w:noProof/>
        <w:szCs w:val="24"/>
      </w:rPr>
      <w:t>6</w:t>
    </w:r>
    <w:r w:rsidRPr="003C5DD4">
      <w:rPr>
        <w:rStyle w:val="PageNumber"/>
        <w:b/>
        <w:caps w:val="0"/>
        <w:szCs w:val="24"/>
      </w:rPr>
      <w:fldChar w:fldCharType="end"/>
    </w:r>
    <w:r>
      <w:tab/>
      <w:t>risk assessment tables</w:t>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ED8" w:rsidRDefault="00E82ED8" w:rsidP="003C5DD4">
    <w:pPr>
      <w:pStyle w:val="APVMAEvenHeader"/>
      <w:pBdr>
        <w:bottom w:val="single" w:sz="4" w:space="2" w:color="auto"/>
      </w:pBdr>
    </w:pPr>
    <w:r w:rsidRPr="003C5DD4">
      <w:rPr>
        <w:rStyle w:val="PageNumber"/>
        <w:b/>
        <w:caps w:val="0"/>
        <w:szCs w:val="24"/>
      </w:rPr>
      <w:fldChar w:fldCharType="begin"/>
    </w:r>
    <w:r w:rsidRPr="003C5DD4">
      <w:rPr>
        <w:rStyle w:val="PageNumber"/>
        <w:b/>
        <w:caps w:val="0"/>
        <w:szCs w:val="24"/>
      </w:rPr>
      <w:instrText xml:space="preserve"> PAGE </w:instrText>
    </w:r>
    <w:r w:rsidRPr="003C5DD4">
      <w:rPr>
        <w:rStyle w:val="PageNumber"/>
        <w:b/>
        <w:caps w:val="0"/>
        <w:szCs w:val="24"/>
      </w:rPr>
      <w:fldChar w:fldCharType="separate"/>
    </w:r>
    <w:r w:rsidR="00047152">
      <w:rPr>
        <w:rStyle w:val="PageNumber"/>
        <w:b/>
        <w:caps w:val="0"/>
        <w:noProof/>
        <w:szCs w:val="24"/>
      </w:rPr>
      <w:t>8</w:t>
    </w:r>
    <w:r w:rsidRPr="003C5DD4">
      <w:rPr>
        <w:rStyle w:val="PageNumber"/>
        <w:b/>
        <w:caps w:val="0"/>
        <w:szCs w:val="24"/>
      </w:rPr>
      <w:fldChar w:fldCharType="end"/>
    </w:r>
    <w:r>
      <w:tab/>
      <w:t>risk mitigation and labelling</w:t>
    </w: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ED8" w:rsidRDefault="00E82ED8" w:rsidP="00E82ED8">
    <w:pPr>
      <w:pStyle w:val="APVMAOddHeader"/>
    </w:pPr>
    <w:r w:rsidRPr="003C5DD4">
      <w:tab/>
    </w:r>
    <w:r>
      <w:t>APVMA RIsk assessment manual environment, appendix c</w:t>
    </w:r>
    <w:r>
      <w:tab/>
    </w:r>
    <w:r w:rsidRPr="003C5DD4">
      <w:rPr>
        <w:rStyle w:val="PageNumber"/>
        <w:rFonts w:cs="Times New Roman"/>
        <w:b/>
        <w:bCs w:val="0"/>
        <w:caps w:val="0"/>
        <w:szCs w:val="24"/>
      </w:rPr>
      <w:fldChar w:fldCharType="begin"/>
    </w:r>
    <w:r w:rsidRPr="003C5DD4">
      <w:rPr>
        <w:rStyle w:val="PageNumber"/>
        <w:rFonts w:cs="Times New Roman"/>
        <w:b/>
        <w:bCs w:val="0"/>
        <w:caps w:val="0"/>
        <w:szCs w:val="24"/>
      </w:rPr>
      <w:instrText xml:space="preserve"> PAGE </w:instrText>
    </w:r>
    <w:r w:rsidRPr="003C5DD4">
      <w:rPr>
        <w:rStyle w:val="PageNumber"/>
        <w:rFonts w:cs="Times New Roman"/>
        <w:b/>
        <w:bCs w:val="0"/>
        <w:caps w:val="0"/>
        <w:szCs w:val="24"/>
      </w:rPr>
      <w:fldChar w:fldCharType="separate"/>
    </w:r>
    <w:r w:rsidR="00047152">
      <w:rPr>
        <w:rStyle w:val="PageNumber"/>
        <w:rFonts w:cs="Times New Roman"/>
        <w:b/>
        <w:bCs w:val="0"/>
        <w:caps w:val="0"/>
        <w:noProof/>
        <w:szCs w:val="24"/>
      </w:rPr>
      <w:t>9</w:t>
    </w:r>
    <w:r w:rsidRPr="003C5DD4">
      <w:rPr>
        <w:rStyle w:val="PageNumber"/>
        <w:rFonts w:cs="Times New Roman"/>
        <w:b/>
        <w:bCs w:val="0"/>
        <w:caps w:val="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F22731"/>
    <w:multiLevelType w:val="multilevel"/>
    <w:tmpl w:val="7714BE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27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B12141E"/>
    <w:multiLevelType w:val="multilevel"/>
    <w:tmpl w:val="2DDEE8F2"/>
    <w:lvl w:ilvl="0">
      <w:start w:val="1"/>
      <w:numFmt w:val="decimal"/>
      <w:pStyle w:val="Heading1"/>
      <w:lvlText w:val="%1"/>
      <w:lvlJc w:val="left"/>
      <w:pPr>
        <w:ind w:left="501" w:hanging="360"/>
      </w:pPr>
      <w:rPr>
        <w:rFonts w:hint="default"/>
        <w:b w:val="0"/>
        <w:i w:val="0"/>
        <w:color w:val="53284F"/>
        <w:sz w:val="32"/>
        <w:szCs w:val="28"/>
      </w:rPr>
    </w:lvl>
    <w:lvl w:ilvl="1">
      <w:start w:val="1"/>
      <w:numFmt w:val="decimal"/>
      <w:pStyle w:val="Heading2"/>
      <w:lvlText w:val="%1.%2"/>
      <w:lvlJc w:val="left"/>
      <w:pPr>
        <w:tabs>
          <w:tab w:val="num" w:pos="1333"/>
        </w:tabs>
        <w:ind w:left="1333" w:hanging="90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
      <w:lvlJc w:val="left"/>
      <w:pPr>
        <w:tabs>
          <w:tab w:val="num" w:pos="141"/>
        </w:tabs>
        <w:ind w:left="141" w:firstLine="0"/>
      </w:pPr>
      <w:rPr>
        <w:rFonts w:hint="default"/>
        <w:sz w:val="20"/>
      </w:rPr>
    </w:lvl>
    <w:lvl w:ilvl="3">
      <w:start w:val="1"/>
      <w:numFmt w:val="none"/>
      <w:lvlRestart w:val="0"/>
      <w:lvlText w:val=""/>
      <w:lvlJc w:val="left"/>
      <w:pPr>
        <w:tabs>
          <w:tab w:val="num" w:pos="141"/>
        </w:tabs>
        <w:ind w:left="141" w:firstLine="0"/>
      </w:pPr>
      <w:rPr>
        <w:rFonts w:hint="default"/>
      </w:rPr>
    </w:lvl>
    <w:lvl w:ilvl="4">
      <w:start w:val="1"/>
      <w:numFmt w:val="none"/>
      <w:lvlRestart w:val="0"/>
      <w:lvlText w:val=""/>
      <w:lvlJc w:val="left"/>
      <w:pPr>
        <w:tabs>
          <w:tab w:val="num" w:pos="141"/>
        </w:tabs>
        <w:ind w:left="141" w:firstLine="0"/>
      </w:pPr>
      <w:rPr>
        <w:rFonts w:hint="default"/>
      </w:rPr>
    </w:lvl>
    <w:lvl w:ilvl="5">
      <w:start w:val="1"/>
      <w:numFmt w:val="none"/>
      <w:lvlRestart w:val="0"/>
      <w:lvlText w:val=""/>
      <w:lvlJc w:val="left"/>
      <w:pPr>
        <w:tabs>
          <w:tab w:val="num" w:pos="2125"/>
        </w:tabs>
        <w:ind w:left="2125" w:hanging="425"/>
      </w:pPr>
      <w:rPr>
        <w:rFonts w:hint="default"/>
      </w:rPr>
    </w:lvl>
    <w:lvl w:ilvl="6">
      <w:start w:val="1"/>
      <w:numFmt w:val="none"/>
      <w:lvlText w:val="%7%5"/>
      <w:lvlJc w:val="left"/>
      <w:pPr>
        <w:tabs>
          <w:tab w:val="num" w:pos="2125"/>
        </w:tabs>
        <w:ind w:left="2125" w:hanging="425"/>
      </w:pPr>
      <w:rPr>
        <w:rFonts w:hint="default"/>
      </w:rPr>
    </w:lvl>
    <w:lvl w:ilvl="7">
      <w:start w:val="1"/>
      <w:numFmt w:val="none"/>
      <w:lvlText w:val="%8%5"/>
      <w:lvlJc w:val="left"/>
      <w:pPr>
        <w:tabs>
          <w:tab w:val="num" w:pos="2125"/>
        </w:tabs>
        <w:ind w:left="2125" w:hanging="425"/>
      </w:pPr>
      <w:rPr>
        <w:rFonts w:hint="default"/>
      </w:rPr>
    </w:lvl>
    <w:lvl w:ilvl="8">
      <w:start w:val="1"/>
      <w:numFmt w:val="none"/>
      <w:lvlText w:val="%9%5"/>
      <w:lvlJc w:val="left"/>
      <w:pPr>
        <w:tabs>
          <w:tab w:val="num" w:pos="2125"/>
        </w:tabs>
        <w:ind w:left="2125" w:hanging="425"/>
      </w:pPr>
      <w:rPr>
        <w:rFonts w:hint="default"/>
      </w:rPr>
    </w:lvl>
  </w:abstractNum>
  <w:num w:numId="1">
    <w:abstractNumId w:val="1"/>
  </w:num>
  <w:num w:numId="2">
    <w:abstractNumId w:val="7"/>
  </w:num>
  <w:num w:numId="3">
    <w:abstractNumId w:val="3"/>
  </w:num>
  <w:num w:numId="4">
    <w:abstractNumId w:val="4"/>
  </w:num>
  <w:num w:numId="5">
    <w:abstractNumId w:val="0"/>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F72"/>
    <w:rsid w:val="00047152"/>
    <w:rsid w:val="00234227"/>
    <w:rsid w:val="00261FD7"/>
    <w:rsid w:val="0032293F"/>
    <w:rsid w:val="003C5DD4"/>
    <w:rsid w:val="003D6044"/>
    <w:rsid w:val="00541F72"/>
    <w:rsid w:val="00863480"/>
    <w:rsid w:val="00916E28"/>
    <w:rsid w:val="009745CF"/>
    <w:rsid w:val="00AD7AD2"/>
    <w:rsid w:val="00B612C3"/>
    <w:rsid w:val="00B93AFF"/>
    <w:rsid w:val="00BB375F"/>
    <w:rsid w:val="00C37717"/>
    <w:rsid w:val="00C65142"/>
    <w:rsid w:val="00DD0D36"/>
    <w:rsid w:val="00E82ED8"/>
    <w:rsid w:val="00E93A66"/>
    <w:rsid w:val="00F17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8EEB7E"/>
  <w15:chartTrackingRefBased/>
  <w15:docId w15:val="{A936104C-3BFE-4AF5-9E8B-A6AACF4B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541F72"/>
    <w:pPr>
      <w:spacing w:after="0" w:line="240" w:lineRule="atLeast"/>
    </w:pPr>
    <w:rPr>
      <w:rFonts w:ascii="Arial" w:eastAsia="Times New Roman" w:hAnsi="Arial" w:cs="Times New Roman"/>
      <w:sz w:val="20"/>
      <w:szCs w:val="24"/>
    </w:rPr>
  </w:style>
  <w:style w:type="paragraph" w:styleId="Heading1">
    <w:name w:val="heading 1"/>
    <w:aliases w:val="APVMA_H1"/>
    <w:basedOn w:val="NormalText"/>
    <w:next w:val="NormalText"/>
    <w:link w:val="Heading1Char"/>
    <w:qFormat/>
    <w:rsid w:val="00541F72"/>
    <w:pPr>
      <w:keepNext/>
      <w:keepLines/>
      <w:pageBreakBefore/>
      <w:numPr>
        <w:numId w:val="2"/>
      </w:numPr>
      <w:spacing w:before="0" w:after="80" w:line="360" w:lineRule="exact"/>
      <w:ind w:left="357" w:hanging="357"/>
      <w:outlineLvl w:val="0"/>
    </w:pPr>
    <w:rPr>
      <w:rFonts w:ascii="Franklin Gothic Medium" w:hAnsi="Franklin Gothic Medium"/>
      <w:caps/>
      <w:color w:val="53284F"/>
      <w:sz w:val="32"/>
      <w:szCs w:val="32"/>
    </w:rPr>
  </w:style>
  <w:style w:type="paragraph" w:styleId="Heading2">
    <w:name w:val="heading 2"/>
    <w:basedOn w:val="Heading1"/>
    <w:next w:val="NormalText"/>
    <w:link w:val="Heading2Char"/>
    <w:qFormat/>
    <w:rsid w:val="00541F72"/>
    <w:pPr>
      <w:pageBreakBefore w:val="0"/>
      <w:numPr>
        <w:ilvl w:val="1"/>
      </w:numPr>
      <w:spacing w:before="400" w:after="0" w:line="320" w:lineRule="exact"/>
      <w:ind w:left="907"/>
      <w:outlineLvl w:val="1"/>
    </w:pPr>
    <w:rPr>
      <w:caps w:val="0"/>
      <w:sz w:val="28"/>
      <w:szCs w:val="28"/>
    </w:rPr>
  </w:style>
  <w:style w:type="paragraph" w:styleId="Heading3">
    <w:name w:val="heading 3"/>
    <w:basedOn w:val="Heading2"/>
    <w:next w:val="NormalText"/>
    <w:link w:val="Heading3Char"/>
    <w:qFormat/>
    <w:rsid w:val="00541F72"/>
    <w:pPr>
      <w:numPr>
        <w:ilvl w:val="0"/>
        <w:numId w:val="0"/>
      </w:numPr>
      <w:spacing w:before="320" w:line="280" w:lineRule="exact"/>
      <w:outlineLvl w:val="2"/>
    </w:pPr>
    <w:rPr>
      <w:sz w:val="24"/>
      <w:szCs w:val="26"/>
    </w:rPr>
  </w:style>
  <w:style w:type="paragraph" w:styleId="Heading4">
    <w:name w:val="heading 4"/>
    <w:aliases w:val="APVMA_H4"/>
    <w:basedOn w:val="Heading3"/>
    <w:next w:val="NormalText"/>
    <w:link w:val="Heading4Char"/>
    <w:qFormat/>
    <w:rsid w:val="00541F72"/>
    <w:pPr>
      <w:spacing w:before="280" w:line="260" w:lineRule="exact"/>
      <w:outlineLvl w:val="3"/>
    </w:pPr>
    <w:rPr>
      <w:i/>
      <w:sz w:val="22"/>
      <w:szCs w:val="28"/>
    </w:rPr>
  </w:style>
  <w:style w:type="paragraph" w:styleId="Heading5">
    <w:name w:val="heading 5"/>
    <w:aliases w:val="APVMA_H5"/>
    <w:basedOn w:val="Heading4"/>
    <w:next w:val="NormalText"/>
    <w:link w:val="Heading5Char"/>
    <w:uiPriority w:val="9"/>
    <w:qFormat/>
    <w:rsid w:val="00541F72"/>
    <w:pPr>
      <w:spacing w:before="260"/>
      <w:outlineLvl w:val="4"/>
    </w:pPr>
    <w:rPr>
      <w:i w:val="0"/>
      <w:caps/>
      <w:sz w:val="21"/>
      <w:szCs w:val="26"/>
    </w:rPr>
  </w:style>
  <w:style w:type="paragraph" w:styleId="Heading6">
    <w:name w:val="heading 6"/>
    <w:basedOn w:val="Normal"/>
    <w:next w:val="Normal"/>
    <w:link w:val="Heading6Char"/>
    <w:uiPriority w:val="9"/>
    <w:semiHidden/>
    <w:unhideWhenUsed/>
    <w:qFormat/>
    <w:rsid w:val="00261FD7"/>
    <w:pPr>
      <w:keepNext/>
      <w:keepLines/>
      <w:spacing w:before="40"/>
      <w:ind w:left="1152" w:hanging="1152"/>
      <w:outlineLvl w:val="5"/>
    </w:pPr>
    <w:rPr>
      <w:rFonts w:ascii="Calibri Light" w:hAnsi="Calibri Light"/>
      <w:color w:val="1F4D78"/>
    </w:rPr>
  </w:style>
  <w:style w:type="paragraph" w:styleId="Heading7">
    <w:name w:val="heading 7"/>
    <w:basedOn w:val="Normal"/>
    <w:next w:val="Normal"/>
    <w:link w:val="Heading7Char"/>
    <w:uiPriority w:val="9"/>
    <w:semiHidden/>
    <w:unhideWhenUsed/>
    <w:qFormat/>
    <w:rsid w:val="00261FD7"/>
    <w:pPr>
      <w:keepNext/>
      <w:keepLines/>
      <w:spacing w:before="40"/>
      <w:ind w:left="1296" w:hanging="1296"/>
      <w:outlineLvl w:val="6"/>
    </w:pPr>
    <w:rPr>
      <w:rFonts w:ascii="Calibri Light" w:hAnsi="Calibri Light"/>
      <w:i/>
      <w:iCs/>
      <w:color w:val="1F4D78"/>
    </w:rPr>
  </w:style>
  <w:style w:type="paragraph" w:styleId="Heading8">
    <w:name w:val="heading 8"/>
    <w:basedOn w:val="Normal"/>
    <w:next w:val="Normal"/>
    <w:link w:val="Heading8Char"/>
    <w:uiPriority w:val="9"/>
    <w:semiHidden/>
    <w:unhideWhenUsed/>
    <w:qFormat/>
    <w:rsid w:val="00261FD7"/>
    <w:pPr>
      <w:keepNext/>
      <w:keepLines/>
      <w:spacing w:before="40"/>
      <w:ind w:left="1440" w:hanging="14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261FD7"/>
    <w:pPr>
      <w:keepNext/>
      <w:keepLines/>
      <w:spacing w:before="40"/>
      <w:ind w:left="1584" w:hanging="1584"/>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VMA_H1 Char"/>
    <w:basedOn w:val="DefaultParagraphFont"/>
    <w:link w:val="Heading1"/>
    <w:uiPriority w:val="1"/>
    <w:rsid w:val="00541F72"/>
    <w:rPr>
      <w:rFonts w:ascii="Franklin Gothic Medium" w:eastAsia="Times New Roman" w:hAnsi="Franklin Gothic Medium" w:cs="Arial"/>
      <w:caps/>
      <w:color w:val="53284F"/>
      <w:kern w:val="20"/>
      <w:sz w:val="32"/>
      <w:szCs w:val="32"/>
      <w:u w:color="000000"/>
    </w:rPr>
  </w:style>
  <w:style w:type="character" w:customStyle="1" w:styleId="Heading2Char">
    <w:name w:val="Heading 2 Char"/>
    <w:basedOn w:val="DefaultParagraphFont"/>
    <w:link w:val="Heading2"/>
    <w:uiPriority w:val="2"/>
    <w:rsid w:val="00541F72"/>
    <w:rPr>
      <w:rFonts w:ascii="Franklin Gothic Medium" w:eastAsia="Times New Roman" w:hAnsi="Franklin Gothic Medium" w:cs="Arial"/>
      <w:color w:val="53284F"/>
      <w:kern w:val="20"/>
      <w:sz w:val="28"/>
      <w:szCs w:val="28"/>
      <w:u w:color="000000"/>
    </w:rPr>
  </w:style>
  <w:style w:type="character" w:customStyle="1" w:styleId="Heading3Char">
    <w:name w:val="Heading 3 Char"/>
    <w:basedOn w:val="DefaultParagraphFont"/>
    <w:link w:val="Heading3"/>
    <w:uiPriority w:val="3"/>
    <w:rsid w:val="00541F72"/>
    <w:rPr>
      <w:rFonts w:ascii="Franklin Gothic Medium" w:eastAsia="Times New Roman" w:hAnsi="Franklin Gothic Medium" w:cs="Arial"/>
      <w:color w:val="53284F"/>
      <w:kern w:val="20"/>
      <w:sz w:val="24"/>
      <w:szCs w:val="26"/>
      <w:u w:color="000000"/>
    </w:rPr>
  </w:style>
  <w:style w:type="character" w:customStyle="1" w:styleId="Heading4Char">
    <w:name w:val="Heading 4 Char"/>
    <w:aliases w:val="APVMA_H4 Char"/>
    <w:basedOn w:val="DefaultParagraphFont"/>
    <w:link w:val="Heading4"/>
    <w:uiPriority w:val="4"/>
    <w:rsid w:val="00541F72"/>
    <w:rPr>
      <w:rFonts w:ascii="Franklin Gothic Medium" w:eastAsia="Times New Roman" w:hAnsi="Franklin Gothic Medium" w:cs="Arial"/>
      <w:i/>
      <w:color w:val="53284F"/>
      <w:kern w:val="20"/>
      <w:szCs w:val="28"/>
      <w:u w:color="000000"/>
    </w:rPr>
  </w:style>
  <w:style w:type="character" w:customStyle="1" w:styleId="Heading5Char">
    <w:name w:val="Heading 5 Char"/>
    <w:aliases w:val="APVMA_H5 Char"/>
    <w:basedOn w:val="DefaultParagraphFont"/>
    <w:link w:val="Heading5"/>
    <w:uiPriority w:val="9"/>
    <w:rsid w:val="00541F72"/>
    <w:rPr>
      <w:rFonts w:ascii="Franklin Gothic Medium" w:eastAsia="Times New Roman" w:hAnsi="Franklin Gothic Medium" w:cs="Arial"/>
      <w:caps/>
      <w:color w:val="53284F"/>
      <w:kern w:val="20"/>
      <w:sz w:val="21"/>
      <w:szCs w:val="26"/>
      <w:u w:color="000000"/>
    </w:rPr>
  </w:style>
  <w:style w:type="paragraph" w:customStyle="1" w:styleId="NormalText">
    <w:name w:val="Normal Text"/>
    <w:basedOn w:val="Normal"/>
    <w:qFormat/>
    <w:rsid w:val="00541F72"/>
    <w:pPr>
      <w:suppressAutoHyphens/>
      <w:spacing w:before="240" w:after="240" w:line="280" w:lineRule="exact"/>
    </w:pPr>
    <w:rPr>
      <w:rFonts w:cs="Arial"/>
      <w:kern w:val="20"/>
      <w:sz w:val="19"/>
      <w:u w:color="000000"/>
    </w:rPr>
  </w:style>
  <w:style w:type="paragraph" w:styleId="TOC1">
    <w:name w:val="toc 1"/>
    <w:aliases w:val="APVMA_TOC 1"/>
    <w:basedOn w:val="NormalText"/>
    <w:next w:val="TOC2"/>
    <w:uiPriority w:val="39"/>
    <w:rsid w:val="00541F72"/>
    <w:pPr>
      <w:pBdr>
        <w:top w:val="single" w:sz="4" w:space="1" w:color="auto"/>
      </w:pBdr>
      <w:tabs>
        <w:tab w:val="right" w:pos="9639"/>
      </w:tabs>
      <w:spacing w:before="180" w:after="60"/>
      <w:ind w:left="454" w:hanging="454"/>
    </w:pPr>
    <w:rPr>
      <w:rFonts w:ascii="Trebuchet MS" w:hAnsi="Trebuchet MS"/>
      <w:b/>
      <w:bCs/>
      <w:caps/>
      <w:noProof/>
      <w:color w:val="53284F"/>
      <w:szCs w:val="30"/>
    </w:rPr>
  </w:style>
  <w:style w:type="paragraph" w:styleId="FootnoteText">
    <w:name w:val="footnote text"/>
    <w:aliases w:val="APVMA_Footnote"/>
    <w:basedOn w:val="NormalText"/>
    <w:link w:val="FootnoteTextChar"/>
    <w:uiPriority w:val="99"/>
    <w:qFormat/>
    <w:rsid w:val="00541F72"/>
    <w:pPr>
      <w:spacing w:after="0" w:line="180" w:lineRule="exact"/>
      <w:ind w:left="227" w:hanging="227"/>
    </w:pPr>
    <w:rPr>
      <w:spacing w:val="6"/>
      <w:sz w:val="16"/>
      <w:szCs w:val="20"/>
    </w:rPr>
  </w:style>
  <w:style w:type="character" w:customStyle="1" w:styleId="FootnoteTextChar">
    <w:name w:val="Footnote Text Char"/>
    <w:aliases w:val="APVMA_Footnote Char"/>
    <w:basedOn w:val="DefaultParagraphFont"/>
    <w:link w:val="FootnoteText"/>
    <w:uiPriority w:val="99"/>
    <w:rsid w:val="00541F72"/>
    <w:rPr>
      <w:rFonts w:ascii="Arial" w:eastAsia="Times New Roman" w:hAnsi="Arial" w:cs="Arial"/>
      <w:spacing w:val="6"/>
      <w:kern w:val="20"/>
      <w:sz w:val="16"/>
      <w:szCs w:val="20"/>
      <w:u w:color="000000"/>
    </w:rPr>
  </w:style>
  <w:style w:type="paragraph" w:styleId="TOC2">
    <w:name w:val="toc 2"/>
    <w:aliases w:val="APVMA_TOC 2"/>
    <w:basedOn w:val="Normal"/>
    <w:uiPriority w:val="39"/>
    <w:rsid w:val="00541F72"/>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rsid w:val="00541F72"/>
    <w:pPr>
      <w:tabs>
        <w:tab w:val="right" w:pos="9639"/>
      </w:tabs>
      <w:spacing w:before="40" w:line="240" w:lineRule="exact"/>
      <w:ind w:left="454"/>
    </w:pPr>
    <w:rPr>
      <w:noProof/>
      <w:sz w:val="18"/>
    </w:rPr>
  </w:style>
  <w:style w:type="character" w:styleId="Hyperlink">
    <w:name w:val="Hyperlink"/>
    <w:uiPriority w:val="99"/>
    <w:rsid w:val="00541F72"/>
    <w:rPr>
      <w:color w:val="0000FF"/>
      <w:u w:val="single"/>
    </w:rPr>
  </w:style>
  <w:style w:type="paragraph" w:customStyle="1" w:styleId="APVMATableBullet">
    <w:name w:val="APVMA_TableBullet"/>
    <w:basedOn w:val="APVMATableText"/>
    <w:uiPriority w:val="4"/>
    <w:rsid w:val="00541F72"/>
    <w:pPr>
      <w:numPr>
        <w:numId w:val="7"/>
      </w:numPr>
      <w:spacing w:after="60"/>
    </w:pPr>
    <w:rPr>
      <w:color w:val="000000" w:themeColor="text1"/>
    </w:rPr>
  </w:style>
  <w:style w:type="paragraph" w:customStyle="1" w:styleId="APVMATableText">
    <w:name w:val="APVMA_TableText"/>
    <w:basedOn w:val="NormalText"/>
    <w:uiPriority w:val="4"/>
    <w:qFormat/>
    <w:rsid w:val="00541F72"/>
    <w:pPr>
      <w:spacing w:before="120" w:after="120" w:line="210" w:lineRule="exact"/>
    </w:pPr>
    <w:rPr>
      <w:spacing w:val="6"/>
      <w:sz w:val="17"/>
    </w:rPr>
  </w:style>
  <w:style w:type="paragraph" w:customStyle="1" w:styleId="APVMATableHead">
    <w:name w:val="APVMA_TableHead"/>
    <w:basedOn w:val="APVMATableText"/>
    <w:uiPriority w:val="4"/>
    <w:qFormat/>
    <w:rsid w:val="00541F72"/>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rsid w:val="00541F72"/>
    <w:pPr>
      <w:numPr>
        <w:numId w:val="6"/>
      </w:numPr>
      <w:spacing w:before="120" w:after="120"/>
    </w:pPr>
  </w:style>
  <w:style w:type="paragraph" w:styleId="Footer">
    <w:name w:val="footer"/>
    <w:basedOn w:val="Normal"/>
    <w:link w:val="FooterChar"/>
    <w:uiPriority w:val="4"/>
    <w:semiHidden/>
    <w:rsid w:val="00541F72"/>
    <w:pPr>
      <w:tabs>
        <w:tab w:val="center" w:pos="4153"/>
        <w:tab w:val="right" w:pos="8306"/>
      </w:tabs>
    </w:pPr>
  </w:style>
  <w:style w:type="character" w:customStyle="1" w:styleId="FooterChar">
    <w:name w:val="Footer Char"/>
    <w:basedOn w:val="DefaultParagraphFont"/>
    <w:link w:val="Footer"/>
    <w:uiPriority w:val="4"/>
    <w:semiHidden/>
    <w:rsid w:val="00541F72"/>
    <w:rPr>
      <w:rFonts w:ascii="Arial" w:eastAsia="Times New Roman" w:hAnsi="Arial" w:cs="Times New Roman"/>
      <w:sz w:val="20"/>
      <w:szCs w:val="24"/>
    </w:rPr>
  </w:style>
  <w:style w:type="character" w:styleId="PageNumber">
    <w:name w:val="page number"/>
    <w:aliases w:val="APVMA Page Number"/>
    <w:uiPriority w:val="4"/>
    <w:semiHidden/>
    <w:rsid w:val="00541F72"/>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rsid w:val="00541F72"/>
    <w:pPr>
      <w:spacing w:before="0" w:after="0" w:line="280" w:lineRule="atLeast"/>
    </w:pPr>
    <w:rPr>
      <w:i/>
      <w:spacing w:val="6"/>
      <w:sz w:val="16"/>
    </w:rPr>
  </w:style>
  <w:style w:type="paragraph" w:customStyle="1" w:styleId="APVMAEvenHeader">
    <w:name w:val="APVMA_Even_Header"/>
    <w:basedOn w:val="APVMAOddHeader"/>
    <w:uiPriority w:val="4"/>
    <w:rsid w:val="00541F72"/>
    <w:pPr>
      <w:tabs>
        <w:tab w:val="clear" w:pos="9072"/>
        <w:tab w:val="left" w:pos="567"/>
      </w:tabs>
      <w:ind w:left="567" w:hanging="567"/>
    </w:pPr>
  </w:style>
  <w:style w:type="paragraph" w:customStyle="1" w:styleId="Bullet1">
    <w:name w:val="Bullet1"/>
    <w:basedOn w:val="NormalText"/>
    <w:uiPriority w:val="4"/>
    <w:qFormat/>
    <w:rsid w:val="00541F72"/>
    <w:pPr>
      <w:numPr>
        <w:numId w:val="3"/>
      </w:numPr>
      <w:spacing w:before="120" w:after="120"/>
    </w:pPr>
  </w:style>
  <w:style w:type="paragraph" w:customStyle="1" w:styleId="APVMATableHeadRight">
    <w:name w:val="APVMA_TableHead_Right"/>
    <w:basedOn w:val="APVMATableHead"/>
    <w:uiPriority w:val="4"/>
    <w:rsid w:val="00541F72"/>
    <w:pPr>
      <w:jc w:val="right"/>
    </w:pPr>
  </w:style>
  <w:style w:type="paragraph" w:customStyle="1" w:styleId="Bullet2">
    <w:name w:val="Bullet2"/>
    <w:basedOn w:val="Bullet1"/>
    <w:uiPriority w:val="4"/>
    <w:qFormat/>
    <w:rsid w:val="00541F72"/>
    <w:pPr>
      <w:numPr>
        <w:numId w:val="1"/>
      </w:numPr>
      <w:spacing w:before="60"/>
    </w:pPr>
  </w:style>
  <w:style w:type="character" w:styleId="FootnoteReference">
    <w:name w:val="footnote reference"/>
    <w:uiPriority w:val="99"/>
    <w:qFormat/>
    <w:rsid w:val="00541F72"/>
    <w:rPr>
      <w:vertAlign w:val="superscript"/>
    </w:rPr>
  </w:style>
  <w:style w:type="paragraph" w:customStyle="1" w:styleId="APVMAQuote">
    <w:name w:val="APVMA_Quote"/>
    <w:basedOn w:val="NormalText"/>
    <w:uiPriority w:val="4"/>
    <w:rsid w:val="00541F72"/>
    <w:pPr>
      <w:ind w:left="567" w:right="567"/>
    </w:pPr>
  </w:style>
  <w:style w:type="paragraph" w:customStyle="1" w:styleId="APVMATableTextRight">
    <w:name w:val="APVMA_TableText_Right"/>
    <w:basedOn w:val="APVMATableText"/>
    <w:uiPriority w:val="4"/>
    <w:rsid w:val="00541F72"/>
    <w:pPr>
      <w:jc w:val="right"/>
    </w:pPr>
  </w:style>
  <w:style w:type="paragraph" w:styleId="Caption">
    <w:name w:val="caption"/>
    <w:aliases w:val="APVMA_Caption"/>
    <w:basedOn w:val="Normal"/>
    <w:next w:val="NormalText"/>
    <w:uiPriority w:val="4"/>
    <w:rsid w:val="00541F72"/>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uiPriority w:val="4"/>
    <w:semiHidden/>
    <w:rsid w:val="00541F72"/>
    <w:pPr>
      <w:pageBreakBefore w:val="0"/>
      <w:numPr>
        <w:numId w:val="0"/>
      </w:numPr>
      <w:outlineLvl w:val="9"/>
    </w:pPr>
    <w:rPr>
      <w:bCs/>
      <w:szCs w:val="20"/>
    </w:rPr>
  </w:style>
  <w:style w:type="paragraph" w:customStyle="1" w:styleId="APVMATableSubHead">
    <w:name w:val="APVMA_Table_SubHead"/>
    <w:basedOn w:val="APVMATableHead"/>
    <w:uiPriority w:val="4"/>
    <w:rsid w:val="00541F72"/>
    <w:rPr>
      <w:color w:val="53284F"/>
    </w:rPr>
  </w:style>
  <w:style w:type="paragraph" w:styleId="TableofFigures">
    <w:name w:val="table of figures"/>
    <w:aliases w:val="APVMA_ToF"/>
    <w:basedOn w:val="TOC3"/>
    <w:uiPriority w:val="4"/>
    <w:semiHidden/>
    <w:rsid w:val="00541F72"/>
    <w:pPr>
      <w:ind w:left="851" w:hanging="851"/>
    </w:pPr>
  </w:style>
  <w:style w:type="paragraph" w:customStyle="1" w:styleId="APVMAOddHeader">
    <w:name w:val="APVMA_Odd_Header"/>
    <w:basedOn w:val="NormalText"/>
    <w:uiPriority w:val="4"/>
    <w:rsid w:val="00541F72"/>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541F72"/>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541F72"/>
    <w:pPr>
      <w:spacing w:before="120" w:line="340" w:lineRule="exact"/>
      <w:jc w:val="right"/>
    </w:pPr>
    <w:rPr>
      <w:rFonts w:ascii="Franklin Gothic Book" w:hAnsi="Franklin Gothic Book"/>
      <w:color w:val="000000" w:themeColor="text1"/>
      <w:sz w:val="28"/>
    </w:rPr>
  </w:style>
  <w:style w:type="paragraph" w:customStyle="1" w:styleId="APVMAImprintText">
    <w:name w:val="APVMA_Imprint_Text"/>
    <w:basedOn w:val="Normal"/>
    <w:rsid w:val="00541F72"/>
    <w:pPr>
      <w:spacing w:before="120" w:after="120" w:line="240" w:lineRule="exact"/>
    </w:pPr>
    <w:rPr>
      <w:spacing w:val="6"/>
      <w:sz w:val="16"/>
    </w:rPr>
  </w:style>
  <w:style w:type="paragraph" w:customStyle="1" w:styleId="APVMAAppendixH1">
    <w:name w:val="APVMA_Appendix_H1"/>
    <w:basedOn w:val="APVMAPreliminariesH1"/>
    <w:next w:val="NormalText"/>
    <w:uiPriority w:val="4"/>
    <w:rsid w:val="00541F72"/>
    <w:pPr>
      <w:tabs>
        <w:tab w:val="left" w:pos="2058"/>
      </w:tabs>
      <w:ind w:left="2044" w:hanging="2044"/>
    </w:pPr>
  </w:style>
  <w:style w:type="paragraph" w:customStyle="1" w:styleId="APVMAPreliminariesH1">
    <w:name w:val="APVMA_Preliminaries_H1"/>
    <w:basedOn w:val="Heading1"/>
    <w:next w:val="NormalText"/>
    <w:uiPriority w:val="4"/>
    <w:rsid w:val="00541F72"/>
    <w:pPr>
      <w:numPr>
        <w:numId w:val="0"/>
      </w:numPr>
    </w:pPr>
    <w:rPr>
      <w:bCs/>
      <w:szCs w:val="30"/>
    </w:rPr>
  </w:style>
  <w:style w:type="paragraph" w:customStyle="1" w:styleId="APVMAPreliminariesH2">
    <w:name w:val="APVMA_Preliminaries_H2"/>
    <w:basedOn w:val="Heading2"/>
    <w:next w:val="NormalText"/>
    <w:uiPriority w:val="4"/>
    <w:rsid w:val="00541F72"/>
    <w:pPr>
      <w:numPr>
        <w:ilvl w:val="0"/>
        <w:numId w:val="0"/>
      </w:numPr>
    </w:pPr>
  </w:style>
  <w:style w:type="paragraph" w:customStyle="1" w:styleId="APVMAPreliminariesH3">
    <w:name w:val="APVMA_Preliminaries_H3"/>
    <w:basedOn w:val="Heading3"/>
    <w:uiPriority w:val="4"/>
    <w:rsid w:val="00541F72"/>
  </w:style>
  <w:style w:type="paragraph" w:customStyle="1" w:styleId="APVMAGlossaryRefH1">
    <w:name w:val="APVMA_Glossary/Ref_H1"/>
    <w:basedOn w:val="APVMAPreliminariesH1"/>
    <w:uiPriority w:val="4"/>
    <w:rsid w:val="00541F72"/>
  </w:style>
  <w:style w:type="paragraph" w:customStyle="1" w:styleId="APVMAListAlpha">
    <w:name w:val="APVMA_List_Alpha"/>
    <w:basedOn w:val="NormalText"/>
    <w:uiPriority w:val="4"/>
    <w:qFormat/>
    <w:rsid w:val="00541F72"/>
    <w:pPr>
      <w:numPr>
        <w:numId w:val="5"/>
      </w:numPr>
      <w:spacing w:before="120" w:after="120"/>
    </w:pPr>
  </w:style>
  <w:style w:type="paragraph" w:customStyle="1" w:styleId="APVMAAppendixH2">
    <w:name w:val="APVMA_Appendix_H2"/>
    <w:basedOn w:val="APVMAPreliminariesH2"/>
    <w:next w:val="NormalText"/>
    <w:uiPriority w:val="4"/>
    <w:rsid w:val="00541F72"/>
    <w:rPr>
      <w:bCs/>
    </w:rPr>
  </w:style>
  <w:style w:type="paragraph" w:customStyle="1" w:styleId="APVMAAppendixH3">
    <w:name w:val="APVMA_Appendix_H3"/>
    <w:basedOn w:val="APVMAPreliminariesH3"/>
    <w:next w:val="NormalText"/>
    <w:uiPriority w:val="4"/>
    <w:rsid w:val="00541F72"/>
  </w:style>
  <w:style w:type="paragraph" w:customStyle="1" w:styleId="APVMABullet3">
    <w:name w:val="APVMA_Bullet3"/>
    <w:basedOn w:val="Bullet2"/>
    <w:uiPriority w:val="4"/>
    <w:rsid w:val="00541F72"/>
    <w:pPr>
      <w:numPr>
        <w:numId w:val="4"/>
      </w:numPr>
      <w:spacing w:before="120"/>
      <w:ind w:left="1020" w:hanging="340"/>
    </w:pPr>
  </w:style>
  <w:style w:type="paragraph" w:styleId="Header">
    <w:name w:val="header"/>
    <w:basedOn w:val="Normal"/>
    <w:link w:val="HeaderChar"/>
    <w:uiPriority w:val="99"/>
    <w:unhideWhenUsed/>
    <w:rsid w:val="00541F72"/>
    <w:pPr>
      <w:tabs>
        <w:tab w:val="center" w:pos="4513"/>
        <w:tab w:val="right" w:pos="9026"/>
      </w:tabs>
      <w:spacing w:line="240" w:lineRule="auto"/>
    </w:pPr>
  </w:style>
  <w:style w:type="character" w:customStyle="1" w:styleId="HeaderChar">
    <w:name w:val="Header Char"/>
    <w:basedOn w:val="DefaultParagraphFont"/>
    <w:link w:val="Header"/>
    <w:uiPriority w:val="99"/>
    <w:rsid w:val="00541F72"/>
    <w:rPr>
      <w:rFonts w:ascii="Arial" w:eastAsia="Times New Roman" w:hAnsi="Arial" w:cs="Times New Roman"/>
      <w:sz w:val="20"/>
      <w:szCs w:val="24"/>
    </w:rPr>
  </w:style>
  <w:style w:type="paragraph" w:styleId="BodyText">
    <w:name w:val="Body Text"/>
    <w:aliases w:val="style5,bt"/>
    <w:basedOn w:val="Normal"/>
    <w:link w:val="BodyTextChar"/>
    <w:qFormat/>
    <w:rsid w:val="00541F72"/>
    <w:pPr>
      <w:widowControl w:val="0"/>
      <w:spacing w:line="240" w:lineRule="auto"/>
    </w:pPr>
    <w:rPr>
      <w:rFonts w:ascii="Trebuchet MS" w:eastAsia="Trebuchet MS" w:hAnsi="Trebuchet MS"/>
      <w:sz w:val="19"/>
      <w:szCs w:val="19"/>
      <w:lang w:val="en-US"/>
    </w:rPr>
  </w:style>
  <w:style w:type="character" w:customStyle="1" w:styleId="BodyTextChar">
    <w:name w:val="Body Text Char"/>
    <w:aliases w:val="style5 Char,bt Char"/>
    <w:basedOn w:val="DefaultParagraphFont"/>
    <w:link w:val="BodyText"/>
    <w:rsid w:val="00541F72"/>
    <w:rPr>
      <w:rFonts w:ascii="Trebuchet MS" w:eastAsia="Trebuchet MS" w:hAnsi="Trebuchet MS" w:cs="Times New Roman"/>
      <w:sz w:val="19"/>
      <w:szCs w:val="19"/>
      <w:lang w:val="en-US"/>
    </w:rPr>
  </w:style>
  <w:style w:type="character" w:customStyle="1" w:styleId="Heading6Char">
    <w:name w:val="Heading 6 Char"/>
    <w:basedOn w:val="DefaultParagraphFont"/>
    <w:link w:val="Heading6"/>
    <w:uiPriority w:val="9"/>
    <w:semiHidden/>
    <w:rsid w:val="00261FD7"/>
    <w:rPr>
      <w:rFonts w:ascii="Calibri Light" w:eastAsia="Times New Roman" w:hAnsi="Calibri Light" w:cs="Times New Roman"/>
      <w:color w:val="1F4D78"/>
      <w:sz w:val="20"/>
      <w:szCs w:val="24"/>
    </w:rPr>
  </w:style>
  <w:style w:type="character" w:customStyle="1" w:styleId="Heading7Char">
    <w:name w:val="Heading 7 Char"/>
    <w:basedOn w:val="DefaultParagraphFont"/>
    <w:link w:val="Heading7"/>
    <w:uiPriority w:val="9"/>
    <w:semiHidden/>
    <w:rsid w:val="00261FD7"/>
    <w:rPr>
      <w:rFonts w:ascii="Calibri Light" w:eastAsia="Times New Roman" w:hAnsi="Calibri Light" w:cs="Times New Roman"/>
      <w:i/>
      <w:iCs/>
      <w:color w:val="1F4D78"/>
      <w:sz w:val="20"/>
      <w:szCs w:val="24"/>
    </w:rPr>
  </w:style>
  <w:style w:type="character" w:customStyle="1" w:styleId="Heading8Char">
    <w:name w:val="Heading 8 Char"/>
    <w:basedOn w:val="DefaultParagraphFont"/>
    <w:link w:val="Heading8"/>
    <w:uiPriority w:val="9"/>
    <w:semiHidden/>
    <w:rsid w:val="00261FD7"/>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261FD7"/>
    <w:rPr>
      <w:rFonts w:ascii="Calibri Light" w:eastAsia="Times New Roman" w:hAnsi="Calibri Light" w:cs="Times New Roman"/>
      <w:i/>
      <w:iCs/>
      <w:color w:val="27272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5.xml"/><Relationship Id="rId18" Type="http://schemas.openxmlformats.org/officeDocument/2006/relationships/hyperlink" Target="http://www.epa.gov/pollinator-protection/residual-time-25-bee-mortality-rt25-dat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ars.usda.gov/ARSUserFiles/OPMP/Attractiveness%20of%20Agriculture%20Crops%20to%20Pollinating%20Bees%20Report-FINAL_Web%20Version_Jan%203_2018.pdf" TargetMode="External"/><Relationship Id="rId2" Type="http://schemas.openxmlformats.org/officeDocument/2006/relationships/numbering" Target="numbering.xml"/><Relationship Id="rId16" Type="http://schemas.openxmlformats.org/officeDocument/2006/relationships/hyperlink" Target="http://www.efsa.europa.eu/efsajourn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apvma.gov.au/node/27551" TargetMode="Externa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4FEEF-8ACC-4FFA-A30A-63F4F93CE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AVPMA Risk Assessment manual environment appendix c</vt:lpstr>
    </vt:vector>
  </TitlesOfParts>
  <Company>APVMA</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bees</dc:title>
  <dc:subject/>
  <dc:creator>APVMA</dc:creator>
  <cp:keywords/>
  <dc:description/>
  <cp:lastModifiedBy>DEVENISH-MEARES, Rachel</cp:lastModifiedBy>
  <cp:revision>11</cp:revision>
  <dcterms:created xsi:type="dcterms:W3CDTF">2019-04-03T03:24:00Z</dcterms:created>
  <dcterms:modified xsi:type="dcterms:W3CDTF">2019-04-08T04:15:00Z</dcterms:modified>
</cp:coreProperties>
</file>