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26C2B8A2" wp14:editId="1731EF5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rsidR="002F4591" w:rsidRDefault="00193533" w:rsidP="00C9656F">
      <w:pPr>
        <w:pStyle w:val="APVMACoverTitle"/>
        <w:spacing w:before="6000"/>
        <w:jc w:val="center"/>
      </w:pPr>
      <w:r w:rsidRPr="005D1A47">
        <w:rPr>
          <w:i/>
          <w:noProof/>
          <w:sz w:val="28"/>
          <w:szCs w:val="28"/>
          <w:lang w:eastAsia="en-AU"/>
        </w:rPr>
        <w:drawing>
          <wp:inline distT="0" distB="0" distL="0" distR="0">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rsidR="00193533" w:rsidRPr="00193533" w:rsidRDefault="006F7865" w:rsidP="002F4591">
      <w:pPr>
        <w:pStyle w:val="APVMACoverTitle"/>
        <w:spacing w:before="2640"/>
        <w:jc w:val="center"/>
      </w:pPr>
      <w:r>
        <w:t>Appendix B</w:t>
      </w:r>
    </w:p>
    <w:p w:rsidR="003C0891" w:rsidRDefault="006F7865" w:rsidP="00193533">
      <w:pPr>
        <w:pStyle w:val="APVMACoverSubtitle"/>
        <w:jc w:val="center"/>
      </w:pPr>
      <w:r>
        <w:t>Aquatic species</w:t>
      </w:r>
    </w:p>
    <w:p w:rsidR="00193533" w:rsidRPr="00E41FED" w:rsidRDefault="006F7865" w:rsidP="006F7865">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April 2020</w:t>
      </w:r>
    </w:p>
    <w:p w:rsidR="00862E63" w:rsidRPr="005C0ACC" w:rsidRDefault="00862E63" w:rsidP="00862E63">
      <w:pPr>
        <w:autoSpaceDE w:val="0"/>
        <w:autoSpaceDN w:val="0"/>
        <w:adjustRightInd w:val="0"/>
        <w:spacing w:after="120" w:line="240" w:lineRule="exact"/>
        <w:ind w:left="-284" w:right="-330"/>
        <w:rPr>
          <w:rFonts w:cs="Arial"/>
          <w:sz w:val="16"/>
          <w:szCs w:val="16"/>
          <w:lang w:eastAsia="en-AU"/>
        </w:rPr>
      </w:pPr>
      <w:r w:rsidRPr="005C0ACC">
        <w:rPr>
          <w:rFonts w:cs="Arial"/>
          <w:sz w:val="16"/>
          <w:szCs w:val="16"/>
          <w:lang w:eastAsia="en-AU"/>
        </w:rPr>
        <w:lastRenderedPageBreak/>
        <w:t>© Australian Pesticides and Ve</w:t>
      </w:r>
      <w:r w:rsidR="006F7865">
        <w:rPr>
          <w:rFonts w:cs="Arial"/>
          <w:sz w:val="16"/>
          <w:szCs w:val="16"/>
          <w:lang w:eastAsia="en-AU"/>
        </w:rPr>
        <w:t>terinary Medicines Authority 2020</w:t>
      </w:r>
    </w:p>
    <w:p w:rsidR="00862E63" w:rsidRPr="005C0ACC" w:rsidRDefault="00862E63" w:rsidP="00862E63">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rsidR="00862E63" w:rsidRPr="005C0ACC" w:rsidRDefault="00862E63" w:rsidP="00862E63">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rsidR="008366A3" w:rsidRPr="005C0ACC" w:rsidRDefault="008366A3" w:rsidP="008366A3">
      <w:pPr>
        <w:autoSpaceDE w:val="0"/>
        <w:autoSpaceDN w:val="0"/>
        <w:adjustRightInd w:val="0"/>
        <w:spacing w:line="240" w:lineRule="exact"/>
        <w:ind w:left="-284" w:right="-330"/>
        <w:rPr>
          <w:rFonts w:cs="Arial"/>
          <w:b/>
          <w:bCs/>
          <w:sz w:val="16"/>
          <w:szCs w:val="16"/>
          <w:lang w:eastAsia="en-AU"/>
        </w:rPr>
      </w:pPr>
      <w:r w:rsidRPr="005C0ACC">
        <w:rPr>
          <w:rFonts w:cs="Arial"/>
          <w:b/>
          <w:bCs/>
          <w:sz w:val="16"/>
          <w:szCs w:val="16"/>
          <w:lang w:eastAsia="en-AU"/>
        </w:rPr>
        <w:t>Creative Commons licence</w:t>
      </w:r>
    </w:p>
    <w:p w:rsidR="002F4591" w:rsidRDefault="008366A3" w:rsidP="002F4591">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 xml:space="preserve">With the exception of the Coat of Arms and other elements specifically identified, this publication is licensed under a Creative Commons Attribution </w:t>
      </w:r>
      <w:r>
        <w:rPr>
          <w:rFonts w:cs="Arial"/>
          <w:sz w:val="16"/>
          <w:szCs w:val="16"/>
          <w:lang w:eastAsia="en-AU"/>
        </w:rPr>
        <w:t>4</w:t>
      </w:r>
      <w:r w:rsidRPr="005C0ACC">
        <w:rPr>
          <w:rFonts w:cs="Arial"/>
          <w:sz w:val="16"/>
          <w:szCs w:val="16"/>
          <w:lang w:eastAsia="en-AU"/>
        </w:rPr>
        <w:t>.0 Australia Licence. This is a standard form agreement that allows you to copy, distribute, transmit and adapt this publication provided that you attribute the work.</w:t>
      </w:r>
    </w:p>
    <w:p w:rsidR="002F4591" w:rsidRDefault="002F4591" w:rsidP="002F4591">
      <w:pPr>
        <w:autoSpaceDE w:val="0"/>
        <w:autoSpaceDN w:val="0"/>
        <w:adjustRightInd w:val="0"/>
        <w:spacing w:after="240"/>
        <w:ind w:left="-284" w:right="-329"/>
        <w:rPr>
          <w:rFonts w:cs="Arial"/>
          <w:sz w:val="16"/>
          <w:szCs w:val="16"/>
          <w:lang w:eastAsia="en-AU"/>
        </w:rPr>
      </w:pPr>
      <w:r w:rsidRPr="005C0ACC">
        <w:rPr>
          <w:rFonts w:ascii="Times New Roman" w:hAnsi="Times New Roman"/>
          <w:noProof/>
          <w:sz w:val="16"/>
          <w:szCs w:val="16"/>
          <w:lang w:eastAsia="en-AU"/>
        </w:rPr>
        <w:drawing>
          <wp:inline distT="0" distB="0" distL="0" distR="0">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 w:val="16"/>
          <w:szCs w:val="16"/>
          <w:lang w:eastAsia="en-AU"/>
        </w:rPr>
        <w:drawing>
          <wp:inline distT="0" distB="0" distL="0" distR="0">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rsidR="008366A3" w:rsidRPr="005C0ACC" w:rsidRDefault="008366A3" w:rsidP="008366A3">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w:t>
      </w:r>
      <w:hyperlink r:id="rId13" w:history="1">
        <w:r w:rsidRPr="008545E1">
          <w:rPr>
            <w:rStyle w:val="Hyperlink"/>
            <w:rFonts w:cs="Arial"/>
            <w:sz w:val="16"/>
            <w:szCs w:val="16"/>
            <w:lang w:eastAsia="en-AU"/>
          </w:rPr>
          <w:t>summary of</w:t>
        </w:r>
        <w:r w:rsidR="008545E1" w:rsidRPr="008545E1">
          <w:rPr>
            <w:rStyle w:val="Hyperlink"/>
            <w:rFonts w:cs="Arial"/>
            <w:sz w:val="16"/>
            <w:szCs w:val="16"/>
            <w:lang w:eastAsia="en-AU"/>
          </w:rPr>
          <w:t xml:space="preserve"> the licence terms</w:t>
        </w:r>
      </w:hyperlink>
      <w:r w:rsidR="008545E1">
        <w:rPr>
          <w:rFonts w:cs="Arial"/>
          <w:sz w:val="16"/>
          <w:szCs w:val="16"/>
          <w:lang w:eastAsia="en-AU"/>
        </w:rPr>
        <w:t xml:space="preserve"> and </w:t>
      </w:r>
      <w:hyperlink r:id="rId14" w:history="1">
        <w:r w:rsidR="008545E1" w:rsidRPr="008545E1">
          <w:rPr>
            <w:rStyle w:val="Hyperlink"/>
            <w:rFonts w:cs="Arial"/>
            <w:sz w:val="16"/>
            <w:szCs w:val="16"/>
            <w:lang w:eastAsia="en-AU"/>
          </w:rPr>
          <w:t>full</w:t>
        </w:r>
        <w:r w:rsidRPr="008545E1">
          <w:rPr>
            <w:rStyle w:val="Hyperlink"/>
            <w:rFonts w:cs="Arial"/>
            <w:sz w:val="16"/>
            <w:szCs w:val="16"/>
            <w:lang w:eastAsia="en-AU"/>
          </w:rPr>
          <w:t xml:space="preserve"> licence terms</w:t>
        </w:r>
      </w:hyperlink>
      <w:r w:rsidR="008545E1">
        <w:rPr>
          <w:rFonts w:cs="Arial"/>
          <w:sz w:val="16"/>
          <w:szCs w:val="16"/>
          <w:lang w:eastAsia="en-AU"/>
        </w:rPr>
        <w:t xml:space="preserve"> are</w:t>
      </w:r>
      <w:r w:rsidRPr="005C0ACC">
        <w:rPr>
          <w:rFonts w:cs="Arial"/>
          <w:sz w:val="16"/>
          <w:szCs w:val="16"/>
          <w:lang w:eastAsia="en-AU"/>
        </w:rPr>
        <w:t xml:space="preserve"> available from</w:t>
      </w:r>
      <w:r w:rsidR="008545E1">
        <w:rPr>
          <w:rFonts w:cs="Arial"/>
          <w:sz w:val="16"/>
          <w:szCs w:val="16"/>
          <w:lang w:eastAsia="en-AU"/>
        </w:rPr>
        <w:t xml:space="preserve"> Creative Commons.</w:t>
      </w:r>
      <w:r w:rsidRPr="005C0ACC">
        <w:rPr>
          <w:rFonts w:cs="Arial"/>
          <w:sz w:val="16"/>
          <w:szCs w:val="16"/>
          <w:lang w:eastAsia="en-AU"/>
        </w:rPr>
        <w:t xml:space="preserve"> </w:t>
      </w:r>
    </w:p>
    <w:p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w:t>
      </w:r>
      <w:r>
        <w:rPr>
          <w:rFonts w:cs="Arial"/>
          <w:i/>
          <w:iCs/>
          <w:sz w:val="16"/>
          <w:szCs w:val="16"/>
          <w:lang w:eastAsia="en-AU"/>
        </w:rPr>
        <w:t>4</w:t>
      </w:r>
      <w:r w:rsidRPr="005C0ACC">
        <w:rPr>
          <w:rFonts w:cs="Arial"/>
          <w:i/>
          <w:iCs/>
          <w:sz w:val="16"/>
          <w:szCs w:val="16"/>
          <w:lang w:eastAsia="en-AU"/>
        </w:rPr>
        <w:t xml:space="preserve">.0 Australia Licence. </w:t>
      </w:r>
    </w:p>
    <w:p w:rsidR="008366A3" w:rsidRPr="005C0ACC" w:rsidRDefault="008366A3" w:rsidP="008366A3">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rsidR="00862E63" w:rsidRPr="005C0ACC" w:rsidRDefault="00862E63" w:rsidP="00862E63">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Cover image: iStockphoto (www.istockphoto.com)</w:t>
      </w:r>
    </w:p>
    <w:p w:rsidR="00862E63" w:rsidRPr="005C0ACC" w:rsidRDefault="00862E63" w:rsidP="00862E63">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 xml:space="preserve">iStockphoto images are not covered by this Creative Commons licence. </w:t>
      </w:r>
    </w:p>
    <w:p w:rsidR="00862E63" w:rsidRPr="005C0ACC" w:rsidRDefault="00862E63" w:rsidP="00862E63">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Use of the Coat of Arms</w:t>
      </w:r>
    </w:p>
    <w:p w:rsidR="00862E63" w:rsidRPr="005C0ACC" w:rsidRDefault="00862E63" w:rsidP="00862E63">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terms under which the Coat of Arms can be used are set out on the </w:t>
      </w:r>
      <w:hyperlink r:id="rId15" w:history="1">
        <w:r w:rsidRPr="008545E1">
          <w:rPr>
            <w:rStyle w:val="Hyperlink"/>
            <w:rFonts w:cs="Arial"/>
            <w:sz w:val="16"/>
            <w:szCs w:val="16"/>
            <w:lang w:eastAsia="en-AU"/>
          </w:rPr>
          <w:t xml:space="preserve">Department of the Prime Minister and </w:t>
        </w:r>
        <w:r w:rsidR="008545E1" w:rsidRPr="008545E1">
          <w:rPr>
            <w:rStyle w:val="Hyperlink"/>
            <w:rFonts w:cs="Arial"/>
            <w:sz w:val="16"/>
            <w:szCs w:val="16"/>
            <w:lang w:eastAsia="en-AU"/>
          </w:rPr>
          <w:t>Cabinet website</w:t>
        </w:r>
      </w:hyperlink>
      <w:r w:rsidRPr="005C0ACC">
        <w:rPr>
          <w:rFonts w:cs="Arial"/>
          <w:sz w:val="16"/>
          <w:szCs w:val="16"/>
          <w:lang w:eastAsia="en-AU"/>
        </w:rPr>
        <w:t>.</w:t>
      </w:r>
    </w:p>
    <w:p w:rsidR="00862E63" w:rsidRPr="005C0ACC" w:rsidRDefault="00862E63" w:rsidP="00862E63">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rsidR="00862E63" w:rsidRPr="009A7614" w:rsidRDefault="00862E63" w:rsidP="009A7614">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material in or linking from this report may contain the views or recommendations of third parties. Third party material does not necessarily reflect the </w:t>
      </w:r>
      <w:r w:rsidR="00C95323">
        <w:rPr>
          <w:rFonts w:cs="Arial"/>
          <w:sz w:val="16"/>
          <w:szCs w:val="16"/>
          <w:lang w:eastAsia="en-AU"/>
        </w:rPr>
        <w:fldChar w:fldCharType="begin"/>
      </w:r>
      <w:r w:rsidR="00C95323">
        <w:rPr>
          <w:rFonts w:cs="Arial"/>
          <w:sz w:val="16"/>
          <w:szCs w:val="16"/>
          <w:lang w:eastAsia="en-AU"/>
        </w:rPr>
        <w:instrText xml:space="preserve"> TOC \o "1-3" \h \z \u </w:instrText>
      </w:r>
      <w:r w:rsidR="00C95323">
        <w:rPr>
          <w:rFonts w:cs="Arial"/>
          <w:sz w:val="16"/>
          <w:szCs w:val="16"/>
          <w:lang w:eastAsia="en-AU"/>
        </w:rPr>
        <w:fldChar w:fldCharType="end"/>
      </w:r>
      <w:r w:rsidRPr="005C0ACC">
        <w:rPr>
          <w:rFonts w:cs="Arial"/>
          <w:sz w:val="16"/>
          <w:szCs w:val="16"/>
          <w:lang w:eastAsia="en-AU"/>
        </w:rPr>
        <w:t>views of the APVMA, or indicate a commitment to</w:t>
      </w:r>
      <w:r w:rsidR="009A7614">
        <w:rPr>
          <w:rFonts w:cs="Arial"/>
          <w:sz w:val="16"/>
          <w:szCs w:val="16"/>
          <w:lang w:eastAsia="en-AU"/>
        </w:rPr>
        <w:t xml:space="preserve"> a particular course of action. </w:t>
      </w: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009A7614">
        <w:rPr>
          <w:rFonts w:cs="Arial"/>
          <w:sz w:val="16"/>
          <w:szCs w:val="16"/>
          <w:lang w:eastAsia="en-AU"/>
        </w:rPr>
        <w:t xml:space="preserve"> </w:t>
      </w:r>
      <w:r w:rsidRPr="005C0ACC">
        <w:rPr>
          <w:rFonts w:cs="Arial"/>
          <w:bCs/>
          <w:sz w:val="16"/>
          <w:szCs w:val="16"/>
          <w:lang w:eastAsia="en-AU"/>
        </w:rPr>
        <w:t>The APVMA is not responsible for any errors, omissions or matters of interpretation in any third-party information contained within this document.</w:t>
      </w:r>
    </w:p>
    <w:p w:rsidR="00862E63" w:rsidRPr="005C0ACC" w:rsidRDefault="00862E63" w:rsidP="009A7614">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rsidR="00862E63" w:rsidRPr="005C0ACC" w:rsidRDefault="00D23D6A" w:rsidP="00862E63">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Assistant Director, Communications</w:t>
      </w:r>
    </w:p>
    <w:p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rsidR="00862E63" w:rsidRPr="005C0ACC" w:rsidRDefault="00FB0015" w:rsidP="00862E63">
      <w:pPr>
        <w:autoSpaceDE w:val="0"/>
        <w:autoSpaceDN w:val="0"/>
        <w:adjustRightInd w:val="0"/>
        <w:spacing w:line="240" w:lineRule="exact"/>
        <w:ind w:left="-284" w:right="-330"/>
        <w:rPr>
          <w:rFonts w:cs="Arial"/>
          <w:sz w:val="16"/>
          <w:szCs w:val="16"/>
          <w:lang w:eastAsia="en-AU"/>
        </w:rPr>
      </w:pPr>
      <w:r>
        <w:rPr>
          <w:rFonts w:cs="Arial"/>
          <w:sz w:val="16"/>
          <w:szCs w:val="16"/>
          <w:lang w:eastAsia="en-AU"/>
        </w:rPr>
        <w:t>GPO Box 3262</w:t>
      </w:r>
    </w:p>
    <w:p w:rsidR="00862E63" w:rsidRPr="005C0ACC" w:rsidRDefault="006F7865" w:rsidP="00862E63">
      <w:pPr>
        <w:autoSpaceDE w:val="0"/>
        <w:autoSpaceDN w:val="0"/>
        <w:adjustRightInd w:val="0"/>
        <w:spacing w:line="240" w:lineRule="exact"/>
        <w:ind w:left="-284" w:right="-330"/>
        <w:rPr>
          <w:rFonts w:cs="Arial"/>
          <w:sz w:val="16"/>
          <w:szCs w:val="16"/>
          <w:lang w:eastAsia="en-AU"/>
        </w:rPr>
      </w:pPr>
      <w:r>
        <w:rPr>
          <w:rFonts w:cs="Arial"/>
          <w:sz w:val="16"/>
          <w:szCs w:val="16"/>
          <w:lang w:eastAsia="en-AU"/>
        </w:rPr>
        <w:t>Sydney</w:t>
      </w:r>
      <w:r w:rsidR="00FB0015">
        <w:rPr>
          <w:rFonts w:cs="Arial"/>
          <w:sz w:val="16"/>
          <w:szCs w:val="16"/>
          <w:lang w:eastAsia="en-AU"/>
        </w:rPr>
        <w:t xml:space="preserve"> NSW 2001</w:t>
      </w:r>
      <w:r w:rsidR="00862E63" w:rsidRPr="005C0ACC">
        <w:rPr>
          <w:rFonts w:cs="Arial"/>
          <w:sz w:val="16"/>
          <w:szCs w:val="16"/>
          <w:lang w:eastAsia="en-AU"/>
        </w:rPr>
        <w:t xml:space="preserve"> Australia</w:t>
      </w:r>
    </w:p>
    <w:p w:rsidR="00862E63" w:rsidRPr="005C0ACC" w:rsidRDefault="006110AE" w:rsidP="00862E63">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 xml:space="preserve">Telephone: +61 2 </w:t>
      </w:r>
      <w:r w:rsidR="008545E1">
        <w:rPr>
          <w:rFonts w:cs="Arial"/>
          <w:sz w:val="16"/>
          <w:szCs w:val="16"/>
          <w:lang w:eastAsia="en-AU"/>
        </w:rPr>
        <w:t>6770 2300</w:t>
      </w:r>
    </w:p>
    <w:p w:rsidR="00862E63" w:rsidRPr="005C0ACC" w:rsidRDefault="00862E63" w:rsidP="00862E63">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6" w:history="1">
        <w:r w:rsidRPr="005C0ACC">
          <w:rPr>
            <w:rFonts w:cs="Arial"/>
            <w:color w:val="0000FF"/>
            <w:sz w:val="16"/>
            <w:szCs w:val="16"/>
            <w:u w:val="single"/>
            <w:lang w:eastAsia="en-AU"/>
          </w:rPr>
          <w:t>communications@apvma.gov.au</w:t>
        </w:r>
      </w:hyperlink>
      <w:r>
        <w:rPr>
          <w:rFonts w:cs="Arial"/>
          <w:color w:val="0000FF"/>
          <w:sz w:val="16"/>
          <w:szCs w:val="16"/>
          <w:u w:val="single"/>
          <w:lang w:eastAsia="en-AU"/>
        </w:rPr>
        <w:t>.</w:t>
      </w:r>
    </w:p>
    <w:p w:rsidR="002E20AC" w:rsidRPr="002F4591" w:rsidRDefault="00862E63" w:rsidP="002F4591">
      <w:pPr>
        <w:pStyle w:val="APVMAImprintText"/>
        <w:ind w:left="-284" w:right="-330"/>
        <w:rPr>
          <w:szCs w:val="16"/>
        </w:rPr>
      </w:pPr>
      <w:r w:rsidRPr="005C0ACC">
        <w:rPr>
          <w:spacing w:val="0"/>
          <w:szCs w:val="16"/>
          <w:lang w:eastAsia="en-AU"/>
        </w:rPr>
        <w:t xml:space="preserve">This publication is available from the </w:t>
      </w:r>
      <w:hyperlink r:id="rId17" w:history="1">
        <w:r w:rsidRPr="00D23D6A">
          <w:rPr>
            <w:rStyle w:val="Hyperlink"/>
            <w:spacing w:val="0"/>
            <w:szCs w:val="16"/>
            <w:lang w:eastAsia="en-AU"/>
          </w:rPr>
          <w:t>APVMA website</w:t>
        </w:r>
      </w:hyperlink>
      <w:r w:rsidRPr="005C0ACC">
        <w:rPr>
          <w:spacing w:val="0"/>
          <w:szCs w:val="16"/>
          <w:lang w:eastAsia="en-AU"/>
        </w:rPr>
        <w:t>.</w:t>
      </w:r>
      <w:bookmarkEnd w:id="0"/>
    </w:p>
    <w:p w:rsidR="002E20AC" w:rsidRDefault="002E20AC">
      <w:pPr>
        <w:pStyle w:val="APVMAImprintText"/>
        <w:sectPr w:rsidR="002E20AC" w:rsidSect="008C5C0D">
          <w:pgSz w:w="11906" w:h="16838" w:code="9"/>
          <w:pgMar w:top="2127" w:right="1134" w:bottom="1134" w:left="1134" w:header="1701" w:footer="450" w:gutter="0"/>
          <w:pgNumType w:fmt="lowerRoman"/>
          <w:cols w:space="708"/>
          <w:docGrid w:linePitch="360"/>
        </w:sectPr>
      </w:pPr>
    </w:p>
    <w:p w:rsidR="002E20AC" w:rsidRPr="002A3239" w:rsidRDefault="002E20AC" w:rsidP="00D23D6A">
      <w:pPr>
        <w:pStyle w:val="TOAHeading"/>
        <w:rPr>
          <w:rFonts w:ascii="Arial" w:hAnsi="Arial"/>
          <w:sz w:val="18"/>
        </w:rPr>
      </w:pPr>
      <w:r w:rsidRPr="00FB0015">
        <w:t>Contents</w:t>
      </w:r>
    </w:p>
    <w:p w:rsidR="006F7865" w:rsidRDefault="005064D5">
      <w:pPr>
        <w:pStyle w:val="TOC1"/>
        <w:rPr>
          <w:rFonts w:asciiTheme="minorHAnsi" w:eastAsiaTheme="minorEastAsia" w:hAnsiTheme="minorHAnsi" w:cstheme="minorBidi"/>
          <w:b w:val="0"/>
          <w:bCs w:val="0"/>
          <w:caps w:val="0"/>
          <w:color w:val="auto"/>
          <w:kern w:val="0"/>
          <w:sz w:val="22"/>
          <w:szCs w:val="22"/>
          <w:lang w:eastAsia="en-AU"/>
        </w:rPr>
      </w:pPr>
      <w:r>
        <w:rPr>
          <w:b w:val="0"/>
          <w:bCs w:val="0"/>
          <w:caps w:val="0"/>
          <w:color w:val="53284F"/>
        </w:rPr>
        <w:fldChar w:fldCharType="begin"/>
      </w:r>
      <w:r>
        <w:rPr>
          <w:b w:val="0"/>
          <w:bCs w:val="0"/>
          <w:caps w:val="0"/>
        </w:rPr>
        <w:instrText xml:space="preserve"> TOC \o "1-3" \h \z \u </w:instrText>
      </w:r>
      <w:r>
        <w:rPr>
          <w:b w:val="0"/>
          <w:bCs w:val="0"/>
          <w:caps w:val="0"/>
          <w:color w:val="53284F"/>
        </w:rPr>
        <w:fldChar w:fldCharType="separate"/>
      </w:r>
      <w:hyperlink w:anchor="_Toc37151640" w:history="1">
        <w:r w:rsidR="006F7865" w:rsidRPr="001F2DE8">
          <w:rPr>
            <w:rStyle w:val="Hyperlink"/>
          </w:rPr>
          <w:t>Introduction</w:t>
        </w:r>
        <w:r w:rsidR="006F7865">
          <w:rPr>
            <w:webHidden/>
          </w:rPr>
          <w:tab/>
        </w:r>
        <w:r w:rsidR="006F7865">
          <w:rPr>
            <w:webHidden/>
          </w:rPr>
          <w:fldChar w:fldCharType="begin"/>
        </w:r>
        <w:r w:rsidR="006F7865">
          <w:rPr>
            <w:webHidden/>
          </w:rPr>
          <w:instrText xml:space="preserve"> PAGEREF _Toc37151640 \h </w:instrText>
        </w:r>
        <w:r w:rsidR="006F7865">
          <w:rPr>
            <w:webHidden/>
          </w:rPr>
        </w:r>
        <w:r w:rsidR="006F7865">
          <w:rPr>
            <w:webHidden/>
          </w:rPr>
          <w:fldChar w:fldCharType="separate"/>
        </w:r>
        <w:r w:rsidR="006F7865">
          <w:rPr>
            <w:webHidden/>
          </w:rPr>
          <w:t>1</w:t>
        </w:r>
        <w:r w:rsidR="006F7865">
          <w:rPr>
            <w:webHidden/>
          </w:rPr>
          <w:fldChar w:fldCharType="end"/>
        </w:r>
      </w:hyperlink>
    </w:p>
    <w:p w:rsidR="006F7865" w:rsidRDefault="006F7865">
      <w:pPr>
        <w:pStyle w:val="TOC1"/>
        <w:rPr>
          <w:rFonts w:asciiTheme="minorHAnsi" w:eastAsiaTheme="minorEastAsia" w:hAnsiTheme="minorHAnsi" w:cstheme="minorBidi"/>
          <w:b w:val="0"/>
          <w:bCs w:val="0"/>
          <w:caps w:val="0"/>
          <w:color w:val="auto"/>
          <w:kern w:val="0"/>
          <w:sz w:val="22"/>
          <w:szCs w:val="22"/>
          <w:lang w:eastAsia="en-AU"/>
        </w:rPr>
      </w:pPr>
      <w:hyperlink w:anchor="_Toc37151641" w:history="1">
        <w:r w:rsidRPr="001F2DE8">
          <w:rPr>
            <w:rStyle w:val="Hyperlink"/>
          </w:rPr>
          <w:t>Uses that don’t require assessment</w:t>
        </w:r>
        <w:r>
          <w:rPr>
            <w:webHidden/>
          </w:rPr>
          <w:tab/>
        </w:r>
        <w:r>
          <w:rPr>
            <w:webHidden/>
          </w:rPr>
          <w:fldChar w:fldCharType="begin"/>
        </w:r>
        <w:r>
          <w:rPr>
            <w:webHidden/>
          </w:rPr>
          <w:instrText xml:space="preserve"> PAGEREF _Toc37151641 \h </w:instrText>
        </w:r>
        <w:r>
          <w:rPr>
            <w:webHidden/>
          </w:rPr>
        </w:r>
        <w:r>
          <w:rPr>
            <w:webHidden/>
          </w:rPr>
          <w:fldChar w:fldCharType="separate"/>
        </w:r>
        <w:r>
          <w:rPr>
            <w:webHidden/>
          </w:rPr>
          <w:t>1</w:t>
        </w:r>
        <w:r>
          <w:rPr>
            <w:webHidden/>
          </w:rPr>
          <w:fldChar w:fldCharType="end"/>
        </w:r>
      </w:hyperlink>
    </w:p>
    <w:p w:rsidR="006F7865" w:rsidRDefault="006F7865">
      <w:pPr>
        <w:pStyle w:val="TOC1"/>
        <w:rPr>
          <w:rFonts w:asciiTheme="minorHAnsi" w:eastAsiaTheme="minorEastAsia" w:hAnsiTheme="minorHAnsi" w:cstheme="minorBidi"/>
          <w:b w:val="0"/>
          <w:bCs w:val="0"/>
          <w:caps w:val="0"/>
          <w:color w:val="auto"/>
          <w:kern w:val="0"/>
          <w:sz w:val="22"/>
          <w:szCs w:val="22"/>
          <w:lang w:eastAsia="en-AU"/>
        </w:rPr>
      </w:pPr>
      <w:hyperlink w:anchor="_Toc37151642" w:history="1">
        <w:r w:rsidRPr="001F2DE8">
          <w:rPr>
            <w:rStyle w:val="Hyperlink"/>
          </w:rPr>
          <w:t>Toxicity data</w:t>
        </w:r>
        <w:r>
          <w:rPr>
            <w:webHidden/>
          </w:rPr>
          <w:tab/>
        </w:r>
        <w:r>
          <w:rPr>
            <w:webHidden/>
          </w:rPr>
          <w:fldChar w:fldCharType="begin"/>
        </w:r>
        <w:r>
          <w:rPr>
            <w:webHidden/>
          </w:rPr>
          <w:instrText xml:space="preserve"> PAGEREF _Toc37151642 \h </w:instrText>
        </w:r>
        <w:r>
          <w:rPr>
            <w:webHidden/>
          </w:rPr>
        </w:r>
        <w:r>
          <w:rPr>
            <w:webHidden/>
          </w:rPr>
          <w:fldChar w:fldCharType="separate"/>
        </w:r>
        <w:r>
          <w:rPr>
            <w:webHidden/>
          </w:rPr>
          <w:t>1</w:t>
        </w:r>
        <w:r>
          <w:rPr>
            <w:webHidden/>
          </w:rPr>
          <w:fldChar w:fldCharType="end"/>
        </w:r>
      </w:hyperlink>
    </w:p>
    <w:p w:rsidR="006F7865" w:rsidRDefault="006F7865">
      <w:pPr>
        <w:pStyle w:val="TOC2"/>
        <w:rPr>
          <w:rFonts w:asciiTheme="minorHAnsi" w:eastAsiaTheme="minorEastAsia" w:hAnsiTheme="minorHAnsi" w:cstheme="minorBidi"/>
          <w:b w:val="0"/>
          <w:color w:val="auto"/>
          <w:sz w:val="22"/>
          <w:szCs w:val="22"/>
          <w:lang w:eastAsia="en-AU"/>
        </w:rPr>
      </w:pPr>
      <w:hyperlink w:anchor="_Toc37151643" w:history="1">
        <w:r w:rsidRPr="001F2DE8">
          <w:rPr>
            <w:rStyle w:val="Hyperlink"/>
          </w:rPr>
          <w:t>Insecticides and insect growth regulators</w:t>
        </w:r>
        <w:r>
          <w:rPr>
            <w:webHidden/>
          </w:rPr>
          <w:tab/>
        </w:r>
        <w:r>
          <w:rPr>
            <w:webHidden/>
          </w:rPr>
          <w:fldChar w:fldCharType="begin"/>
        </w:r>
        <w:r>
          <w:rPr>
            <w:webHidden/>
          </w:rPr>
          <w:instrText xml:space="preserve"> PAGEREF _Toc37151643 \h </w:instrText>
        </w:r>
        <w:r>
          <w:rPr>
            <w:webHidden/>
          </w:rPr>
        </w:r>
        <w:r>
          <w:rPr>
            <w:webHidden/>
          </w:rPr>
          <w:fldChar w:fldCharType="separate"/>
        </w:r>
        <w:r>
          <w:rPr>
            <w:webHidden/>
          </w:rPr>
          <w:t>1</w:t>
        </w:r>
        <w:r>
          <w:rPr>
            <w:webHidden/>
          </w:rPr>
          <w:fldChar w:fldCharType="end"/>
        </w:r>
      </w:hyperlink>
    </w:p>
    <w:p w:rsidR="006F7865" w:rsidRDefault="006F7865">
      <w:pPr>
        <w:pStyle w:val="TOC2"/>
        <w:rPr>
          <w:rFonts w:asciiTheme="minorHAnsi" w:eastAsiaTheme="minorEastAsia" w:hAnsiTheme="minorHAnsi" w:cstheme="minorBidi"/>
          <w:b w:val="0"/>
          <w:color w:val="auto"/>
          <w:sz w:val="22"/>
          <w:szCs w:val="22"/>
          <w:lang w:eastAsia="en-AU"/>
        </w:rPr>
      </w:pPr>
      <w:hyperlink w:anchor="_Toc37151644" w:history="1">
        <w:r w:rsidRPr="001F2DE8">
          <w:rPr>
            <w:rStyle w:val="Hyperlink"/>
          </w:rPr>
          <w:t>Herbicides and plant growth regulators</w:t>
        </w:r>
        <w:r>
          <w:rPr>
            <w:webHidden/>
          </w:rPr>
          <w:tab/>
        </w:r>
        <w:r>
          <w:rPr>
            <w:webHidden/>
          </w:rPr>
          <w:fldChar w:fldCharType="begin"/>
        </w:r>
        <w:r>
          <w:rPr>
            <w:webHidden/>
          </w:rPr>
          <w:instrText xml:space="preserve"> PAGEREF _Toc37151644 \h </w:instrText>
        </w:r>
        <w:r>
          <w:rPr>
            <w:webHidden/>
          </w:rPr>
        </w:r>
        <w:r>
          <w:rPr>
            <w:webHidden/>
          </w:rPr>
          <w:fldChar w:fldCharType="separate"/>
        </w:r>
        <w:r>
          <w:rPr>
            <w:webHidden/>
          </w:rPr>
          <w:t>1</w:t>
        </w:r>
        <w:r>
          <w:rPr>
            <w:webHidden/>
          </w:rPr>
          <w:fldChar w:fldCharType="end"/>
        </w:r>
      </w:hyperlink>
    </w:p>
    <w:p w:rsidR="006F7865" w:rsidRDefault="006F7865">
      <w:pPr>
        <w:pStyle w:val="TOC2"/>
        <w:rPr>
          <w:rFonts w:asciiTheme="minorHAnsi" w:eastAsiaTheme="minorEastAsia" w:hAnsiTheme="minorHAnsi" w:cstheme="minorBidi"/>
          <w:b w:val="0"/>
          <w:color w:val="auto"/>
          <w:sz w:val="22"/>
          <w:szCs w:val="22"/>
          <w:lang w:eastAsia="en-AU"/>
        </w:rPr>
      </w:pPr>
      <w:hyperlink w:anchor="_Toc37151645" w:history="1">
        <w:r w:rsidRPr="001F2DE8">
          <w:rPr>
            <w:rStyle w:val="Hyperlink"/>
          </w:rPr>
          <w:t>Endocrine active substances</w:t>
        </w:r>
        <w:r>
          <w:rPr>
            <w:webHidden/>
          </w:rPr>
          <w:tab/>
        </w:r>
        <w:r>
          <w:rPr>
            <w:webHidden/>
          </w:rPr>
          <w:fldChar w:fldCharType="begin"/>
        </w:r>
        <w:r>
          <w:rPr>
            <w:webHidden/>
          </w:rPr>
          <w:instrText xml:space="preserve"> PAGEREF _Toc37151645 \h </w:instrText>
        </w:r>
        <w:r>
          <w:rPr>
            <w:webHidden/>
          </w:rPr>
        </w:r>
        <w:r>
          <w:rPr>
            <w:webHidden/>
          </w:rPr>
          <w:fldChar w:fldCharType="separate"/>
        </w:r>
        <w:r>
          <w:rPr>
            <w:webHidden/>
          </w:rPr>
          <w:t>2</w:t>
        </w:r>
        <w:r>
          <w:rPr>
            <w:webHidden/>
          </w:rPr>
          <w:fldChar w:fldCharType="end"/>
        </w:r>
      </w:hyperlink>
    </w:p>
    <w:p w:rsidR="006F7865" w:rsidRDefault="006F7865">
      <w:pPr>
        <w:pStyle w:val="TOC2"/>
        <w:rPr>
          <w:rFonts w:asciiTheme="minorHAnsi" w:eastAsiaTheme="minorEastAsia" w:hAnsiTheme="minorHAnsi" w:cstheme="minorBidi"/>
          <w:b w:val="0"/>
          <w:color w:val="auto"/>
          <w:sz w:val="22"/>
          <w:szCs w:val="22"/>
          <w:lang w:eastAsia="en-AU"/>
        </w:rPr>
      </w:pPr>
      <w:hyperlink w:anchor="_Toc37151646" w:history="1">
        <w:r w:rsidRPr="001F2DE8">
          <w:rPr>
            <w:rStyle w:val="Hyperlink"/>
          </w:rPr>
          <w:t>Sediment dwelling species</w:t>
        </w:r>
        <w:r>
          <w:rPr>
            <w:webHidden/>
          </w:rPr>
          <w:tab/>
        </w:r>
        <w:r>
          <w:rPr>
            <w:webHidden/>
          </w:rPr>
          <w:fldChar w:fldCharType="begin"/>
        </w:r>
        <w:r>
          <w:rPr>
            <w:webHidden/>
          </w:rPr>
          <w:instrText xml:space="preserve"> PAGEREF _Toc37151646 \h </w:instrText>
        </w:r>
        <w:r>
          <w:rPr>
            <w:webHidden/>
          </w:rPr>
        </w:r>
        <w:r>
          <w:rPr>
            <w:webHidden/>
          </w:rPr>
          <w:fldChar w:fldCharType="separate"/>
        </w:r>
        <w:r>
          <w:rPr>
            <w:webHidden/>
          </w:rPr>
          <w:t>2</w:t>
        </w:r>
        <w:r>
          <w:rPr>
            <w:webHidden/>
          </w:rPr>
          <w:fldChar w:fldCharType="end"/>
        </w:r>
      </w:hyperlink>
    </w:p>
    <w:p w:rsidR="006F7865" w:rsidRDefault="006F7865">
      <w:pPr>
        <w:pStyle w:val="TOC2"/>
        <w:rPr>
          <w:rFonts w:asciiTheme="minorHAnsi" w:eastAsiaTheme="minorEastAsia" w:hAnsiTheme="minorHAnsi" w:cstheme="minorBidi"/>
          <w:b w:val="0"/>
          <w:color w:val="auto"/>
          <w:sz w:val="22"/>
          <w:szCs w:val="22"/>
          <w:lang w:eastAsia="en-AU"/>
        </w:rPr>
      </w:pPr>
      <w:hyperlink w:anchor="_Toc37151647" w:history="1">
        <w:r w:rsidRPr="001F2DE8">
          <w:rPr>
            <w:rStyle w:val="Hyperlink"/>
          </w:rPr>
          <w:t>Fish bioconcentration study</w:t>
        </w:r>
        <w:r>
          <w:rPr>
            <w:webHidden/>
          </w:rPr>
          <w:tab/>
        </w:r>
        <w:r>
          <w:rPr>
            <w:webHidden/>
          </w:rPr>
          <w:fldChar w:fldCharType="begin"/>
        </w:r>
        <w:r>
          <w:rPr>
            <w:webHidden/>
          </w:rPr>
          <w:instrText xml:space="preserve"> PAGEREF _Toc37151647 \h </w:instrText>
        </w:r>
        <w:r>
          <w:rPr>
            <w:webHidden/>
          </w:rPr>
        </w:r>
        <w:r>
          <w:rPr>
            <w:webHidden/>
          </w:rPr>
          <w:fldChar w:fldCharType="separate"/>
        </w:r>
        <w:r>
          <w:rPr>
            <w:webHidden/>
          </w:rPr>
          <w:t>2</w:t>
        </w:r>
        <w:r>
          <w:rPr>
            <w:webHidden/>
          </w:rPr>
          <w:fldChar w:fldCharType="end"/>
        </w:r>
      </w:hyperlink>
    </w:p>
    <w:p w:rsidR="006F7865" w:rsidRDefault="006F7865">
      <w:pPr>
        <w:pStyle w:val="TOC1"/>
        <w:rPr>
          <w:rFonts w:asciiTheme="minorHAnsi" w:eastAsiaTheme="minorEastAsia" w:hAnsiTheme="minorHAnsi" w:cstheme="minorBidi"/>
          <w:b w:val="0"/>
          <w:bCs w:val="0"/>
          <w:caps w:val="0"/>
          <w:color w:val="auto"/>
          <w:kern w:val="0"/>
          <w:sz w:val="22"/>
          <w:szCs w:val="22"/>
          <w:lang w:eastAsia="en-AU"/>
        </w:rPr>
      </w:pPr>
      <w:hyperlink w:anchor="_Toc37151648" w:history="1">
        <w:r w:rsidRPr="001F2DE8">
          <w:rPr>
            <w:rStyle w:val="Hyperlink"/>
          </w:rPr>
          <w:t>Risk assessment</w:t>
        </w:r>
        <w:r>
          <w:rPr>
            <w:webHidden/>
          </w:rPr>
          <w:tab/>
        </w:r>
        <w:r>
          <w:rPr>
            <w:webHidden/>
          </w:rPr>
          <w:fldChar w:fldCharType="begin"/>
        </w:r>
        <w:r>
          <w:rPr>
            <w:webHidden/>
          </w:rPr>
          <w:instrText xml:space="preserve"> PAGEREF _Toc37151648 \h </w:instrText>
        </w:r>
        <w:r>
          <w:rPr>
            <w:webHidden/>
          </w:rPr>
        </w:r>
        <w:r>
          <w:rPr>
            <w:webHidden/>
          </w:rPr>
          <w:fldChar w:fldCharType="separate"/>
        </w:r>
        <w:r>
          <w:rPr>
            <w:webHidden/>
          </w:rPr>
          <w:t>2</w:t>
        </w:r>
        <w:r>
          <w:rPr>
            <w:webHidden/>
          </w:rPr>
          <w:fldChar w:fldCharType="end"/>
        </w:r>
      </w:hyperlink>
    </w:p>
    <w:p w:rsidR="006F7865" w:rsidRDefault="006F7865">
      <w:pPr>
        <w:pStyle w:val="TOC2"/>
        <w:rPr>
          <w:rFonts w:asciiTheme="minorHAnsi" w:eastAsiaTheme="minorEastAsia" w:hAnsiTheme="minorHAnsi" w:cstheme="minorBidi"/>
          <w:b w:val="0"/>
          <w:color w:val="auto"/>
          <w:sz w:val="22"/>
          <w:szCs w:val="22"/>
          <w:lang w:eastAsia="en-AU"/>
        </w:rPr>
      </w:pPr>
      <w:hyperlink w:anchor="_Toc37151649" w:history="1">
        <w:r w:rsidRPr="001F2DE8">
          <w:rPr>
            <w:rStyle w:val="Hyperlink"/>
          </w:rPr>
          <w:t>Screening level assessment</w:t>
        </w:r>
        <w:r>
          <w:rPr>
            <w:webHidden/>
          </w:rPr>
          <w:tab/>
        </w:r>
        <w:r>
          <w:rPr>
            <w:webHidden/>
          </w:rPr>
          <w:fldChar w:fldCharType="begin"/>
        </w:r>
        <w:r>
          <w:rPr>
            <w:webHidden/>
          </w:rPr>
          <w:instrText xml:space="preserve"> PAGEREF _Toc37151649 \h </w:instrText>
        </w:r>
        <w:r>
          <w:rPr>
            <w:webHidden/>
          </w:rPr>
        </w:r>
        <w:r>
          <w:rPr>
            <w:webHidden/>
          </w:rPr>
          <w:fldChar w:fldCharType="separate"/>
        </w:r>
        <w:r>
          <w:rPr>
            <w:webHidden/>
          </w:rPr>
          <w:t>2</w:t>
        </w:r>
        <w:r>
          <w:rPr>
            <w:webHidden/>
          </w:rPr>
          <w:fldChar w:fldCharType="end"/>
        </w:r>
      </w:hyperlink>
    </w:p>
    <w:p w:rsidR="006F7865" w:rsidRDefault="006F7865">
      <w:pPr>
        <w:pStyle w:val="TOC2"/>
        <w:rPr>
          <w:rFonts w:asciiTheme="minorHAnsi" w:eastAsiaTheme="minorEastAsia" w:hAnsiTheme="minorHAnsi" w:cstheme="minorBidi"/>
          <w:b w:val="0"/>
          <w:color w:val="auto"/>
          <w:sz w:val="22"/>
          <w:szCs w:val="22"/>
          <w:lang w:eastAsia="en-AU"/>
        </w:rPr>
      </w:pPr>
      <w:hyperlink w:anchor="_Toc37151650" w:history="1">
        <w:r w:rsidRPr="001F2DE8">
          <w:rPr>
            <w:rStyle w:val="Hyperlink"/>
          </w:rPr>
          <w:t>Spray drift assessment</w:t>
        </w:r>
        <w:r>
          <w:rPr>
            <w:webHidden/>
          </w:rPr>
          <w:tab/>
        </w:r>
        <w:r>
          <w:rPr>
            <w:webHidden/>
          </w:rPr>
          <w:fldChar w:fldCharType="begin"/>
        </w:r>
        <w:r>
          <w:rPr>
            <w:webHidden/>
          </w:rPr>
          <w:instrText xml:space="preserve"> PAGEREF _Toc37151650 \h </w:instrText>
        </w:r>
        <w:r>
          <w:rPr>
            <w:webHidden/>
          </w:rPr>
        </w:r>
        <w:r>
          <w:rPr>
            <w:webHidden/>
          </w:rPr>
          <w:fldChar w:fldCharType="separate"/>
        </w:r>
        <w:r>
          <w:rPr>
            <w:webHidden/>
          </w:rPr>
          <w:t>2</w:t>
        </w:r>
        <w:r>
          <w:rPr>
            <w:webHidden/>
          </w:rPr>
          <w:fldChar w:fldCharType="end"/>
        </w:r>
      </w:hyperlink>
    </w:p>
    <w:p w:rsidR="006F7865" w:rsidRDefault="006F7865">
      <w:pPr>
        <w:pStyle w:val="TOC2"/>
        <w:rPr>
          <w:rFonts w:asciiTheme="minorHAnsi" w:eastAsiaTheme="minorEastAsia" w:hAnsiTheme="minorHAnsi" w:cstheme="minorBidi"/>
          <w:b w:val="0"/>
          <w:color w:val="auto"/>
          <w:sz w:val="22"/>
          <w:szCs w:val="22"/>
          <w:lang w:eastAsia="en-AU"/>
        </w:rPr>
      </w:pPr>
      <w:hyperlink w:anchor="_Toc37151651" w:history="1">
        <w:r w:rsidRPr="001F2DE8">
          <w:rPr>
            <w:rStyle w:val="Hyperlink"/>
          </w:rPr>
          <w:t>Runoff assessment</w:t>
        </w:r>
        <w:r>
          <w:rPr>
            <w:webHidden/>
          </w:rPr>
          <w:tab/>
        </w:r>
        <w:r>
          <w:rPr>
            <w:webHidden/>
          </w:rPr>
          <w:fldChar w:fldCharType="begin"/>
        </w:r>
        <w:r>
          <w:rPr>
            <w:webHidden/>
          </w:rPr>
          <w:instrText xml:space="preserve"> PAGEREF _Toc37151651 \h </w:instrText>
        </w:r>
        <w:r>
          <w:rPr>
            <w:webHidden/>
          </w:rPr>
        </w:r>
        <w:r>
          <w:rPr>
            <w:webHidden/>
          </w:rPr>
          <w:fldChar w:fldCharType="separate"/>
        </w:r>
        <w:r>
          <w:rPr>
            <w:webHidden/>
          </w:rPr>
          <w:t>3</w:t>
        </w:r>
        <w:r>
          <w:rPr>
            <w:webHidden/>
          </w:rPr>
          <w:fldChar w:fldCharType="end"/>
        </w:r>
      </w:hyperlink>
    </w:p>
    <w:p w:rsidR="006F7865" w:rsidRDefault="006F7865">
      <w:pPr>
        <w:pStyle w:val="TOC1"/>
        <w:rPr>
          <w:rFonts w:asciiTheme="minorHAnsi" w:eastAsiaTheme="minorEastAsia" w:hAnsiTheme="minorHAnsi" w:cstheme="minorBidi"/>
          <w:b w:val="0"/>
          <w:bCs w:val="0"/>
          <w:caps w:val="0"/>
          <w:color w:val="auto"/>
          <w:kern w:val="0"/>
          <w:sz w:val="22"/>
          <w:szCs w:val="22"/>
          <w:lang w:eastAsia="en-AU"/>
        </w:rPr>
      </w:pPr>
      <w:hyperlink w:anchor="_Toc37151652" w:history="1">
        <w:r w:rsidRPr="001F2DE8">
          <w:rPr>
            <w:rStyle w:val="Hyperlink"/>
          </w:rPr>
          <w:t>Risk assessment tables</w:t>
        </w:r>
        <w:r>
          <w:rPr>
            <w:webHidden/>
          </w:rPr>
          <w:tab/>
        </w:r>
        <w:r>
          <w:rPr>
            <w:webHidden/>
          </w:rPr>
          <w:fldChar w:fldCharType="begin"/>
        </w:r>
        <w:r>
          <w:rPr>
            <w:webHidden/>
          </w:rPr>
          <w:instrText xml:space="preserve"> PAGEREF _Toc37151652 \h </w:instrText>
        </w:r>
        <w:r>
          <w:rPr>
            <w:webHidden/>
          </w:rPr>
        </w:r>
        <w:r>
          <w:rPr>
            <w:webHidden/>
          </w:rPr>
          <w:fldChar w:fldCharType="separate"/>
        </w:r>
        <w:r>
          <w:rPr>
            <w:webHidden/>
          </w:rPr>
          <w:t>3</w:t>
        </w:r>
        <w:r>
          <w:rPr>
            <w:webHidden/>
          </w:rPr>
          <w:fldChar w:fldCharType="end"/>
        </w:r>
      </w:hyperlink>
    </w:p>
    <w:p w:rsidR="006F7865" w:rsidRDefault="006F7865">
      <w:pPr>
        <w:pStyle w:val="TOC1"/>
        <w:rPr>
          <w:rFonts w:asciiTheme="minorHAnsi" w:eastAsiaTheme="minorEastAsia" w:hAnsiTheme="minorHAnsi" w:cstheme="minorBidi"/>
          <w:b w:val="0"/>
          <w:bCs w:val="0"/>
          <w:caps w:val="0"/>
          <w:color w:val="auto"/>
          <w:kern w:val="0"/>
          <w:sz w:val="22"/>
          <w:szCs w:val="22"/>
          <w:lang w:eastAsia="en-AU"/>
        </w:rPr>
      </w:pPr>
      <w:hyperlink w:anchor="_Toc37151653" w:history="1">
        <w:r w:rsidRPr="001F2DE8">
          <w:rPr>
            <w:rStyle w:val="Hyperlink"/>
          </w:rPr>
          <w:t>Risk mitigation and labelling</w:t>
        </w:r>
        <w:r>
          <w:rPr>
            <w:webHidden/>
          </w:rPr>
          <w:tab/>
        </w:r>
        <w:r>
          <w:rPr>
            <w:webHidden/>
          </w:rPr>
          <w:fldChar w:fldCharType="begin"/>
        </w:r>
        <w:r>
          <w:rPr>
            <w:webHidden/>
          </w:rPr>
          <w:instrText xml:space="preserve"> PAGEREF _Toc37151653 \h </w:instrText>
        </w:r>
        <w:r>
          <w:rPr>
            <w:webHidden/>
          </w:rPr>
        </w:r>
        <w:r>
          <w:rPr>
            <w:webHidden/>
          </w:rPr>
          <w:fldChar w:fldCharType="separate"/>
        </w:r>
        <w:r>
          <w:rPr>
            <w:webHidden/>
          </w:rPr>
          <w:t>5</w:t>
        </w:r>
        <w:r>
          <w:rPr>
            <w:webHidden/>
          </w:rPr>
          <w:fldChar w:fldCharType="end"/>
        </w:r>
      </w:hyperlink>
    </w:p>
    <w:p w:rsidR="006F7865" w:rsidRDefault="006F7865">
      <w:pPr>
        <w:pStyle w:val="TOC1"/>
        <w:rPr>
          <w:rFonts w:asciiTheme="minorHAnsi" w:eastAsiaTheme="minorEastAsia" w:hAnsiTheme="minorHAnsi" w:cstheme="minorBidi"/>
          <w:b w:val="0"/>
          <w:bCs w:val="0"/>
          <w:caps w:val="0"/>
          <w:color w:val="auto"/>
          <w:kern w:val="0"/>
          <w:sz w:val="22"/>
          <w:szCs w:val="22"/>
          <w:lang w:eastAsia="en-AU"/>
        </w:rPr>
      </w:pPr>
      <w:hyperlink w:anchor="_Toc37151654" w:history="1">
        <w:r w:rsidRPr="001F2DE8">
          <w:rPr>
            <w:rStyle w:val="Hyperlink"/>
          </w:rPr>
          <w:t>References</w:t>
        </w:r>
        <w:r>
          <w:rPr>
            <w:webHidden/>
          </w:rPr>
          <w:tab/>
        </w:r>
        <w:r>
          <w:rPr>
            <w:webHidden/>
          </w:rPr>
          <w:fldChar w:fldCharType="begin"/>
        </w:r>
        <w:r>
          <w:rPr>
            <w:webHidden/>
          </w:rPr>
          <w:instrText xml:space="preserve"> PAGEREF _Toc37151654 \h </w:instrText>
        </w:r>
        <w:r>
          <w:rPr>
            <w:webHidden/>
          </w:rPr>
        </w:r>
        <w:r>
          <w:rPr>
            <w:webHidden/>
          </w:rPr>
          <w:fldChar w:fldCharType="separate"/>
        </w:r>
        <w:r>
          <w:rPr>
            <w:webHidden/>
          </w:rPr>
          <w:t>6</w:t>
        </w:r>
        <w:r>
          <w:rPr>
            <w:webHidden/>
          </w:rPr>
          <w:fldChar w:fldCharType="end"/>
        </w:r>
      </w:hyperlink>
    </w:p>
    <w:p w:rsidR="002E20AC" w:rsidRDefault="005064D5">
      <w:pPr>
        <w:pStyle w:val="NormalText"/>
        <w:rPr>
          <w:noProof/>
        </w:rPr>
      </w:pPr>
      <w:r>
        <w:rPr>
          <w:rFonts w:ascii="Trebuchet MS" w:hAnsi="Trebuchet MS"/>
          <w:b/>
          <w:bCs/>
          <w:caps/>
          <w:noProof/>
          <w:color w:val="00747A" w:themeColor="background2"/>
          <w:szCs w:val="30"/>
        </w:rPr>
        <w:fldChar w:fldCharType="end"/>
      </w:r>
    </w:p>
    <w:p w:rsidR="006F7865" w:rsidRDefault="002E20AC" w:rsidP="00D23D6A">
      <w:pPr>
        <w:pStyle w:val="TOAHeading"/>
        <w:rPr>
          <w:noProof/>
        </w:rPr>
      </w:pPr>
      <w:r w:rsidRPr="00FB0015">
        <w:rPr>
          <w:noProof/>
        </w:rPr>
        <w:t>List of tables</w:t>
      </w:r>
      <w:bookmarkStart w:id="1" w:name="_GoBack"/>
      <w:bookmarkEnd w:id="1"/>
      <w:r>
        <w:rPr>
          <w:noProof/>
          <w:color w:val="00747A" w:themeColor="background2"/>
        </w:rPr>
        <w:fldChar w:fldCharType="begin"/>
      </w:r>
      <w:r>
        <w:rPr>
          <w:noProof/>
        </w:rPr>
        <w:instrText xml:space="preserve"> TOC \c "Table" </w:instrText>
      </w:r>
      <w:r>
        <w:rPr>
          <w:noProof/>
          <w:color w:val="00747A" w:themeColor="background2"/>
        </w:rPr>
        <w:fldChar w:fldCharType="separate"/>
      </w:r>
    </w:p>
    <w:p w:rsidR="006F7865" w:rsidRDefault="006F7865">
      <w:pPr>
        <w:pStyle w:val="TableofFigures"/>
        <w:rPr>
          <w:rFonts w:asciiTheme="minorHAnsi" w:eastAsiaTheme="minorEastAsia" w:hAnsiTheme="minorHAnsi" w:cstheme="minorBidi"/>
          <w:sz w:val="22"/>
          <w:szCs w:val="22"/>
          <w:lang w:eastAsia="en-AU"/>
        </w:rPr>
      </w:pPr>
      <w:r>
        <w:t>Table B1:</w:t>
      </w:r>
      <w:r>
        <w:rPr>
          <w:rFonts w:asciiTheme="minorHAnsi" w:eastAsiaTheme="minorEastAsia" w:hAnsiTheme="minorHAnsi" w:cstheme="minorBidi"/>
          <w:sz w:val="22"/>
          <w:szCs w:val="22"/>
          <w:lang w:eastAsia="en-AU"/>
        </w:rPr>
        <w:tab/>
      </w:r>
      <w:r>
        <w:t>Regulatory acceptable concentrations for aquatic species</w:t>
      </w:r>
      <w:r>
        <w:tab/>
      </w:r>
      <w:r>
        <w:fldChar w:fldCharType="begin"/>
      </w:r>
      <w:r>
        <w:instrText xml:space="preserve"> PAGEREF _Toc37151377 \h </w:instrText>
      </w:r>
      <w:r>
        <w:fldChar w:fldCharType="separate"/>
      </w:r>
      <w:r>
        <w:t>6</w:t>
      </w:r>
      <w:r>
        <w:fldChar w:fldCharType="end"/>
      </w:r>
    </w:p>
    <w:p w:rsidR="006F7865" w:rsidRDefault="006F7865">
      <w:pPr>
        <w:pStyle w:val="TableofFigures"/>
        <w:rPr>
          <w:rFonts w:asciiTheme="minorHAnsi" w:eastAsiaTheme="minorEastAsia" w:hAnsiTheme="minorHAnsi" w:cstheme="minorBidi"/>
          <w:sz w:val="22"/>
          <w:szCs w:val="22"/>
          <w:lang w:eastAsia="en-AU"/>
        </w:rPr>
      </w:pPr>
      <w:r>
        <w:t>Table B2:</w:t>
      </w:r>
      <w:r>
        <w:rPr>
          <w:rFonts w:asciiTheme="minorHAnsi" w:eastAsiaTheme="minorEastAsia" w:hAnsiTheme="minorHAnsi" w:cstheme="minorBidi"/>
          <w:sz w:val="22"/>
          <w:szCs w:val="22"/>
          <w:lang w:eastAsia="en-AU"/>
        </w:rPr>
        <w:tab/>
      </w:r>
      <w:r>
        <w:t>Screening level assessment of risks to aquatic species</w:t>
      </w:r>
      <w:r>
        <w:tab/>
      </w:r>
      <w:r>
        <w:fldChar w:fldCharType="begin"/>
      </w:r>
      <w:r>
        <w:instrText xml:space="preserve"> PAGEREF _Toc37151378 \h </w:instrText>
      </w:r>
      <w:r>
        <w:fldChar w:fldCharType="separate"/>
      </w:r>
      <w:r>
        <w:t>7</w:t>
      </w:r>
      <w:r>
        <w:fldChar w:fldCharType="end"/>
      </w:r>
    </w:p>
    <w:p w:rsidR="006F7865" w:rsidRDefault="006F7865">
      <w:pPr>
        <w:pStyle w:val="TableofFigures"/>
        <w:rPr>
          <w:rFonts w:asciiTheme="minorHAnsi" w:eastAsiaTheme="minorEastAsia" w:hAnsiTheme="minorHAnsi" w:cstheme="minorBidi"/>
          <w:sz w:val="22"/>
          <w:szCs w:val="22"/>
          <w:lang w:eastAsia="en-AU"/>
        </w:rPr>
      </w:pPr>
      <w:r>
        <w:t>Table B3:</w:t>
      </w:r>
      <w:r>
        <w:rPr>
          <w:rFonts w:asciiTheme="minorHAnsi" w:eastAsiaTheme="minorEastAsia" w:hAnsiTheme="minorHAnsi" w:cstheme="minorBidi"/>
          <w:sz w:val="22"/>
          <w:szCs w:val="22"/>
          <w:lang w:eastAsia="en-AU"/>
        </w:rPr>
        <w:tab/>
      </w:r>
      <w:r>
        <w:t>Assessment of runoff risks to aquatic species—Tier 1 (screening level)</w:t>
      </w:r>
      <w:r>
        <w:tab/>
      </w:r>
      <w:r>
        <w:fldChar w:fldCharType="begin"/>
      </w:r>
      <w:r>
        <w:instrText xml:space="preserve"> PAGEREF _Toc37151379 \h </w:instrText>
      </w:r>
      <w:r>
        <w:fldChar w:fldCharType="separate"/>
      </w:r>
      <w:r>
        <w:t>7</w:t>
      </w:r>
      <w:r>
        <w:fldChar w:fldCharType="end"/>
      </w:r>
    </w:p>
    <w:p w:rsidR="002A3239" w:rsidRDefault="002E20AC" w:rsidP="006F7865">
      <w:pPr>
        <w:pStyle w:val="NormalText"/>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rFonts w:ascii="Trebuchet MS" w:hAnsi="Trebuchet MS"/>
          <w:b/>
          <w:bCs/>
          <w:caps/>
          <w:noProof/>
          <w:color w:val="365860"/>
          <w:sz w:val="32"/>
          <w:szCs w:val="20"/>
        </w:rPr>
        <w:fldChar w:fldCharType="end"/>
      </w:r>
    </w:p>
    <w:p w:rsidR="002E20AC" w:rsidRDefault="006F7865" w:rsidP="006F7865">
      <w:pPr>
        <w:pStyle w:val="Heading1"/>
        <w:numPr>
          <w:ilvl w:val="0"/>
          <w:numId w:val="0"/>
        </w:numPr>
        <w:ind w:left="680" w:hanging="680"/>
      </w:pPr>
      <w:bookmarkStart w:id="2" w:name="_Toc37151640"/>
      <w:r>
        <w:t>Introduction</w:t>
      </w:r>
      <w:bookmarkEnd w:id="2"/>
    </w:p>
    <w:p w:rsidR="006F7865" w:rsidRDefault="006F7865" w:rsidP="006F7865">
      <w:pPr>
        <w:pStyle w:val="NormalText"/>
        <w:spacing w:after="500"/>
      </w:pPr>
      <w:bookmarkStart w:id="3" w:name="_Toc414373835"/>
      <w:r w:rsidRPr="006F7865">
        <w:t>The general protection goal is to protect biodiversity and ecosystems. The protection goal for aquatic species aims to protect aquatic plants and animals at the population level in surface water, and aquatic vertebrates at the individual level so that mortality and suffering due to acute toxicity is avoided.</w:t>
      </w:r>
    </w:p>
    <w:p w:rsidR="006F7865" w:rsidRDefault="006F7865" w:rsidP="006F7865">
      <w:pPr>
        <w:pStyle w:val="Heading1"/>
        <w:numPr>
          <w:ilvl w:val="0"/>
          <w:numId w:val="0"/>
        </w:numPr>
        <w:ind w:left="680" w:hanging="680"/>
      </w:pPr>
      <w:bookmarkStart w:id="4" w:name="_Toc37151641"/>
      <w:r>
        <w:t>Uses that don’t require assessment</w:t>
      </w:r>
      <w:bookmarkEnd w:id="4"/>
    </w:p>
    <w:p w:rsidR="006F7865" w:rsidRPr="0083597D" w:rsidRDefault="006F7865" w:rsidP="006F7865">
      <w:pPr>
        <w:pStyle w:val="NormalText"/>
        <w:spacing w:after="500"/>
      </w:pPr>
      <w:r w:rsidRPr="0083597D">
        <w:t>If the product is used exclusively indoors (including glasshouses) and cannot reach</w:t>
      </w:r>
      <w:r>
        <w:t xml:space="preserve"> surface by an indirect route (e</w:t>
      </w:r>
      <w:r w:rsidRPr="0083597D">
        <w:t>g vegetable washings), then it is assumed aquatic organisms will not be exposed and assessment is not required.</w:t>
      </w:r>
      <w:r>
        <w:t xml:space="preserve"> Veterinary medicine products that stop in the VICH phase I level of assessment do not require an assessment of risks to aquatic species.</w:t>
      </w:r>
    </w:p>
    <w:p w:rsidR="006F7865" w:rsidRDefault="006F7865" w:rsidP="006F7865">
      <w:pPr>
        <w:pStyle w:val="Heading1"/>
        <w:numPr>
          <w:ilvl w:val="0"/>
          <w:numId w:val="0"/>
        </w:numPr>
        <w:ind w:left="680" w:hanging="680"/>
      </w:pPr>
      <w:bookmarkStart w:id="5" w:name="_Toc37151642"/>
      <w:r>
        <w:t>Toxicity data</w:t>
      </w:r>
      <w:bookmarkEnd w:id="5"/>
    </w:p>
    <w:p w:rsidR="006F7865" w:rsidRPr="006F7865" w:rsidRDefault="006F7865" w:rsidP="006F7865">
      <w:pPr>
        <w:pStyle w:val="NormalText"/>
      </w:pPr>
      <w:r w:rsidRPr="006F7865">
        <w:t>Core data requirements:</w:t>
      </w:r>
    </w:p>
    <w:p w:rsidR="006F7865" w:rsidRPr="00FC7641" w:rsidRDefault="006F7865" w:rsidP="006F7865">
      <w:pPr>
        <w:pStyle w:val="Bullet1"/>
        <w:numPr>
          <w:ilvl w:val="0"/>
          <w:numId w:val="3"/>
        </w:numPr>
        <w:rPr>
          <w:lang w:eastAsia="en-AU"/>
        </w:rPr>
      </w:pPr>
      <w:r>
        <w:rPr>
          <w:lang w:eastAsia="en-AU"/>
        </w:rPr>
        <w:t>OECD guideline 203: Fish a</w:t>
      </w:r>
      <w:r w:rsidRPr="00FC7641">
        <w:rPr>
          <w:lang w:eastAsia="en-AU"/>
        </w:rPr>
        <w:t>cute LC</w:t>
      </w:r>
      <w:r w:rsidRPr="00FC7641">
        <w:rPr>
          <w:vertAlign w:val="subscript"/>
          <w:lang w:eastAsia="en-AU"/>
        </w:rPr>
        <w:t>50</w:t>
      </w:r>
      <w:r>
        <w:rPr>
          <w:vertAlign w:val="subscript"/>
          <w:lang w:eastAsia="en-AU"/>
        </w:rPr>
        <w:t xml:space="preserve"> </w:t>
      </w:r>
    </w:p>
    <w:p w:rsidR="006F7865" w:rsidRPr="00FC7641" w:rsidRDefault="006F7865" w:rsidP="006F7865">
      <w:pPr>
        <w:pStyle w:val="Bullet1"/>
        <w:numPr>
          <w:ilvl w:val="0"/>
          <w:numId w:val="3"/>
        </w:numPr>
        <w:rPr>
          <w:lang w:eastAsia="en-AU"/>
        </w:rPr>
      </w:pPr>
      <w:r>
        <w:rPr>
          <w:lang w:eastAsia="en-AU"/>
        </w:rPr>
        <w:t>OECD guideline 210: Fish chronic NOEC or EC</w:t>
      </w:r>
      <w:r w:rsidRPr="006F4ACE">
        <w:rPr>
          <w:vertAlign w:val="subscript"/>
          <w:lang w:eastAsia="en-AU"/>
        </w:rPr>
        <w:t>10</w:t>
      </w:r>
      <w:r>
        <w:rPr>
          <w:lang w:eastAsia="en-AU"/>
        </w:rPr>
        <w:t xml:space="preserve"> </w:t>
      </w:r>
    </w:p>
    <w:p w:rsidR="006F7865" w:rsidRPr="00FC7641" w:rsidRDefault="006F7865" w:rsidP="006F7865">
      <w:pPr>
        <w:pStyle w:val="Bullet1"/>
        <w:numPr>
          <w:ilvl w:val="0"/>
          <w:numId w:val="3"/>
        </w:numPr>
        <w:rPr>
          <w:lang w:eastAsia="en-AU"/>
        </w:rPr>
      </w:pPr>
      <w:r>
        <w:rPr>
          <w:lang w:eastAsia="en-AU"/>
        </w:rPr>
        <w:t>OECD guideline 202: Invertebrate a</w:t>
      </w:r>
      <w:r w:rsidRPr="00FC7641">
        <w:rPr>
          <w:lang w:eastAsia="en-AU"/>
        </w:rPr>
        <w:t>cute EC</w:t>
      </w:r>
      <w:r w:rsidRPr="00FC7641">
        <w:rPr>
          <w:vertAlign w:val="subscript"/>
          <w:lang w:eastAsia="en-AU"/>
        </w:rPr>
        <w:t>50</w:t>
      </w:r>
      <w:r>
        <w:rPr>
          <w:vertAlign w:val="subscript"/>
          <w:lang w:eastAsia="en-AU"/>
        </w:rPr>
        <w:t xml:space="preserve"> </w:t>
      </w:r>
    </w:p>
    <w:p w:rsidR="006F7865" w:rsidRPr="00FC7641" w:rsidRDefault="006F7865" w:rsidP="006F7865">
      <w:pPr>
        <w:pStyle w:val="Bullet1"/>
        <w:numPr>
          <w:ilvl w:val="0"/>
          <w:numId w:val="3"/>
        </w:numPr>
        <w:rPr>
          <w:lang w:eastAsia="en-AU"/>
        </w:rPr>
      </w:pPr>
      <w:r>
        <w:rPr>
          <w:lang w:eastAsia="en-AU"/>
        </w:rPr>
        <w:t>OECD guideline 211: Invertebrate chronic NOEC or EC</w:t>
      </w:r>
      <w:r w:rsidRPr="006F4ACE">
        <w:rPr>
          <w:vertAlign w:val="subscript"/>
          <w:lang w:eastAsia="en-AU"/>
        </w:rPr>
        <w:t>10</w:t>
      </w:r>
    </w:p>
    <w:p w:rsidR="006F7865" w:rsidRPr="00FC7641" w:rsidRDefault="006F7865" w:rsidP="006F7865">
      <w:pPr>
        <w:pStyle w:val="Bullet1"/>
        <w:numPr>
          <w:ilvl w:val="0"/>
          <w:numId w:val="3"/>
        </w:numPr>
        <w:rPr>
          <w:lang w:eastAsia="en-AU"/>
        </w:rPr>
      </w:pPr>
      <w:r>
        <w:rPr>
          <w:lang w:eastAsia="en-AU"/>
        </w:rPr>
        <w:t>OECD guideline 201: Alga c</w:t>
      </w:r>
      <w:r w:rsidRPr="00FC7641">
        <w:rPr>
          <w:lang w:eastAsia="en-AU"/>
        </w:rPr>
        <w:t>hronic E</w:t>
      </w:r>
      <w:r w:rsidRPr="00FC7641">
        <w:rPr>
          <w:vertAlign w:val="subscript"/>
          <w:lang w:eastAsia="en-AU"/>
        </w:rPr>
        <w:t>r</w:t>
      </w:r>
      <w:r w:rsidRPr="00FC7641">
        <w:rPr>
          <w:lang w:eastAsia="en-AU"/>
        </w:rPr>
        <w:t>C</w:t>
      </w:r>
      <w:r w:rsidRPr="00FC7641">
        <w:rPr>
          <w:vertAlign w:val="subscript"/>
          <w:lang w:eastAsia="en-AU"/>
        </w:rPr>
        <w:t>50</w:t>
      </w:r>
    </w:p>
    <w:p w:rsidR="006F7865" w:rsidRPr="00FC7641" w:rsidRDefault="006F7865" w:rsidP="006F7865">
      <w:pPr>
        <w:pStyle w:val="Bullet1"/>
        <w:numPr>
          <w:ilvl w:val="0"/>
          <w:numId w:val="3"/>
        </w:numPr>
        <w:rPr>
          <w:lang w:eastAsia="en-AU"/>
        </w:rPr>
      </w:pPr>
      <w:r>
        <w:rPr>
          <w:lang w:eastAsia="en-AU"/>
        </w:rPr>
        <w:t>OECD guideline 221: Macrophyte c</w:t>
      </w:r>
      <w:r w:rsidRPr="00FC7641">
        <w:rPr>
          <w:lang w:eastAsia="en-AU"/>
        </w:rPr>
        <w:t>hronic EC</w:t>
      </w:r>
      <w:r w:rsidRPr="00FC7641">
        <w:rPr>
          <w:vertAlign w:val="subscript"/>
          <w:lang w:eastAsia="en-AU"/>
        </w:rPr>
        <w:t>50</w:t>
      </w:r>
      <w:r w:rsidRPr="00FC7641">
        <w:rPr>
          <w:lang w:eastAsia="en-AU"/>
        </w:rPr>
        <w:t xml:space="preserve"> </w:t>
      </w:r>
    </w:p>
    <w:p w:rsidR="006F7865" w:rsidRDefault="006F7865" w:rsidP="006F7865">
      <w:pPr>
        <w:pStyle w:val="Heading2"/>
        <w:numPr>
          <w:ilvl w:val="0"/>
          <w:numId w:val="0"/>
        </w:numPr>
        <w:ind w:left="680" w:hanging="680"/>
      </w:pPr>
      <w:bookmarkStart w:id="6" w:name="_Toc37151643"/>
      <w:bookmarkEnd w:id="3"/>
      <w:r>
        <w:t>Insecticides and insect growth regulators</w:t>
      </w:r>
      <w:bookmarkEnd w:id="6"/>
    </w:p>
    <w:p w:rsidR="006F7865" w:rsidRPr="006F7865" w:rsidRDefault="006F7865" w:rsidP="006F7865">
      <w:pPr>
        <w:pStyle w:val="NormalText"/>
      </w:pPr>
      <w:r w:rsidRPr="006F7865">
        <w:t xml:space="preserve">Data on an additional arthropod species are required for active constituents with an insecticidal mode of action </w:t>
      </w:r>
      <w:r>
        <w:t>(eg</w:t>
      </w:r>
      <w:r w:rsidRPr="006F7865">
        <w:t xml:space="preserve"> OECD guideline 235 or OCSPP 850.1035). </w:t>
      </w:r>
      <w:r w:rsidRPr="006F7865">
        <w:rPr>
          <w:i/>
        </w:rPr>
        <w:t xml:space="preserve">Chironomus </w:t>
      </w:r>
      <w:r w:rsidRPr="006F7865">
        <w:t>species are preferred for insect growth regulators. If Daphnia is an order of magnitude more sensitive than algae or fish, then a second arthropod species is also required since this might also indicate insecticidal activity.</w:t>
      </w:r>
    </w:p>
    <w:p w:rsidR="006F7865" w:rsidRDefault="006F7865" w:rsidP="006F7865">
      <w:pPr>
        <w:pStyle w:val="Heading2"/>
        <w:numPr>
          <w:ilvl w:val="0"/>
          <w:numId w:val="0"/>
        </w:numPr>
        <w:ind w:left="680" w:hanging="680"/>
      </w:pPr>
      <w:bookmarkStart w:id="7" w:name="_Toc37151644"/>
      <w:r>
        <w:t>Herbicides and plant growth regulators</w:t>
      </w:r>
      <w:bookmarkEnd w:id="7"/>
    </w:p>
    <w:p w:rsidR="006F7865" w:rsidRDefault="006F7865" w:rsidP="006F7865">
      <w:pPr>
        <w:pStyle w:val="NormalText"/>
      </w:pPr>
      <w:r w:rsidRPr="006F7865">
        <w:t xml:space="preserve">Data on an additional algal species are required for active constituents with a herbicidal mode of action or plant growth regulators (OECD guideline 201). If </w:t>
      </w:r>
      <w:r w:rsidRPr="006F7865">
        <w:rPr>
          <w:i/>
        </w:rPr>
        <w:t>Lemna</w:t>
      </w:r>
      <w:r w:rsidRPr="006F7865">
        <w:t xml:space="preserve"> is not sensitive or there is expected intake by the roots of submerged macrophytes, then data on an additional macrophyte species are required for herbicides and plant growth regulators (OECD guideline 229, 238 or 239).</w:t>
      </w:r>
    </w:p>
    <w:p w:rsidR="006F7865" w:rsidRPr="006F7865" w:rsidRDefault="006F7865" w:rsidP="006F7865">
      <w:pPr>
        <w:pStyle w:val="Heading2"/>
        <w:numPr>
          <w:ilvl w:val="0"/>
          <w:numId w:val="0"/>
        </w:numPr>
        <w:ind w:left="680" w:hanging="680"/>
      </w:pPr>
      <w:bookmarkStart w:id="8" w:name="_Toc37151645"/>
      <w:r>
        <w:t>Endocrine active substances</w:t>
      </w:r>
      <w:bookmarkEnd w:id="8"/>
    </w:p>
    <w:p w:rsidR="006F7865" w:rsidRDefault="006F7865" w:rsidP="006F7865">
      <w:pPr>
        <w:pStyle w:val="NormalText"/>
      </w:pPr>
      <w:r w:rsidRPr="006F7865">
        <w:t>For active constituents that are identified as an endocrine active substances where the mode of action may be expected to impact fish sexual development and/or reproduction, fish development and/or reproduction assays are required (OECD guideline 230 or 234). Should the active constituent exhibit endocrine activity in any of these tests, then the fish full life cycle toxicity t</w:t>
      </w:r>
      <w:r>
        <w:t>est is required (OECD guideline</w:t>
      </w:r>
      <w:r w:rsidRPr="006F7865">
        <w:t>)</w:t>
      </w:r>
      <w:r>
        <w:t>.</w:t>
      </w:r>
    </w:p>
    <w:p w:rsidR="006F7865" w:rsidRDefault="006F7865" w:rsidP="006F7865">
      <w:pPr>
        <w:pStyle w:val="Heading2"/>
        <w:numPr>
          <w:ilvl w:val="0"/>
          <w:numId w:val="0"/>
        </w:numPr>
        <w:ind w:left="680" w:hanging="680"/>
      </w:pPr>
      <w:bookmarkStart w:id="9" w:name="_Toc37151646"/>
      <w:r>
        <w:t>Sediment dwelling species</w:t>
      </w:r>
      <w:bookmarkEnd w:id="9"/>
    </w:p>
    <w:p w:rsidR="006F7865" w:rsidRDefault="006F7865" w:rsidP="006F7865">
      <w:pPr>
        <w:pStyle w:val="NormalText"/>
      </w:pPr>
      <w:r w:rsidRPr="006F7865">
        <w:t>Data on sediment dwelling species are required if accumulation of the active constituent in sediment is indicated or is</w:t>
      </w:r>
      <w:r>
        <w:t xml:space="preserve"> predicted from fate studies (i</w:t>
      </w:r>
      <w:r w:rsidRPr="006F7865">
        <w:t xml:space="preserve">e if the </w:t>
      </w:r>
      <w:r>
        <w:t>water/sediment study showed &gt;10 per cent</w:t>
      </w:r>
      <w:r w:rsidRPr="006F7865">
        <w:t xml:space="preserve"> of applied radioactivity in the sediment on day 14 or onwards) and the chronic NOEC or EC</w:t>
      </w:r>
      <w:r w:rsidRPr="006F7865">
        <w:rPr>
          <w:vertAlign w:val="subscript"/>
        </w:rPr>
        <w:t>10</w:t>
      </w:r>
      <w:r w:rsidRPr="006F7865">
        <w:t xml:space="preserve"> for </w:t>
      </w:r>
      <w:r w:rsidRPr="006F7865">
        <w:rPr>
          <w:i/>
        </w:rPr>
        <w:t>Daphnia</w:t>
      </w:r>
      <w:r w:rsidRPr="006F7865">
        <w:t xml:space="preserve"> is &lt;0.1 mg/L. </w:t>
      </w:r>
      <w:r w:rsidRPr="006F7865">
        <w:rPr>
          <w:i/>
        </w:rPr>
        <w:t xml:space="preserve">Chironomus </w:t>
      </w:r>
      <w:r w:rsidRPr="006F7865">
        <w:t xml:space="preserve">is recommended for insecticides and </w:t>
      </w:r>
      <w:r w:rsidRPr="006F7865">
        <w:rPr>
          <w:i/>
        </w:rPr>
        <w:t>Lumbriculus</w:t>
      </w:r>
      <w:r w:rsidRPr="006F7865">
        <w:t xml:space="preserve"> is recommended for fungicides (OECD guideline 218, 219, 233 or 225).</w:t>
      </w:r>
    </w:p>
    <w:p w:rsidR="006F7865" w:rsidRPr="006F7865" w:rsidRDefault="006F7865" w:rsidP="006F7865">
      <w:pPr>
        <w:pStyle w:val="Heading2"/>
        <w:numPr>
          <w:ilvl w:val="0"/>
          <w:numId w:val="0"/>
        </w:numPr>
        <w:ind w:left="680" w:hanging="680"/>
      </w:pPr>
      <w:bookmarkStart w:id="10" w:name="_Toc37151647"/>
      <w:r>
        <w:t>Fish bioconcentration study</w:t>
      </w:r>
      <w:bookmarkEnd w:id="10"/>
    </w:p>
    <w:p w:rsidR="006F7865" w:rsidRPr="006F7865" w:rsidRDefault="006F7865" w:rsidP="006F7865">
      <w:pPr>
        <w:pStyle w:val="NormalText"/>
        <w:spacing w:after="500"/>
      </w:pPr>
      <w:r w:rsidRPr="006F7865">
        <w:t>A log K</w:t>
      </w:r>
      <w:r w:rsidRPr="006F7865">
        <w:rPr>
          <w:vertAlign w:val="subscript"/>
        </w:rPr>
        <w:t>ow</w:t>
      </w:r>
      <w:r w:rsidRPr="006F7865">
        <w:t xml:space="preserve"> &gt; 3 is used as a general trigger to require a fish bioconcentration study according to OECD 305. Where it can be justified that exposure leading to bioconcentration is not likely to occur, a study is not necessary. Where bioconcentration is not expected because a substance is not stable in water, the study is not required. Where the DT</w:t>
      </w:r>
      <w:r w:rsidRPr="006F7865">
        <w:rPr>
          <w:vertAlign w:val="subscript"/>
        </w:rPr>
        <w:t>90</w:t>
      </w:r>
      <w:r w:rsidRPr="006F7865">
        <w:t xml:space="preserve"> in the whole system is &lt;10 days (as determined in a water-sediment study), a fish bioconcentration study is not necessary, unless the proposed use of the active substance includes multiple applications at intervals short enough to result in significant long-term exposure.</w:t>
      </w:r>
    </w:p>
    <w:p w:rsidR="006F7865" w:rsidRPr="006F7865" w:rsidRDefault="006F7865" w:rsidP="006F7865">
      <w:pPr>
        <w:pStyle w:val="Heading1"/>
        <w:numPr>
          <w:ilvl w:val="0"/>
          <w:numId w:val="0"/>
        </w:numPr>
        <w:ind w:left="680" w:hanging="680"/>
      </w:pPr>
      <w:bookmarkStart w:id="11" w:name="_Toc37151648"/>
      <w:r>
        <w:t>Risk assessment</w:t>
      </w:r>
      <w:bookmarkEnd w:id="11"/>
    </w:p>
    <w:p w:rsidR="006F7865" w:rsidRDefault="006F7865" w:rsidP="006F7865">
      <w:pPr>
        <w:pStyle w:val="NormalText"/>
      </w:pPr>
      <w:r w:rsidRPr="00E12249">
        <w:t>The major potential routes of exposure of aquatic species are considered to be spray drift or runoff from the treatment area. The acute and chronic risks to aquatic species are assessed using a tiered approach. Although the product is not applied to water, a screening level risk assessment assumes the worst-case scenario of a direct overspray of shallow aquatic habitat in order to identify those substances and associated uses that do not pose a risk to aquatic species. A regulatory acceptable concentration (RAC) for acute and chronic exposure scenarios is first calculated as indicated in Table B1.</w:t>
      </w:r>
    </w:p>
    <w:p w:rsidR="006F7865" w:rsidRDefault="006F7865" w:rsidP="006F7865">
      <w:pPr>
        <w:pStyle w:val="Heading2"/>
        <w:numPr>
          <w:ilvl w:val="0"/>
          <w:numId w:val="0"/>
        </w:numPr>
        <w:ind w:left="680" w:hanging="680"/>
      </w:pPr>
      <w:bookmarkStart w:id="12" w:name="_Toc37151649"/>
      <w:r>
        <w:t>Screening level assessment</w:t>
      </w:r>
      <w:bookmarkEnd w:id="12"/>
    </w:p>
    <w:p w:rsidR="006F7865" w:rsidRDefault="006F7865" w:rsidP="006F7865">
      <w:pPr>
        <w:pStyle w:val="NormalText"/>
      </w:pPr>
      <w:r w:rsidRPr="001B3308">
        <w:t xml:space="preserve">A </w:t>
      </w:r>
      <w:r w:rsidRPr="003E14E0">
        <w:t>screening level assessment</w:t>
      </w:r>
      <w:r>
        <w:t xml:space="preserve"> is undertaken considering direct application to </w:t>
      </w:r>
      <w:r w:rsidRPr="003E14E0">
        <w:t>a 3 m wide × 15 cm deep body of water</w:t>
      </w:r>
      <w:r>
        <w:t xml:space="preserve"> (Table B2). When acceptable risks cannot be concluded at the screening level, spray drift and runoff risk assessments are conducted.</w:t>
      </w:r>
    </w:p>
    <w:p w:rsidR="006F7865" w:rsidRDefault="006F7865" w:rsidP="006F7865">
      <w:pPr>
        <w:pStyle w:val="Heading2"/>
        <w:numPr>
          <w:ilvl w:val="0"/>
          <w:numId w:val="0"/>
        </w:numPr>
        <w:ind w:left="680" w:hanging="680"/>
      </w:pPr>
      <w:bookmarkStart w:id="13" w:name="_Toc37151650"/>
      <w:r>
        <w:t>Spray drift assessment</w:t>
      </w:r>
      <w:bookmarkEnd w:id="13"/>
    </w:p>
    <w:p w:rsidR="006F7865" w:rsidRDefault="006F7865" w:rsidP="006F7865">
      <w:pPr>
        <w:pStyle w:val="NormalText"/>
      </w:pPr>
      <w:r>
        <w:t>A</w:t>
      </w:r>
      <w:r w:rsidRPr="007C7BAB">
        <w:t xml:space="preserve"> spray drift risk assessment is conducted on the lowest RAC when acceptable risks cannot be determined at the screening level. Please refer to APVMA </w:t>
      </w:r>
      <w:hyperlink r:id="rId21" w:history="1">
        <w:r w:rsidRPr="006F7865">
          <w:rPr>
            <w:rStyle w:val="Hyperlink"/>
          </w:rPr>
          <w:t>spray drift policy</w:t>
        </w:r>
      </w:hyperlink>
      <w:r w:rsidRPr="007C7BAB">
        <w:t xml:space="preserve"> for details.</w:t>
      </w:r>
    </w:p>
    <w:p w:rsidR="006F7865" w:rsidRDefault="006F7865" w:rsidP="006F7865">
      <w:pPr>
        <w:pStyle w:val="Heading2"/>
        <w:numPr>
          <w:ilvl w:val="0"/>
          <w:numId w:val="0"/>
        </w:numPr>
        <w:ind w:left="680" w:hanging="680"/>
      </w:pPr>
      <w:bookmarkStart w:id="14" w:name="_Toc37151651"/>
      <w:r>
        <w:t>Runoff assessment</w:t>
      </w:r>
      <w:bookmarkEnd w:id="14"/>
    </w:p>
    <w:p w:rsidR="006F7865" w:rsidRPr="006F7865" w:rsidRDefault="006F7865" w:rsidP="006F7865">
      <w:pPr>
        <w:pStyle w:val="NormalText"/>
      </w:pPr>
      <w:bookmarkStart w:id="15" w:name="_Toc414373836"/>
      <w:r w:rsidRPr="006F7865">
        <w:t>A runoff risk assessment is conducted on the lowest RAC when acceptable risks cannot be determined at the screening level. Please refer to Attachments B1 and B2 for details on the methodology.</w:t>
      </w:r>
    </w:p>
    <w:p w:rsidR="006F7865" w:rsidRPr="000F7D96" w:rsidRDefault="006F7865" w:rsidP="006F7865">
      <w:pPr>
        <w:pStyle w:val="Bullet1"/>
      </w:pPr>
      <w:r w:rsidRPr="000F7D96">
        <w:t xml:space="preserve">Tier 1 (screening level): </w:t>
      </w:r>
      <w:r>
        <w:t>This is a w</w:t>
      </w:r>
      <w:r w:rsidRPr="000F7D96">
        <w:t>orst-case asses</w:t>
      </w:r>
      <w:r>
        <w:t>sment where slope is fixed at 8 per cent</w:t>
      </w:r>
      <w:r w:rsidRPr="000F7D96">
        <w:t>, which</w:t>
      </w:r>
      <w:r>
        <w:t xml:space="preserve"> is considered protective of 95 per cent</w:t>
      </w:r>
      <w:r w:rsidRPr="000F7D96">
        <w:t xml:space="preserve"> of agricultural activities in Australia. The rainfall value is set at 8 mm, which results in the maximum receiving water concentration using the standard water body of 1 ha and 15 cm initial depth when the clay dominated Queensland soil profile is used; the catchment is 10 ha. Further, for this worst-case scenario, a fallow/bare s</w:t>
      </w:r>
      <w:r>
        <w:t>oil runoff profile is assessed.</w:t>
      </w:r>
    </w:p>
    <w:p w:rsidR="006F7865" w:rsidRPr="000F7D96" w:rsidRDefault="006F7865" w:rsidP="006F7865">
      <w:pPr>
        <w:pStyle w:val="Bullet1"/>
      </w:pPr>
      <w:r w:rsidRPr="000F7D96">
        <w:t xml:space="preserve">Tier 2 (state-specific): State-based soil profiles are considered such that composite runoff curves </w:t>
      </w:r>
      <w:r>
        <w:t>were</w:t>
      </w:r>
      <w:r w:rsidRPr="000F7D96">
        <w:t xml:space="preserve"> developed </w:t>
      </w:r>
      <w:r>
        <w:t>for each</w:t>
      </w:r>
      <w:r w:rsidRPr="000F7D96">
        <w:t xml:space="preserve"> state. Further, slopes in the growing regions are considered. This level of assessment maintains the standard water body (1 ha, 15 cm initial depth) and rainfall values are established as those that will result in the peak water concentration based on t</w:t>
      </w:r>
      <w:r>
        <w:t>he runoff curve for each state.</w:t>
      </w:r>
    </w:p>
    <w:p w:rsidR="006F7865" w:rsidRDefault="006F7865" w:rsidP="006F7865">
      <w:pPr>
        <w:pStyle w:val="Bullet1"/>
      </w:pPr>
      <w:r w:rsidRPr="000F7D96">
        <w:t>Tier 3 (in-stream analysis): Appropriate rainfall values are applied based on stream flow percentiles being assessed. The assessment is performed on both a spatial and temporal scale. Further,</w:t>
      </w:r>
      <w:r>
        <w:t xml:space="preserve"> the assessment assumes that 20 per cent</w:t>
      </w:r>
      <w:r w:rsidRPr="000F7D96">
        <w:t xml:space="preserve"> of the catchment is treated at the same time and all the treated area contributes to runoff. Consequently, the mean slope values are applied. </w:t>
      </w:r>
      <w:r>
        <w:t>Acceptable risks can be concluded if</w:t>
      </w:r>
      <w:r w:rsidRPr="000F7D96">
        <w:t xml:space="preserve"> biodiversity is predicted to be protected in </w:t>
      </w:r>
      <w:r>
        <w:t>&gt;</w:t>
      </w:r>
      <w:r w:rsidRPr="000F7D96">
        <w:t>90</w:t>
      </w:r>
      <w:r>
        <w:t xml:space="preserve"> per cent</w:t>
      </w:r>
      <w:r w:rsidRPr="000F7D96">
        <w:t xml:space="preserve"> of receiving waters</w:t>
      </w:r>
      <w:r>
        <w:t xml:space="preserve"> in the region</w:t>
      </w:r>
      <w:r w:rsidRPr="000F7D96">
        <w:t>.</w:t>
      </w:r>
    </w:p>
    <w:p w:rsidR="006F7865" w:rsidRPr="000F7D96" w:rsidRDefault="006F7865" w:rsidP="006F7865">
      <w:pPr>
        <w:pStyle w:val="Heading1"/>
        <w:numPr>
          <w:ilvl w:val="0"/>
          <w:numId w:val="0"/>
        </w:numPr>
        <w:spacing w:before="500"/>
        <w:ind w:left="680" w:hanging="680"/>
      </w:pPr>
      <w:bookmarkStart w:id="16" w:name="_Toc37151652"/>
      <w:r>
        <w:t>Risk assessment tables</w:t>
      </w:r>
      <w:bookmarkEnd w:id="16"/>
    </w:p>
    <w:p w:rsidR="002E20AC" w:rsidRDefault="006F7865" w:rsidP="006F7865">
      <w:pPr>
        <w:pStyle w:val="Caption"/>
      </w:pPr>
      <w:bookmarkStart w:id="17" w:name="_Toc89173138"/>
      <w:bookmarkStart w:id="18" w:name="_Toc89174618"/>
      <w:bookmarkStart w:id="19" w:name="_Toc37151377"/>
      <w:bookmarkEnd w:id="15"/>
      <w:r>
        <w:t>Table B</w:t>
      </w:r>
      <w:r>
        <w:fldChar w:fldCharType="begin"/>
      </w:r>
      <w:r>
        <w:rPr>
          <w:noProof/>
        </w:rPr>
        <w:instrText xml:space="preserve"> SEQ Table \* ARABIC </w:instrText>
      </w:r>
      <w:r>
        <w:fldChar w:fldCharType="separate"/>
      </w:r>
      <w:r>
        <w:rPr>
          <w:noProof/>
        </w:rPr>
        <w:t>1</w:t>
      </w:r>
      <w:r>
        <w:fldChar w:fldCharType="end"/>
      </w:r>
      <w:r w:rsidR="002E20AC">
        <w:t>:</w:t>
      </w:r>
      <w:r w:rsidR="002E20AC">
        <w:tab/>
      </w:r>
      <w:bookmarkEnd w:id="17"/>
      <w:bookmarkEnd w:id="18"/>
      <w:r w:rsidRPr="00E04E84">
        <w:t>Regulatory acceptable con</w:t>
      </w:r>
      <w:r>
        <w:t>centrations for aquatic species</w:t>
      </w:r>
      <w:bookmarkEnd w:id="19"/>
    </w:p>
    <w:tbl>
      <w:tblPr>
        <w:tblW w:w="5000" w:type="pct"/>
        <w:tblBorders>
          <w:bottom w:val="dotted" w:sz="2" w:space="0" w:color="auto"/>
          <w:insideH w:val="dotted" w:sz="2" w:space="0" w:color="auto"/>
        </w:tblBorders>
        <w:tblLook w:val="01E0" w:firstRow="1" w:lastRow="1" w:firstColumn="1" w:lastColumn="1" w:noHBand="0" w:noVBand="0"/>
      </w:tblPr>
      <w:tblGrid>
        <w:gridCol w:w="2011"/>
        <w:gridCol w:w="2092"/>
        <w:gridCol w:w="2111"/>
        <w:gridCol w:w="1712"/>
        <w:gridCol w:w="1712"/>
      </w:tblGrid>
      <w:tr w:rsidR="006F7865" w:rsidTr="006F7865">
        <w:trPr>
          <w:cantSplit/>
          <w:tblHeader/>
        </w:trPr>
        <w:tc>
          <w:tcPr>
            <w:tcW w:w="1043" w:type="pct"/>
            <w:tcBorders>
              <w:bottom w:val="single" w:sz="4" w:space="0" w:color="auto"/>
            </w:tcBorders>
            <w:shd w:val="clear" w:color="auto" w:fill="53284F"/>
            <w:vAlign w:val="center"/>
          </w:tcPr>
          <w:p w:rsidR="006F7865" w:rsidRPr="000C1380" w:rsidRDefault="006F7865" w:rsidP="006F7865">
            <w:pPr>
              <w:pStyle w:val="APVMATableHead"/>
            </w:pPr>
            <w:r>
              <w:t>G</w:t>
            </w:r>
            <w:r w:rsidRPr="000C1380">
              <w:t>roup</w:t>
            </w:r>
          </w:p>
        </w:tc>
        <w:tc>
          <w:tcPr>
            <w:tcW w:w="1085" w:type="pct"/>
            <w:tcBorders>
              <w:bottom w:val="single" w:sz="4" w:space="0" w:color="auto"/>
            </w:tcBorders>
            <w:shd w:val="clear" w:color="auto" w:fill="53284F"/>
            <w:vAlign w:val="center"/>
          </w:tcPr>
          <w:p w:rsidR="006F7865" w:rsidRPr="000C1380" w:rsidRDefault="006F7865" w:rsidP="006F7865">
            <w:pPr>
              <w:pStyle w:val="APVMATableHead"/>
            </w:pPr>
            <w:r w:rsidRPr="000C1380">
              <w:t>Exposure</w:t>
            </w:r>
          </w:p>
        </w:tc>
        <w:tc>
          <w:tcPr>
            <w:tcW w:w="1095" w:type="pct"/>
            <w:tcBorders>
              <w:bottom w:val="single" w:sz="4" w:space="0" w:color="auto"/>
            </w:tcBorders>
            <w:shd w:val="clear" w:color="auto" w:fill="53284F"/>
            <w:vAlign w:val="center"/>
          </w:tcPr>
          <w:p w:rsidR="006F7865" w:rsidRPr="000C1380" w:rsidRDefault="006F7865" w:rsidP="006F7865">
            <w:pPr>
              <w:pStyle w:val="APVMATableHead"/>
            </w:pPr>
            <w:r w:rsidRPr="000C1380">
              <w:t>Endpoint</w:t>
            </w:r>
          </w:p>
        </w:tc>
        <w:tc>
          <w:tcPr>
            <w:tcW w:w="888" w:type="pct"/>
            <w:tcBorders>
              <w:bottom w:val="single" w:sz="4" w:space="0" w:color="auto"/>
            </w:tcBorders>
            <w:shd w:val="clear" w:color="auto" w:fill="53284F"/>
            <w:vAlign w:val="center"/>
          </w:tcPr>
          <w:p w:rsidR="006F7865" w:rsidRPr="000C1380" w:rsidRDefault="006F7865" w:rsidP="006F7865">
            <w:pPr>
              <w:pStyle w:val="APVMATableHead"/>
            </w:pPr>
            <w:r w:rsidRPr="000C1380">
              <w:t>Assessment factor</w:t>
            </w:r>
          </w:p>
        </w:tc>
        <w:tc>
          <w:tcPr>
            <w:tcW w:w="888" w:type="pct"/>
            <w:tcBorders>
              <w:bottom w:val="single" w:sz="4" w:space="0" w:color="auto"/>
            </w:tcBorders>
            <w:shd w:val="clear" w:color="auto" w:fill="53284F"/>
            <w:vAlign w:val="center"/>
          </w:tcPr>
          <w:p w:rsidR="006F7865" w:rsidRPr="000C1380" w:rsidRDefault="006F7865" w:rsidP="006F7865">
            <w:pPr>
              <w:pStyle w:val="APVMATableHead"/>
            </w:pPr>
            <w:r>
              <w:t>RAC</w:t>
            </w:r>
          </w:p>
        </w:tc>
      </w:tr>
      <w:tr w:rsidR="006F7865" w:rsidTr="003D4FCE">
        <w:trPr>
          <w:cantSplit/>
        </w:trPr>
        <w:tc>
          <w:tcPr>
            <w:tcW w:w="1043" w:type="pct"/>
            <w:vMerge w:val="restart"/>
            <w:tcBorders>
              <w:top w:val="single" w:sz="4" w:space="0" w:color="auto"/>
            </w:tcBorders>
          </w:tcPr>
          <w:p w:rsidR="006F7865" w:rsidRPr="000C1380" w:rsidRDefault="006F7865" w:rsidP="003D4FCE">
            <w:pPr>
              <w:pStyle w:val="APVMATableText"/>
            </w:pPr>
            <w:r>
              <w:t>Fish</w:t>
            </w:r>
          </w:p>
        </w:tc>
        <w:tc>
          <w:tcPr>
            <w:tcW w:w="1085" w:type="pct"/>
            <w:tcBorders>
              <w:top w:val="single" w:sz="4" w:space="0" w:color="auto"/>
              <w:bottom w:val="single" w:sz="4" w:space="0" w:color="auto"/>
            </w:tcBorders>
          </w:tcPr>
          <w:p w:rsidR="006F7865" w:rsidRPr="000C1380" w:rsidRDefault="006F7865" w:rsidP="003D4FCE">
            <w:pPr>
              <w:pStyle w:val="APVMATableText"/>
            </w:pPr>
            <w:r w:rsidRPr="000C1380">
              <w:t>Acute</w:t>
            </w:r>
          </w:p>
        </w:tc>
        <w:tc>
          <w:tcPr>
            <w:tcW w:w="1095" w:type="pct"/>
            <w:tcBorders>
              <w:top w:val="single" w:sz="4" w:space="0" w:color="auto"/>
              <w:bottom w:val="single" w:sz="4" w:space="0" w:color="auto"/>
            </w:tcBorders>
          </w:tcPr>
          <w:p w:rsidR="006F7865" w:rsidRPr="000C1380" w:rsidRDefault="006F7865" w:rsidP="003D4FCE">
            <w:pPr>
              <w:pStyle w:val="APVMATableText"/>
            </w:pPr>
            <w:r w:rsidRPr="000C1380">
              <w:t>L</w:t>
            </w:r>
            <w:r>
              <w:t>C</w:t>
            </w:r>
            <w:r w:rsidRPr="000C1380">
              <w:rPr>
                <w:vertAlign w:val="subscript"/>
              </w:rPr>
              <w:t>50</w:t>
            </w:r>
            <w:r w:rsidRPr="000C1380">
              <w:t xml:space="preserve"> XX mg ac/</w:t>
            </w:r>
            <w:r>
              <w:t>L</w:t>
            </w:r>
          </w:p>
        </w:tc>
        <w:tc>
          <w:tcPr>
            <w:tcW w:w="888" w:type="pct"/>
            <w:tcBorders>
              <w:top w:val="single" w:sz="4" w:space="0" w:color="auto"/>
              <w:bottom w:val="single" w:sz="4" w:space="0" w:color="auto"/>
            </w:tcBorders>
          </w:tcPr>
          <w:p w:rsidR="006F7865" w:rsidRPr="000C1380" w:rsidRDefault="006F7865" w:rsidP="003D4FCE">
            <w:pPr>
              <w:pStyle w:val="APVMATableText"/>
            </w:pPr>
            <w:r w:rsidRPr="000C1380">
              <w:t>10</w:t>
            </w:r>
          </w:p>
        </w:tc>
        <w:tc>
          <w:tcPr>
            <w:tcW w:w="888" w:type="pct"/>
            <w:tcBorders>
              <w:top w:val="single" w:sz="4" w:space="0" w:color="auto"/>
              <w:bottom w:val="single" w:sz="4" w:space="0" w:color="auto"/>
            </w:tcBorders>
          </w:tcPr>
          <w:p w:rsidR="006F7865" w:rsidRPr="000C1380" w:rsidRDefault="006F7865" w:rsidP="003D4FCE">
            <w:pPr>
              <w:pStyle w:val="APVMATableText"/>
            </w:pPr>
            <w:r w:rsidRPr="000C1380">
              <w:t>XX mg ac/</w:t>
            </w:r>
            <w:r>
              <w:t>L</w:t>
            </w:r>
          </w:p>
        </w:tc>
      </w:tr>
      <w:tr w:rsidR="006F7865" w:rsidTr="003D4FCE">
        <w:trPr>
          <w:cantSplit/>
        </w:trPr>
        <w:tc>
          <w:tcPr>
            <w:tcW w:w="1043" w:type="pct"/>
            <w:vMerge/>
            <w:tcBorders>
              <w:bottom w:val="single" w:sz="4" w:space="0" w:color="auto"/>
            </w:tcBorders>
          </w:tcPr>
          <w:p w:rsidR="006F7865" w:rsidRPr="000C1380" w:rsidRDefault="006F7865" w:rsidP="003D4FCE">
            <w:pPr>
              <w:pStyle w:val="APVMATableText"/>
            </w:pPr>
          </w:p>
        </w:tc>
        <w:tc>
          <w:tcPr>
            <w:tcW w:w="1085" w:type="pct"/>
            <w:tcBorders>
              <w:top w:val="single" w:sz="4" w:space="0" w:color="auto"/>
              <w:bottom w:val="single" w:sz="4" w:space="0" w:color="auto"/>
            </w:tcBorders>
          </w:tcPr>
          <w:p w:rsidR="006F7865" w:rsidRPr="000C1380" w:rsidRDefault="006F7865" w:rsidP="003D4FCE">
            <w:pPr>
              <w:pStyle w:val="APVMATableText"/>
            </w:pPr>
            <w:r w:rsidRPr="000C1380">
              <w:t>Chronic</w:t>
            </w:r>
          </w:p>
        </w:tc>
        <w:tc>
          <w:tcPr>
            <w:tcW w:w="1095" w:type="pct"/>
            <w:tcBorders>
              <w:top w:val="single" w:sz="4" w:space="0" w:color="auto"/>
              <w:bottom w:val="single" w:sz="4" w:space="0" w:color="auto"/>
            </w:tcBorders>
          </w:tcPr>
          <w:p w:rsidR="006F7865" w:rsidRPr="000C1380" w:rsidRDefault="006F7865" w:rsidP="003D4FCE">
            <w:pPr>
              <w:pStyle w:val="APVMATableText"/>
            </w:pPr>
            <w:r w:rsidRPr="000C1380">
              <w:t>NOE</w:t>
            </w:r>
            <w:r>
              <w:t>C</w:t>
            </w:r>
            <w:r w:rsidRPr="000C1380">
              <w:t xml:space="preserve"> XX mg ac/</w:t>
            </w:r>
            <w:r>
              <w:t>L</w:t>
            </w:r>
          </w:p>
        </w:tc>
        <w:tc>
          <w:tcPr>
            <w:tcW w:w="888" w:type="pct"/>
            <w:tcBorders>
              <w:top w:val="single" w:sz="4" w:space="0" w:color="auto"/>
              <w:bottom w:val="single" w:sz="4" w:space="0" w:color="auto"/>
            </w:tcBorders>
          </w:tcPr>
          <w:p w:rsidR="006F7865" w:rsidRPr="000C1380" w:rsidRDefault="006F7865" w:rsidP="003D4FCE">
            <w:pPr>
              <w:pStyle w:val="APVMATableText"/>
            </w:pPr>
            <w:r w:rsidRPr="000C1380">
              <w:t>1</w:t>
            </w:r>
          </w:p>
        </w:tc>
        <w:tc>
          <w:tcPr>
            <w:tcW w:w="888" w:type="pct"/>
            <w:tcBorders>
              <w:top w:val="single" w:sz="4" w:space="0" w:color="auto"/>
              <w:bottom w:val="single" w:sz="4" w:space="0" w:color="auto"/>
            </w:tcBorders>
          </w:tcPr>
          <w:p w:rsidR="006F7865" w:rsidRPr="000C1380" w:rsidRDefault="006F7865" w:rsidP="003D4FCE">
            <w:pPr>
              <w:pStyle w:val="APVMATableText"/>
            </w:pPr>
            <w:r w:rsidRPr="000C1380">
              <w:t>XX mg ac/</w:t>
            </w:r>
            <w:r>
              <w:t>L</w:t>
            </w:r>
          </w:p>
        </w:tc>
      </w:tr>
      <w:tr w:rsidR="006F7865" w:rsidTr="003D4FCE">
        <w:trPr>
          <w:cantSplit/>
        </w:trPr>
        <w:tc>
          <w:tcPr>
            <w:tcW w:w="1043" w:type="pct"/>
            <w:vMerge w:val="restart"/>
          </w:tcPr>
          <w:p w:rsidR="006F7865" w:rsidRPr="000C1380" w:rsidRDefault="006F7865" w:rsidP="003D4FCE">
            <w:pPr>
              <w:pStyle w:val="APVMATableText"/>
            </w:pPr>
            <w:r>
              <w:t>Invertebrates</w:t>
            </w:r>
          </w:p>
        </w:tc>
        <w:tc>
          <w:tcPr>
            <w:tcW w:w="1085" w:type="pct"/>
            <w:tcBorders>
              <w:top w:val="single" w:sz="4" w:space="0" w:color="auto"/>
              <w:bottom w:val="single" w:sz="4" w:space="0" w:color="auto"/>
            </w:tcBorders>
          </w:tcPr>
          <w:p w:rsidR="006F7865" w:rsidRPr="000C1380" w:rsidRDefault="006F7865" w:rsidP="003D4FCE">
            <w:pPr>
              <w:pStyle w:val="APVMATableText"/>
            </w:pPr>
            <w:r w:rsidRPr="000C1380">
              <w:t>Acute</w:t>
            </w:r>
          </w:p>
        </w:tc>
        <w:tc>
          <w:tcPr>
            <w:tcW w:w="1095" w:type="pct"/>
            <w:tcBorders>
              <w:top w:val="single" w:sz="4" w:space="0" w:color="auto"/>
              <w:bottom w:val="single" w:sz="4" w:space="0" w:color="auto"/>
            </w:tcBorders>
          </w:tcPr>
          <w:p w:rsidR="006F7865" w:rsidRPr="000C1380" w:rsidRDefault="006F7865" w:rsidP="003D4FCE">
            <w:pPr>
              <w:pStyle w:val="APVMATableText"/>
            </w:pPr>
            <w:r>
              <w:t>EC</w:t>
            </w:r>
            <w:r w:rsidRPr="000C1380">
              <w:rPr>
                <w:vertAlign w:val="subscript"/>
              </w:rPr>
              <w:t>50</w:t>
            </w:r>
            <w:r>
              <w:t xml:space="preserve"> XX mg ac/L</w:t>
            </w:r>
          </w:p>
        </w:tc>
        <w:tc>
          <w:tcPr>
            <w:tcW w:w="888" w:type="pct"/>
            <w:tcBorders>
              <w:top w:val="single" w:sz="4" w:space="0" w:color="auto"/>
              <w:bottom w:val="single" w:sz="4" w:space="0" w:color="auto"/>
            </w:tcBorders>
          </w:tcPr>
          <w:p w:rsidR="006F7865" w:rsidRPr="000C1380" w:rsidRDefault="006F7865" w:rsidP="003D4FCE">
            <w:pPr>
              <w:pStyle w:val="APVMATableText"/>
            </w:pPr>
            <w:r w:rsidRPr="000C1380">
              <w:t>10</w:t>
            </w:r>
          </w:p>
        </w:tc>
        <w:tc>
          <w:tcPr>
            <w:tcW w:w="888" w:type="pct"/>
            <w:tcBorders>
              <w:top w:val="single" w:sz="4" w:space="0" w:color="auto"/>
              <w:bottom w:val="single" w:sz="4" w:space="0" w:color="auto"/>
            </w:tcBorders>
          </w:tcPr>
          <w:p w:rsidR="006F7865" w:rsidRPr="000C1380" w:rsidRDefault="006F7865" w:rsidP="003D4FCE">
            <w:pPr>
              <w:pStyle w:val="APVMATableText"/>
            </w:pPr>
            <w:r w:rsidRPr="000C1380">
              <w:t>XX mg ac/</w:t>
            </w:r>
            <w:r>
              <w:t>L</w:t>
            </w:r>
          </w:p>
        </w:tc>
      </w:tr>
      <w:tr w:rsidR="006F7865" w:rsidTr="003D4FCE">
        <w:trPr>
          <w:cantSplit/>
        </w:trPr>
        <w:tc>
          <w:tcPr>
            <w:tcW w:w="1043" w:type="pct"/>
            <w:vMerge/>
            <w:tcBorders>
              <w:bottom w:val="single" w:sz="4" w:space="0" w:color="auto"/>
            </w:tcBorders>
          </w:tcPr>
          <w:p w:rsidR="006F7865" w:rsidRPr="000C1380" w:rsidRDefault="006F7865" w:rsidP="003D4FCE">
            <w:pPr>
              <w:pStyle w:val="APVMATableText"/>
            </w:pPr>
          </w:p>
        </w:tc>
        <w:tc>
          <w:tcPr>
            <w:tcW w:w="1085" w:type="pct"/>
            <w:tcBorders>
              <w:top w:val="single" w:sz="4" w:space="0" w:color="auto"/>
              <w:bottom w:val="single" w:sz="4" w:space="0" w:color="auto"/>
            </w:tcBorders>
          </w:tcPr>
          <w:p w:rsidR="006F7865" w:rsidRPr="000C1380" w:rsidRDefault="006F7865" w:rsidP="003D4FCE">
            <w:pPr>
              <w:pStyle w:val="APVMATableText"/>
            </w:pPr>
            <w:r w:rsidRPr="000C1380">
              <w:t>Chronic</w:t>
            </w:r>
          </w:p>
        </w:tc>
        <w:tc>
          <w:tcPr>
            <w:tcW w:w="1095" w:type="pct"/>
            <w:tcBorders>
              <w:top w:val="single" w:sz="4" w:space="0" w:color="auto"/>
              <w:bottom w:val="single" w:sz="4" w:space="0" w:color="auto"/>
            </w:tcBorders>
          </w:tcPr>
          <w:p w:rsidR="006F7865" w:rsidRPr="000C1380" w:rsidRDefault="006F7865" w:rsidP="003D4FCE">
            <w:pPr>
              <w:pStyle w:val="APVMATableText"/>
            </w:pPr>
            <w:r w:rsidRPr="000C1380">
              <w:t>NOE</w:t>
            </w:r>
            <w:r>
              <w:t>C</w:t>
            </w:r>
            <w:r w:rsidRPr="000C1380">
              <w:t xml:space="preserve"> XX mg ac/</w:t>
            </w:r>
            <w:r>
              <w:t>L</w:t>
            </w:r>
          </w:p>
        </w:tc>
        <w:tc>
          <w:tcPr>
            <w:tcW w:w="888" w:type="pct"/>
            <w:tcBorders>
              <w:top w:val="single" w:sz="4" w:space="0" w:color="auto"/>
              <w:bottom w:val="single" w:sz="4" w:space="0" w:color="auto"/>
            </w:tcBorders>
          </w:tcPr>
          <w:p w:rsidR="006F7865" w:rsidRPr="000C1380" w:rsidRDefault="006F7865" w:rsidP="003D4FCE">
            <w:pPr>
              <w:pStyle w:val="APVMATableText"/>
            </w:pPr>
            <w:r w:rsidRPr="000C1380">
              <w:t>1</w:t>
            </w:r>
          </w:p>
        </w:tc>
        <w:tc>
          <w:tcPr>
            <w:tcW w:w="888" w:type="pct"/>
            <w:tcBorders>
              <w:top w:val="single" w:sz="4" w:space="0" w:color="auto"/>
              <w:bottom w:val="single" w:sz="4" w:space="0" w:color="auto"/>
            </w:tcBorders>
          </w:tcPr>
          <w:p w:rsidR="006F7865" w:rsidRPr="000C1380" w:rsidRDefault="006F7865" w:rsidP="003D4FCE">
            <w:pPr>
              <w:pStyle w:val="APVMATableText"/>
            </w:pPr>
            <w:r>
              <w:t>XX mg ac/L</w:t>
            </w:r>
          </w:p>
        </w:tc>
      </w:tr>
      <w:tr w:rsidR="006F7865" w:rsidTr="003D4FCE">
        <w:trPr>
          <w:cantSplit/>
        </w:trPr>
        <w:tc>
          <w:tcPr>
            <w:tcW w:w="1043" w:type="pct"/>
            <w:vMerge w:val="restart"/>
          </w:tcPr>
          <w:p w:rsidR="006F7865" w:rsidRPr="000C1380" w:rsidRDefault="006F7865" w:rsidP="003D4FCE">
            <w:pPr>
              <w:pStyle w:val="APVMATableText"/>
            </w:pPr>
            <w:r>
              <w:t>Sediment dwellers</w:t>
            </w:r>
          </w:p>
        </w:tc>
        <w:tc>
          <w:tcPr>
            <w:tcW w:w="1085" w:type="pct"/>
            <w:tcBorders>
              <w:top w:val="single" w:sz="4" w:space="0" w:color="auto"/>
              <w:bottom w:val="single" w:sz="4" w:space="0" w:color="auto"/>
            </w:tcBorders>
          </w:tcPr>
          <w:p w:rsidR="006F7865" w:rsidRPr="000C1380" w:rsidRDefault="006F7865" w:rsidP="003D4FCE">
            <w:pPr>
              <w:pStyle w:val="APVMATableText"/>
            </w:pPr>
            <w:r>
              <w:t>Acute</w:t>
            </w:r>
          </w:p>
        </w:tc>
        <w:tc>
          <w:tcPr>
            <w:tcW w:w="1095" w:type="pct"/>
            <w:tcBorders>
              <w:top w:val="single" w:sz="4" w:space="0" w:color="auto"/>
              <w:bottom w:val="single" w:sz="4" w:space="0" w:color="auto"/>
            </w:tcBorders>
          </w:tcPr>
          <w:p w:rsidR="006F7865" w:rsidRPr="000C1380" w:rsidRDefault="006F7865" w:rsidP="003D4FCE">
            <w:pPr>
              <w:pStyle w:val="APVMATableText"/>
            </w:pPr>
            <w:r>
              <w:t>LC</w:t>
            </w:r>
            <w:r w:rsidRPr="007C7BAB">
              <w:rPr>
                <w:vertAlign w:val="subscript"/>
              </w:rPr>
              <w:t>50</w:t>
            </w:r>
            <w:r>
              <w:t xml:space="preserve"> XX mg ac/L</w:t>
            </w:r>
          </w:p>
        </w:tc>
        <w:tc>
          <w:tcPr>
            <w:tcW w:w="888" w:type="pct"/>
            <w:tcBorders>
              <w:top w:val="single" w:sz="4" w:space="0" w:color="auto"/>
              <w:bottom w:val="single" w:sz="4" w:space="0" w:color="auto"/>
            </w:tcBorders>
          </w:tcPr>
          <w:p w:rsidR="006F7865" w:rsidRPr="000C1380" w:rsidRDefault="006F7865" w:rsidP="003D4FCE">
            <w:pPr>
              <w:pStyle w:val="APVMATableText"/>
            </w:pPr>
            <w:r>
              <w:t>10</w:t>
            </w:r>
          </w:p>
        </w:tc>
        <w:tc>
          <w:tcPr>
            <w:tcW w:w="888" w:type="pct"/>
            <w:tcBorders>
              <w:top w:val="single" w:sz="4" w:space="0" w:color="auto"/>
              <w:bottom w:val="single" w:sz="4" w:space="0" w:color="auto"/>
            </w:tcBorders>
          </w:tcPr>
          <w:p w:rsidR="006F7865" w:rsidRDefault="006F7865" w:rsidP="003D4FCE">
            <w:pPr>
              <w:pStyle w:val="APVMATableText"/>
            </w:pPr>
            <w:r>
              <w:t>XX mg ac/L</w:t>
            </w:r>
          </w:p>
        </w:tc>
      </w:tr>
      <w:tr w:rsidR="006F7865" w:rsidTr="003D4FCE">
        <w:trPr>
          <w:cantSplit/>
        </w:trPr>
        <w:tc>
          <w:tcPr>
            <w:tcW w:w="1043" w:type="pct"/>
            <w:vMerge/>
            <w:tcBorders>
              <w:bottom w:val="single" w:sz="4" w:space="0" w:color="auto"/>
            </w:tcBorders>
          </w:tcPr>
          <w:p w:rsidR="006F7865" w:rsidRDefault="006F7865" w:rsidP="003D4FCE">
            <w:pPr>
              <w:pStyle w:val="APVMATableText"/>
            </w:pPr>
          </w:p>
        </w:tc>
        <w:tc>
          <w:tcPr>
            <w:tcW w:w="1085" w:type="pct"/>
            <w:tcBorders>
              <w:top w:val="single" w:sz="4" w:space="0" w:color="auto"/>
              <w:bottom w:val="single" w:sz="4" w:space="0" w:color="auto"/>
            </w:tcBorders>
          </w:tcPr>
          <w:p w:rsidR="006F7865" w:rsidRDefault="006F7865" w:rsidP="003D4FCE">
            <w:pPr>
              <w:pStyle w:val="APVMATableText"/>
            </w:pPr>
            <w:r>
              <w:t>Chronic</w:t>
            </w:r>
          </w:p>
        </w:tc>
        <w:tc>
          <w:tcPr>
            <w:tcW w:w="1095" w:type="pct"/>
            <w:tcBorders>
              <w:top w:val="single" w:sz="4" w:space="0" w:color="auto"/>
              <w:bottom w:val="single" w:sz="4" w:space="0" w:color="auto"/>
            </w:tcBorders>
          </w:tcPr>
          <w:p w:rsidR="006F7865" w:rsidRDefault="006F7865" w:rsidP="003D4FCE">
            <w:pPr>
              <w:pStyle w:val="APVMATableText"/>
            </w:pPr>
            <w:r>
              <w:t>NOEC XX mg ac/L</w:t>
            </w:r>
          </w:p>
        </w:tc>
        <w:tc>
          <w:tcPr>
            <w:tcW w:w="888" w:type="pct"/>
            <w:tcBorders>
              <w:top w:val="single" w:sz="4" w:space="0" w:color="auto"/>
              <w:bottom w:val="single" w:sz="4" w:space="0" w:color="auto"/>
            </w:tcBorders>
          </w:tcPr>
          <w:p w:rsidR="006F7865" w:rsidRDefault="006F7865" w:rsidP="003D4FCE">
            <w:pPr>
              <w:pStyle w:val="APVMATableText"/>
            </w:pPr>
            <w:r>
              <w:t>1</w:t>
            </w:r>
          </w:p>
        </w:tc>
        <w:tc>
          <w:tcPr>
            <w:tcW w:w="888" w:type="pct"/>
            <w:tcBorders>
              <w:top w:val="single" w:sz="4" w:space="0" w:color="auto"/>
              <w:bottom w:val="single" w:sz="4" w:space="0" w:color="auto"/>
            </w:tcBorders>
          </w:tcPr>
          <w:p w:rsidR="006F7865" w:rsidRDefault="006F7865" w:rsidP="003D4FCE">
            <w:pPr>
              <w:pStyle w:val="APVMATableText"/>
            </w:pPr>
            <w:r>
              <w:t>XX mg ac/L</w:t>
            </w:r>
          </w:p>
        </w:tc>
      </w:tr>
      <w:tr w:rsidR="006F7865" w:rsidTr="003D4FCE">
        <w:trPr>
          <w:cantSplit/>
        </w:trPr>
        <w:tc>
          <w:tcPr>
            <w:tcW w:w="1043" w:type="pct"/>
            <w:tcBorders>
              <w:bottom w:val="single" w:sz="4" w:space="0" w:color="auto"/>
            </w:tcBorders>
          </w:tcPr>
          <w:p w:rsidR="006F7865" w:rsidRDefault="006F7865" w:rsidP="003D4FCE">
            <w:pPr>
              <w:pStyle w:val="APVMATableText"/>
            </w:pPr>
            <w:r>
              <w:t>Algae</w:t>
            </w:r>
          </w:p>
        </w:tc>
        <w:tc>
          <w:tcPr>
            <w:tcW w:w="1085" w:type="pct"/>
            <w:tcBorders>
              <w:top w:val="single" w:sz="4" w:space="0" w:color="auto"/>
              <w:bottom w:val="single" w:sz="4" w:space="0" w:color="auto"/>
            </w:tcBorders>
          </w:tcPr>
          <w:p w:rsidR="006F7865" w:rsidRDefault="006F7865" w:rsidP="003D4FCE">
            <w:pPr>
              <w:pStyle w:val="APVMATableText"/>
            </w:pPr>
            <w:r>
              <w:t>Chronic</w:t>
            </w:r>
          </w:p>
        </w:tc>
        <w:tc>
          <w:tcPr>
            <w:tcW w:w="1095" w:type="pct"/>
            <w:tcBorders>
              <w:top w:val="single" w:sz="4" w:space="0" w:color="auto"/>
              <w:bottom w:val="single" w:sz="4" w:space="0" w:color="auto"/>
            </w:tcBorders>
          </w:tcPr>
          <w:p w:rsidR="006F7865" w:rsidRDefault="006F7865" w:rsidP="003D4FCE">
            <w:pPr>
              <w:pStyle w:val="APVMATableText"/>
            </w:pPr>
            <w:r>
              <w:t>E</w:t>
            </w:r>
            <w:r w:rsidRPr="00234C69">
              <w:rPr>
                <w:vertAlign w:val="subscript"/>
              </w:rPr>
              <w:t>r</w:t>
            </w:r>
            <w:r>
              <w:t>C</w:t>
            </w:r>
            <w:r w:rsidRPr="00234C69">
              <w:rPr>
                <w:vertAlign w:val="subscript"/>
              </w:rPr>
              <w:t>50</w:t>
            </w:r>
            <w:r>
              <w:t xml:space="preserve"> XX mg ac/L</w:t>
            </w:r>
          </w:p>
        </w:tc>
        <w:tc>
          <w:tcPr>
            <w:tcW w:w="888" w:type="pct"/>
            <w:tcBorders>
              <w:top w:val="single" w:sz="4" w:space="0" w:color="auto"/>
              <w:bottom w:val="single" w:sz="4" w:space="0" w:color="auto"/>
            </w:tcBorders>
          </w:tcPr>
          <w:p w:rsidR="006F7865" w:rsidRDefault="006F7865" w:rsidP="003D4FCE">
            <w:pPr>
              <w:pStyle w:val="APVMATableText"/>
            </w:pPr>
            <w:r>
              <w:t>10</w:t>
            </w:r>
          </w:p>
        </w:tc>
        <w:tc>
          <w:tcPr>
            <w:tcW w:w="888" w:type="pct"/>
            <w:tcBorders>
              <w:top w:val="single" w:sz="4" w:space="0" w:color="auto"/>
              <w:bottom w:val="single" w:sz="4" w:space="0" w:color="auto"/>
            </w:tcBorders>
          </w:tcPr>
          <w:p w:rsidR="006F7865" w:rsidRDefault="006F7865" w:rsidP="003D4FCE">
            <w:pPr>
              <w:pStyle w:val="APVMATableText"/>
            </w:pPr>
            <w:r>
              <w:t>XX mg ac/L</w:t>
            </w:r>
          </w:p>
        </w:tc>
      </w:tr>
      <w:tr w:rsidR="006F7865" w:rsidTr="003D4FCE">
        <w:trPr>
          <w:cantSplit/>
        </w:trPr>
        <w:tc>
          <w:tcPr>
            <w:tcW w:w="1043" w:type="pct"/>
            <w:tcBorders>
              <w:top w:val="single" w:sz="4" w:space="0" w:color="auto"/>
              <w:bottom w:val="single" w:sz="4" w:space="0" w:color="auto"/>
            </w:tcBorders>
          </w:tcPr>
          <w:p w:rsidR="006F7865" w:rsidRDefault="006F7865" w:rsidP="003D4FCE">
            <w:pPr>
              <w:pStyle w:val="APVMATableText"/>
            </w:pPr>
            <w:r>
              <w:t>Aquatic plants</w:t>
            </w:r>
          </w:p>
        </w:tc>
        <w:tc>
          <w:tcPr>
            <w:tcW w:w="1085" w:type="pct"/>
            <w:tcBorders>
              <w:top w:val="single" w:sz="4" w:space="0" w:color="auto"/>
              <w:bottom w:val="single" w:sz="4" w:space="0" w:color="auto"/>
            </w:tcBorders>
          </w:tcPr>
          <w:p w:rsidR="006F7865" w:rsidRDefault="006F7865" w:rsidP="003D4FCE">
            <w:pPr>
              <w:pStyle w:val="APVMATableText"/>
            </w:pPr>
            <w:r>
              <w:t>Chronic</w:t>
            </w:r>
          </w:p>
        </w:tc>
        <w:tc>
          <w:tcPr>
            <w:tcW w:w="1095" w:type="pct"/>
            <w:tcBorders>
              <w:top w:val="single" w:sz="4" w:space="0" w:color="auto"/>
              <w:bottom w:val="single" w:sz="4" w:space="0" w:color="auto"/>
            </w:tcBorders>
          </w:tcPr>
          <w:p w:rsidR="006F7865" w:rsidRDefault="006F7865" w:rsidP="003D4FCE">
            <w:pPr>
              <w:pStyle w:val="APVMATableText"/>
            </w:pPr>
            <w:r>
              <w:t>EC</w:t>
            </w:r>
            <w:r w:rsidRPr="00234C69">
              <w:rPr>
                <w:vertAlign w:val="subscript"/>
              </w:rPr>
              <w:t>50</w:t>
            </w:r>
            <w:r>
              <w:t xml:space="preserve"> XX mg ac/L</w:t>
            </w:r>
          </w:p>
        </w:tc>
        <w:tc>
          <w:tcPr>
            <w:tcW w:w="888" w:type="pct"/>
            <w:tcBorders>
              <w:top w:val="single" w:sz="4" w:space="0" w:color="auto"/>
              <w:bottom w:val="single" w:sz="4" w:space="0" w:color="auto"/>
            </w:tcBorders>
          </w:tcPr>
          <w:p w:rsidR="006F7865" w:rsidRDefault="006F7865" w:rsidP="003D4FCE">
            <w:pPr>
              <w:pStyle w:val="APVMATableText"/>
            </w:pPr>
            <w:r>
              <w:t>10</w:t>
            </w:r>
          </w:p>
        </w:tc>
        <w:tc>
          <w:tcPr>
            <w:tcW w:w="888" w:type="pct"/>
            <w:tcBorders>
              <w:top w:val="single" w:sz="4" w:space="0" w:color="auto"/>
              <w:bottom w:val="single" w:sz="4" w:space="0" w:color="auto"/>
            </w:tcBorders>
          </w:tcPr>
          <w:p w:rsidR="006F7865" w:rsidRDefault="006F7865" w:rsidP="003D4FCE">
            <w:pPr>
              <w:pStyle w:val="APVMATableText"/>
            </w:pPr>
            <w:r>
              <w:t>XX mg ac/L</w:t>
            </w:r>
          </w:p>
        </w:tc>
      </w:tr>
    </w:tbl>
    <w:p w:rsidR="006F7865" w:rsidRPr="006B0375" w:rsidRDefault="006F7865" w:rsidP="006F7865">
      <w:pPr>
        <w:pStyle w:val="APVMASourceTableNote"/>
      </w:pPr>
      <w:r w:rsidRPr="006B0375">
        <w:t>RAC = regulatory acceptable concentration = endpoint/assessment factor</w:t>
      </w:r>
      <w:r>
        <w:t>.</w:t>
      </w:r>
    </w:p>
    <w:p w:rsidR="006F7865" w:rsidRDefault="006F7865" w:rsidP="006F7865">
      <w:pPr>
        <w:pStyle w:val="Caption"/>
      </w:pPr>
      <w:bookmarkStart w:id="20" w:name="_Toc37151378"/>
      <w:r>
        <w:t>Table B</w:t>
      </w:r>
      <w:r>
        <w:fldChar w:fldCharType="begin"/>
      </w:r>
      <w:r>
        <w:rPr>
          <w:noProof/>
        </w:rPr>
        <w:instrText xml:space="preserve"> SEQ Table \* ARABIC </w:instrText>
      </w:r>
      <w:r>
        <w:fldChar w:fldCharType="separate"/>
      </w:r>
      <w:r>
        <w:rPr>
          <w:noProof/>
        </w:rPr>
        <w:t>2</w:t>
      </w:r>
      <w:r>
        <w:fldChar w:fldCharType="end"/>
      </w:r>
      <w:r>
        <w:t>:</w:t>
      </w:r>
      <w:r>
        <w:tab/>
        <w:t>Screening level assessment of risks to aquatic species</w:t>
      </w:r>
      <w:bookmarkEnd w:id="20"/>
    </w:p>
    <w:tbl>
      <w:tblPr>
        <w:tblW w:w="5000" w:type="pct"/>
        <w:tblBorders>
          <w:bottom w:val="dotted" w:sz="2" w:space="0" w:color="auto"/>
          <w:insideH w:val="dotted" w:sz="2" w:space="0" w:color="auto"/>
        </w:tblBorders>
        <w:tblLook w:val="01E0" w:firstRow="1" w:lastRow="1" w:firstColumn="1" w:lastColumn="1" w:noHBand="0" w:noVBand="0"/>
      </w:tblPr>
      <w:tblGrid>
        <w:gridCol w:w="2410"/>
        <w:gridCol w:w="2126"/>
        <w:gridCol w:w="1843"/>
        <w:gridCol w:w="1135"/>
        <w:gridCol w:w="1133"/>
        <w:gridCol w:w="991"/>
      </w:tblGrid>
      <w:tr w:rsidR="006F7865" w:rsidTr="006F7865">
        <w:trPr>
          <w:cantSplit/>
          <w:tblHeader/>
        </w:trPr>
        <w:tc>
          <w:tcPr>
            <w:tcW w:w="1250" w:type="pct"/>
            <w:tcBorders>
              <w:bottom w:val="single" w:sz="4" w:space="0" w:color="auto"/>
            </w:tcBorders>
            <w:shd w:val="clear" w:color="auto" w:fill="53284F"/>
            <w:vAlign w:val="center"/>
          </w:tcPr>
          <w:p w:rsidR="006F7865" w:rsidRPr="000C1380" w:rsidRDefault="006F7865" w:rsidP="006F7865">
            <w:pPr>
              <w:pStyle w:val="APVMATableHead"/>
            </w:pPr>
            <w:r>
              <w:t>G</w:t>
            </w:r>
            <w:r w:rsidRPr="000C1380">
              <w:t>roup</w:t>
            </w:r>
          </w:p>
        </w:tc>
        <w:tc>
          <w:tcPr>
            <w:tcW w:w="1103" w:type="pct"/>
            <w:tcBorders>
              <w:bottom w:val="single" w:sz="4" w:space="0" w:color="auto"/>
            </w:tcBorders>
            <w:shd w:val="clear" w:color="auto" w:fill="53284F"/>
            <w:vAlign w:val="center"/>
          </w:tcPr>
          <w:p w:rsidR="006F7865" w:rsidRPr="000C1380" w:rsidRDefault="006F7865" w:rsidP="006F7865">
            <w:pPr>
              <w:pStyle w:val="APVMATableHead"/>
            </w:pPr>
            <w:r w:rsidRPr="000C1380">
              <w:t>Exposure</w:t>
            </w:r>
          </w:p>
        </w:tc>
        <w:tc>
          <w:tcPr>
            <w:tcW w:w="956" w:type="pct"/>
            <w:tcBorders>
              <w:bottom w:val="single" w:sz="4" w:space="0" w:color="auto"/>
            </w:tcBorders>
            <w:shd w:val="clear" w:color="auto" w:fill="53284F"/>
            <w:vAlign w:val="center"/>
          </w:tcPr>
          <w:p w:rsidR="006F7865" w:rsidRDefault="006F7865" w:rsidP="006F7865">
            <w:pPr>
              <w:pStyle w:val="APVMATableHead"/>
            </w:pPr>
            <w:r>
              <w:t>Cumulative rate</w:t>
            </w:r>
          </w:p>
          <w:p w:rsidR="006F7865" w:rsidRPr="000C1380" w:rsidRDefault="006F7865" w:rsidP="006F7865">
            <w:pPr>
              <w:pStyle w:val="APVMATableHead"/>
            </w:pPr>
            <w:r>
              <w:t>(g/ha)</w:t>
            </w:r>
          </w:p>
        </w:tc>
        <w:tc>
          <w:tcPr>
            <w:tcW w:w="589" w:type="pct"/>
            <w:tcBorders>
              <w:bottom w:val="single" w:sz="4" w:space="0" w:color="auto"/>
            </w:tcBorders>
            <w:shd w:val="clear" w:color="auto" w:fill="53284F"/>
            <w:vAlign w:val="center"/>
          </w:tcPr>
          <w:p w:rsidR="006F7865" w:rsidRDefault="006F7865" w:rsidP="006F7865">
            <w:pPr>
              <w:pStyle w:val="APVMATableHead"/>
            </w:pPr>
            <w:r>
              <w:t>PEC</w:t>
            </w:r>
          </w:p>
          <w:p w:rsidR="006F7865" w:rsidRPr="000C1380" w:rsidRDefault="006F7865" w:rsidP="006F7865">
            <w:pPr>
              <w:pStyle w:val="APVMATableHead"/>
            </w:pPr>
            <w:r>
              <w:t>(mg/L)</w:t>
            </w:r>
          </w:p>
        </w:tc>
        <w:tc>
          <w:tcPr>
            <w:tcW w:w="588" w:type="pct"/>
            <w:tcBorders>
              <w:bottom w:val="single" w:sz="4" w:space="0" w:color="auto"/>
            </w:tcBorders>
            <w:shd w:val="clear" w:color="auto" w:fill="53284F"/>
            <w:vAlign w:val="center"/>
          </w:tcPr>
          <w:p w:rsidR="006F7865" w:rsidRDefault="006F7865" w:rsidP="006F7865">
            <w:pPr>
              <w:pStyle w:val="APVMATableHead"/>
            </w:pPr>
            <w:r>
              <w:t>RAC</w:t>
            </w:r>
          </w:p>
          <w:p w:rsidR="006F7865" w:rsidRPr="000C1380" w:rsidRDefault="006F7865" w:rsidP="006F7865">
            <w:pPr>
              <w:pStyle w:val="APVMATableHead"/>
            </w:pPr>
            <w:r>
              <w:t>(mg/L)</w:t>
            </w:r>
          </w:p>
        </w:tc>
        <w:tc>
          <w:tcPr>
            <w:tcW w:w="514" w:type="pct"/>
            <w:tcBorders>
              <w:bottom w:val="single" w:sz="4" w:space="0" w:color="auto"/>
            </w:tcBorders>
            <w:shd w:val="clear" w:color="auto" w:fill="53284F"/>
            <w:vAlign w:val="center"/>
          </w:tcPr>
          <w:p w:rsidR="006F7865" w:rsidRDefault="006F7865" w:rsidP="006F7865">
            <w:pPr>
              <w:pStyle w:val="APVMATableHead"/>
            </w:pPr>
            <w:r>
              <w:t>RQ</w:t>
            </w:r>
          </w:p>
        </w:tc>
      </w:tr>
      <w:tr w:rsidR="006F7865" w:rsidTr="006F7865">
        <w:trPr>
          <w:cantSplit/>
        </w:trPr>
        <w:tc>
          <w:tcPr>
            <w:tcW w:w="1250" w:type="pct"/>
            <w:vMerge w:val="restart"/>
            <w:tcBorders>
              <w:top w:val="single" w:sz="4" w:space="0" w:color="auto"/>
            </w:tcBorders>
          </w:tcPr>
          <w:p w:rsidR="006F7865" w:rsidRPr="000C1380" w:rsidRDefault="006F7865" w:rsidP="003D4FCE">
            <w:pPr>
              <w:pStyle w:val="APVMATableText"/>
            </w:pPr>
            <w:r>
              <w:t>Fish</w:t>
            </w:r>
          </w:p>
        </w:tc>
        <w:tc>
          <w:tcPr>
            <w:tcW w:w="1103" w:type="pct"/>
            <w:tcBorders>
              <w:top w:val="single" w:sz="4" w:space="0" w:color="auto"/>
              <w:bottom w:val="single" w:sz="4" w:space="0" w:color="auto"/>
            </w:tcBorders>
          </w:tcPr>
          <w:p w:rsidR="006F7865" w:rsidRPr="000C1380" w:rsidRDefault="006F7865" w:rsidP="003D4FCE">
            <w:pPr>
              <w:pStyle w:val="APVMATableText"/>
            </w:pPr>
            <w:r w:rsidRPr="000C1380">
              <w:t>Acute</w:t>
            </w:r>
          </w:p>
        </w:tc>
        <w:tc>
          <w:tcPr>
            <w:tcW w:w="956" w:type="pct"/>
            <w:tcBorders>
              <w:top w:val="single" w:sz="4" w:space="0" w:color="auto"/>
              <w:bottom w:val="single" w:sz="4" w:space="0" w:color="auto"/>
            </w:tcBorders>
          </w:tcPr>
          <w:p w:rsidR="006F7865" w:rsidRPr="000C1380" w:rsidRDefault="006F7865" w:rsidP="003D4FCE">
            <w:pPr>
              <w:pStyle w:val="APVMATableText"/>
            </w:pPr>
          </w:p>
        </w:tc>
        <w:tc>
          <w:tcPr>
            <w:tcW w:w="589" w:type="pct"/>
            <w:tcBorders>
              <w:top w:val="single" w:sz="4" w:space="0" w:color="auto"/>
              <w:bottom w:val="single" w:sz="4" w:space="0" w:color="auto"/>
            </w:tcBorders>
          </w:tcPr>
          <w:p w:rsidR="006F7865" w:rsidRPr="000C1380" w:rsidRDefault="006F7865" w:rsidP="003D4FCE">
            <w:pPr>
              <w:pStyle w:val="APVMATableText"/>
            </w:pPr>
          </w:p>
        </w:tc>
        <w:tc>
          <w:tcPr>
            <w:tcW w:w="588" w:type="pct"/>
            <w:tcBorders>
              <w:top w:val="single" w:sz="4" w:space="0" w:color="auto"/>
              <w:bottom w:val="single" w:sz="4" w:space="0" w:color="auto"/>
            </w:tcBorders>
          </w:tcPr>
          <w:p w:rsidR="006F7865" w:rsidRPr="000C1380" w:rsidRDefault="006F7865" w:rsidP="003D4FCE">
            <w:pPr>
              <w:pStyle w:val="APVMATableText"/>
            </w:pPr>
          </w:p>
        </w:tc>
        <w:tc>
          <w:tcPr>
            <w:tcW w:w="514" w:type="pct"/>
            <w:tcBorders>
              <w:top w:val="single" w:sz="4" w:space="0" w:color="auto"/>
              <w:bottom w:val="single" w:sz="4" w:space="0" w:color="auto"/>
            </w:tcBorders>
          </w:tcPr>
          <w:p w:rsidR="006F7865" w:rsidRPr="000C1380" w:rsidRDefault="006F7865" w:rsidP="003D4FCE">
            <w:pPr>
              <w:pStyle w:val="APVMATableText"/>
            </w:pPr>
          </w:p>
        </w:tc>
      </w:tr>
      <w:tr w:rsidR="006F7865" w:rsidTr="006F7865">
        <w:trPr>
          <w:cantSplit/>
        </w:trPr>
        <w:tc>
          <w:tcPr>
            <w:tcW w:w="1250" w:type="pct"/>
            <w:vMerge/>
            <w:tcBorders>
              <w:bottom w:val="single" w:sz="4" w:space="0" w:color="auto"/>
            </w:tcBorders>
          </w:tcPr>
          <w:p w:rsidR="006F7865" w:rsidRPr="000C1380" w:rsidRDefault="006F7865" w:rsidP="003D4FCE">
            <w:pPr>
              <w:pStyle w:val="APVMATableText"/>
            </w:pPr>
          </w:p>
        </w:tc>
        <w:tc>
          <w:tcPr>
            <w:tcW w:w="1103" w:type="pct"/>
            <w:tcBorders>
              <w:top w:val="single" w:sz="4" w:space="0" w:color="auto"/>
              <w:bottom w:val="single" w:sz="4" w:space="0" w:color="auto"/>
            </w:tcBorders>
          </w:tcPr>
          <w:p w:rsidR="006F7865" w:rsidRPr="000C1380" w:rsidRDefault="006F7865" w:rsidP="003D4FCE">
            <w:pPr>
              <w:pStyle w:val="APVMATableText"/>
            </w:pPr>
            <w:r w:rsidRPr="000C1380">
              <w:t>Chronic</w:t>
            </w:r>
          </w:p>
        </w:tc>
        <w:tc>
          <w:tcPr>
            <w:tcW w:w="956" w:type="pct"/>
            <w:tcBorders>
              <w:top w:val="single" w:sz="4" w:space="0" w:color="auto"/>
              <w:bottom w:val="single" w:sz="4" w:space="0" w:color="auto"/>
            </w:tcBorders>
          </w:tcPr>
          <w:p w:rsidR="006F7865" w:rsidRPr="000C1380" w:rsidRDefault="006F7865" w:rsidP="003D4FCE">
            <w:pPr>
              <w:pStyle w:val="APVMATableText"/>
            </w:pPr>
          </w:p>
        </w:tc>
        <w:tc>
          <w:tcPr>
            <w:tcW w:w="589" w:type="pct"/>
            <w:tcBorders>
              <w:top w:val="single" w:sz="4" w:space="0" w:color="auto"/>
              <w:bottom w:val="single" w:sz="4" w:space="0" w:color="auto"/>
            </w:tcBorders>
          </w:tcPr>
          <w:p w:rsidR="006F7865" w:rsidRPr="000C1380" w:rsidRDefault="006F7865" w:rsidP="003D4FCE">
            <w:pPr>
              <w:pStyle w:val="APVMATableText"/>
            </w:pPr>
          </w:p>
        </w:tc>
        <w:tc>
          <w:tcPr>
            <w:tcW w:w="588" w:type="pct"/>
            <w:tcBorders>
              <w:top w:val="single" w:sz="4" w:space="0" w:color="auto"/>
              <w:bottom w:val="single" w:sz="4" w:space="0" w:color="auto"/>
            </w:tcBorders>
          </w:tcPr>
          <w:p w:rsidR="006F7865" w:rsidRPr="000C1380" w:rsidRDefault="006F7865" w:rsidP="003D4FCE">
            <w:pPr>
              <w:pStyle w:val="APVMATableText"/>
            </w:pPr>
          </w:p>
        </w:tc>
        <w:tc>
          <w:tcPr>
            <w:tcW w:w="514" w:type="pct"/>
            <w:tcBorders>
              <w:top w:val="single" w:sz="4" w:space="0" w:color="auto"/>
              <w:bottom w:val="single" w:sz="4" w:space="0" w:color="auto"/>
            </w:tcBorders>
          </w:tcPr>
          <w:p w:rsidR="006F7865" w:rsidRPr="000C1380" w:rsidRDefault="006F7865" w:rsidP="003D4FCE">
            <w:pPr>
              <w:pStyle w:val="APVMATableText"/>
            </w:pPr>
          </w:p>
        </w:tc>
      </w:tr>
      <w:tr w:rsidR="006F7865" w:rsidTr="006F7865">
        <w:trPr>
          <w:cantSplit/>
        </w:trPr>
        <w:tc>
          <w:tcPr>
            <w:tcW w:w="1250" w:type="pct"/>
            <w:vMerge w:val="restart"/>
          </w:tcPr>
          <w:p w:rsidR="006F7865" w:rsidRPr="000C1380" w:rsidRDefault="006F7865" w:rsidP="003D4FCE">
            <w:pPr>
              <w:pStyle w:val="APVMATableText"/>
            </w:pPr>
            <w:r>
              <w:t>Invertebrates</w:t>
            </w:r>
          </w:p>
        </w:tc>
        <w:tc>
          <w:tcPr>
            <w:tcW w:w="1103" w:type="pct"/>
            <w:tcBorders>
              <w:top w:val="single" w:sz="4" w:space="0" w:color="auto"/>
              <w:bottom w:val="single" w:sz="4" w:space="0" w:color="auto"/>
            </w:tcBorders>
          </w:tcPr>
          <w:p w:rsidR="006F7865" w:rsidRPr="000C1380" w:rsidRDefault="006F7865" w:rsidP="003D4FCE">
            <w:pPr>
              <w:pStyle w:val="APVMATableText"/>
            </w:pPr>
            <w:r w:rsidRPr="000C1380">
              <w:t>Acute</w:t>
            </w:r>
          </w:p>
        </w:tc>
        <w:tc>
          <w:tcPr>
            <w:tcW w:w="956" w:type="pct"/>
            <w:tcBorders>
              <w:top w:val="single" w:sz="4" w:space="0" w:color="auto"/>
              <w:bottom w:val="single" w:sz="4" w:space="0" w:color="auto"/>
            </w:tcBorders>
          </w:tcPr>
          <w:p w:rsidR="006F7865" w:rsidRPr="000C1380" w:rsidRDefault="006F7865" w:rsidP="003D4FCE">
            <w:pPr>
              <w:pStyle w:val="APVMATableText"/>
            </w:pPr>
          </w:p>
        </w:tc>
        <w:tc>
          <w:tcPr>
            <w:tcW w:w="589" w:type="pct"/>
            <w:tcBorders>
              <w:top w:val="single" w:sz="4" w:space="0" w:color="auto"/>
              <w:bottom w:val="single" w:sz="4" w:space="0" w:color="auto"/>
            </w:tcBorders>
          </w:tcPr>
          <w:p w:rsidR="006F7865" w:rsidRPr="000C1380" w:rsidRDefault="006F7865" w:rsidP="003D4FCE">
            <w:pPr>
              <w:pStyle w:val="APVMATableText"/>
            </w:pPr>
          </w:p>
        </w:tc>
        <w:tc>
          <w:tcPr>
            <w:tcW w:w="588" w:type="pct"/>
            <w:tcBorders>
              <w:top w:val="single" w:sz="4" w:space="0" w:color="auto"/>
              <w:bottom w:val="single" w:sz="4" w:space="0" w:color="auto"/>
            </w:tcBorders>
          </w:tcPr>
          <w:p w:rsidR="006F7865" w:rsidRPr="000C1380" w:rsidRDefault="006F7865" w:rsidP="003D4FCE">
            <w:pPr>
              <w:pStyle w:val="APVMATableText"/>
            </w:pPr>
          </w:p>
        </w:tc>
        <w:tc>
          <w:tcPr>
            <w:tcW w:w="514" w:type="pct"/>
            <w:tcBorders>
              <w:top w:val="single" w:sz="4" w:space="0" w:color="auto"/>
              <w:bottom w:val="single" w:sz="4" w:space="0" w:color="auto"/>
            </w:tcBorders>
          </w:tcPr>
          <w:p w:rsidR="006F7865" w:rsidRPr="000C1380" w:rsidRDefault="006F7865" w:rsidP="003D4FCE">
            <w:pPr>
              <w:pStyle w:val="APVMATableText"/>
            </w:pPr>
          </w:p>
        </w:tc>
      </w:tr>
      <w:tr w:rsidR="006F7865" w:rsidTr="006F7865">
        <w:trPr>
          <w:cantSplit/>
        </w:trPr>
        <w:tc>
          <w:tcPr>
            <w:tcW w:w="1250" w:type="pct"/>
            <w:vMerge/>
            <w:tcBorders>
              <w:bottom w:val="single" w:sz="4" w:space="0" w:color="auto"/>
            </w:tcBorders>
          </w:tcPr>
          <w:p w:rsidR="006F7865" w:rsidRPr="000C1380" w:rsidRDefault="006F7865" w:rsidP="003D4FCE">
            <w:pPr>
              <w:pStyle w:val="APVMATableText"/>
            </w:pPr>
          </w:p>
        </w:tc>
        <w:tc>
          <w:tcPr>
            <w:tcW w:w="1103" w:type="pct"/>
            <w:tcBorders>
              <w:top w:val="single" w:sz="4" w:space="0" w:color="auto"/>
              <w:bottom w:val="single" w:sz="4" w:space="0" w:color="auto"/>
            </w:tcBorders>
          </w:tcPr>
          <w:p w:rsidR="006F7865" w:rsidRPr="000C1380" w:rsidRDefault="006F7865" w:rsidP="003D4FCE">
            <w:pPr>
              <w:pStyle w:val="APVMATableText"/>
            </w:pPr>
            <w:r w:rsidRPr="000C1380">
              <w:t>Chronic</w:t>
            </w:r>
          </w:p>
        </w:tc>
        <w:tc>
          <w:tcPr>
            <w:tcW w:w="956" w:type="pct"/>
            <w:tcBorders>
              <w:top w:val="single" w:sz="4" w:space="0" w:color="auto"/>
              <w:bottom w:val="single" w:sz="4" w:space="0" w:color="auto"/>
            </w:tcBorders>
          </w:tcPr>
          <w:p w:rsidR="006F7865" w:rsidRPr="000C1380" w:rsidRDefault="006F7865" w:rsidP="003D4FCE">
            <w:pPr>
              <w:pStyle w:val="APVMATableText"/>
            </w:pPr>
          </w:p>
        </w:tc>
        <w:tc>
          <w:tcPr>
            <w:tcW w:w="589" w:type="pct"/>
            <w:tcBorders>
              <w:top w:val="single" w:sz="4" w:space="0" w:color="auto"/>
              <w:bottom w:val="single" w:sz="4" w:space="0" w:color="auto"/>
            </w:tcBorders>
          </w:tcPr>
          <w:p w:rsidR="006F7865" w:rsidRPr="000C1380" w:rsidRDefault="006F7865" w:rsidP="003D4FCE">
            <w:pPr>
              <w:pStyle w:val="APVMATableText"/>
            </w:pPr>
          </w:p>
        </w:tc>
        <w:tc>
          <w:tcPr>
            <w:tcW w:w="588" w:type="pct"/>
            <w:tcBorders>
              <w:top w:val="single" w:sz="4" w:space="0" w:color="auto"/>
              <w:bottom w:val="single" w:sz="4" w:space="0" w:color="auto"/>
            </w:tcBorders>
          </w:tcPr>
          <w:p w:rsidR="006F7865" w:rsidRPr="000C1380" w:rsidRDefault="006F7865" w:rsidP="003D4FCE">
            <w:pPr>
              <w:pStyle w:val="APVMATableText"/>
            </w:pPr>
          </w:p>
        </w:tc>
        <w:tc>
          <w:tcPr>
            <w:tcW w:w="514" w:type="pct"/>
            <w:tcBorders>
              <w:top w:val="single" w:sz="4" w:space="0" w:color="auto"/>
              <w:bottom w:val="single" w:sz="4" w:space="0" w:color="auto"/>
            </w:tcBorders>
          </w:tcPr>
          <w:p w:rsidR="006F7865" w:rsidRDefault="006F7865" w:rsidP="003D4FCE">
            <w:pPr>
              <w:pStyle w:val="APVMATableText"/>
            </w:pPr>
          </w:p>
        </w:tc>
      </w:tr>
      <w:tr w:rsidR="006F7865" w:rsidTr="006F7865">
        <w:trPr>
          <w:cantSplit/>
        </w:trPr>
        <w:tc>
          <w:tcPr>
            <w:tcW w:w="1250" w:type="pct"/>
            <w:vMerge w:val="restart"/>
          </w:tcPr>
          <w:p w:rsidR="006F7865" w:rsidRPr="000C1380" w:rsidRDefault="006F7865" w:rsidP="003D4FCE">
            <w:pPr>
              <w:pStyle w:val="APVMATableText"/>
            </w:pPr>
            <w:r>
              <w:t>Sediment dwellers</w:t>
            </w:r>
          </w:p>
        </w:tc>
        <w:tc>
          <w:tcPr>
            <w:tcW w:w="1103" w:type="pct"/>
            <w:tcBorders>
              <w:top w:val="single" w:sz="4" w:space="0" w:color="auto"/>
              <w:bottom w:val="single" w:sz="4" w:space="0" w:color="auto"/>
            </w:tcBorders>
          </w:tcPr>
          <w:p w:rsidR="006F7865" w:rsidRPr="000C1380" w:rsidRDefault="006F7865" w:rsidP="003D4FCE">
            <w:pPr>
              <w:pStyle w:val="APVMATableText"/>
            </w:pPr>
            <w:r>
              <w:t>Acute</w:t>
            </w:r>
          </w:p>
        </w:tc>
        <w:tc>
          <w:tcPr>
            <w:tcW w:w="956" w:type="pct"/>
            <w:tcBorders>
              <w:top w:val="single" w:sz="4" w:space="0" w:color="auto"/>
              <w:bottom w:val="single" w:sz="4" w:space="0" w:color="auto"/>
            </w:tcBorders>
          </w:tcPr>
          <w:p w:rsidR="006F7865" w:rsidRPr="000C1380" w:rsidRDefault="006F7865" w:rsidP="003D4FCE">
            <w:pPr>
              <w:pStyle w:val="APVMATableText"/>
            </w:pPr>
          </w:p>
        </w:tc>
        <w:tc>
          <w:tcPr>
            <w:tcW w:w="589" w:type="pct"/>
            <w:tcBorders>
              <w:top w:val="single" w:sz="4" w:space="0" w:color="auto"/>
              <w:bottom w:val="single" w:sz="4" w:space="0" w:color="auto"/>
            </w:tcBorders>
          </w:tcPr>
          <w:p w:rsidR="006F7865" w:rsidRPr="000C1380" w:rsidRDefault="006F7865" w:rsidP="003D4FCE">
            <w:pPr>
              <w:pStyle w:val="APVMATableText"/>
            </w:pPr>
          </w:p>
        </w:tc>
        <w:tc>
          <w:tcPr>
            <w:tcW w:w="588" w:type="pct"/>
            <w:tcBorders>
              <w:top w:val="single" w:sz="4" w:space="0" w:color="auto"/>
              <w:bottom w:val="single" w:sz="4" w:space="0" w:color="auto"/>
            </w:tcBorders>
          </w:tcPr>
          <w:p w:rsidR="006F7865" w:rsidRDefault="006F7865" w:rsidP="003D4FCE">
            <w:pPr>
              <w:pStyle w:val="APVMATableText"/>
            </w:pPr>
          </w:p>
        </w:tc>
        <w:tc>
          <w:tcPr>
            <w:tcW w:w="514" w:type="pct"/>
            <w:tcBorders>
              <w:top w:val="single" w:sz="4" w:space="0" w:color="auto"/>
              <w:bottom w:val="single" w:sz="4" w:space="0" w:color="auto"/>
            </w:tcBorders>
          </w:tcPr>
          <w:p w:rsidR="006F7865" w:rsidRDefault="006F7865" w:rsidP="003D4FCE">
            <w:pPr>
              <w:pStyle w:val="APVMATableText"/>
            </w:pPr>
          </w:p>
        </w:tc>
      </w:tr>
      <w:tr w:rsidR="006F7865" w:rsidTr="006F7865">
        <w:trPr>
          <w:cantSplit/>
        </w:trPr>
        <w:tc>
          <w:tcPr>
            <w:tcW w:w="1250" w:type="pct"/>
            <w:vMerge/>
            <w:tcBorders>
              <w:bottom w:val="single" w:sz="4" w:space="0" w:color="auto"/>
            </w:tcBorders>
          </w:tcPr>
          <w:p w:rsidR="006F7865" w:rsidRDefault="006F7865" w:rsidP="003D4FCE">
            <w:pPr>
              <w:pStyle w:val="APVMATableText"/>
            </w:pPr>
          </w:p>
        </w:tc>
        <w:tc>
          <w:tcPr>
            <w:tcW w:w="1103" w:type="pct"/>
            <w:tcBorders>
              <w:top w:val="single" w:sz="4" w:space="0" w:color="auto"/>
              <w:bottom w:val="single" w:sz="4" w:space="0" w:color="auto"/>
            </w:tcBorders>
          </w:tcPr>
          <w:p w:rsidR="006F7865" w:rsidRDefault="006F7865" w:rsidP="003D4FCE">
            <w:pPr>
              <w:pStyle w:val="APVMATableText"/>
            </w:pPr>
            <w:r>
              <w:t>Chronic</w:t>
            </w:r>
          </w:p>
        </w:tc>
        <w:tc>
          <w:tcPr>
            <w:tcW w:w="956" w:type="pct"/>
            <w:tcBorders>
              <w:top w:val="single" w:sz="4" w:space="0" w:color="auto"/>
              <w:bottom w:val="single" w:sz="4" w:space="0" w:color="auto"/>
            </w:tcBorders>
          </w:tcPr>
          <w:p w:rsidR="006F7865" w:rsidRDefault="006F7865" w:rsidP="003D4FCE">
            <w:pPr>
              <w:pStyle w:val="APVMATableText"/>
            </w:pPr>
          </w:p>
        </w:tc>
        <w:tc>
          <w:tcPr>
            <w:tcW w:w="589" w:type="pct"/>
            <w:tcBorders>
              <w:top w:val="single" w:sz="4" w:space="0" w:color="auto"/>
              <w:bottom w:val="single" w:sz="4" w:space="0" w:color="auto"/>
            </w:tcBorders>
          </w:tcPr>
          <w:p w:rsidR="006F7865" w:rsidRDefault="006F7865" w:rsidP="003D4FCE">
            <w:pPr>
              <w:pStyle w:val="APVMATableText"/>
            </w:pPr>
          </w:p>
        </w:tc>
        <w:tc>
          <w:tcPr>
            <w:tcW w:w="588" w:type="pct"/>
            <w:tcBorders>
              <w:top w:val="single" w:sz="4" w:space="0" w:color="auto"/>
              <w:bottom w:val="single" w:sz="4" w:space="0" w:color="auto"/>
            </w:tcBorders>
          </w:tcPr>
          <w:p w:rsidR="006F7865" w:rsidRDefault="006F7865" w:rsidP="003D4FCE">
            <w:pPr>
              <w:pStyle w:val="APVMATableText"/>
            </w:pPr>
          </w:p>
        </w:tc>
        <w:tc>
          <w:tcPr>
            <w:tcW w:w="514" w:type="pct"/>
            <w:tcBorders>
              <w:top w:val="single" w:sz="4" w:space="0" w:color="auto"/>
              <w:bottom w:val="single" w:sz="4" w:space="0" w:color="auto"/>
            </w:tcBorders>
          </w:tcPr>
          <w:p w:rsidR="006F7865" w:rsidRDefault="006F7865" w:rsidP="003D4FCE">
            <w:pPr>
              <w:pStyle w:val="APVMATableText"/>
            </w:pPr>
          </w:p>
        </w:tc>
      </w:tr>
      <w:tr w:rsidR="006F7865" w:rsidTr="006F7865">
        <w:trPr>
          <w:cantSplit/>
        </w:trPr>
        <w:tc>
          <w:tcPr>
            <w:tcW w:w="1250" w:type="pct"/>
            <w:tcBorders>
              <w:bottom w:val="single" w:sz="4" w:space="0" w:color="auto"/>
            </w:tcBorders>
          </w:tcPr>
          <w:p w:rsidR="006F7865" w:rsidRDefault="006F7865" w:rsidP="003D4FCE">
            <w:pPr>
              <w:pStyle w:val="APVMATableText"/>
            </w:pPr>
            <w:r>
              <w:t>Algae</w:t>
            </w:r>
          </w:p>
        </w:tc>
        <w:tc>
          <w:tcPr>
            <w:tcW w:w="1103" w:type="pct"/>
            <w:tcBorders>
              <w:top w:val="single" w:sz="4" w:space="0" w:color="auto"/>
              <w:bottom w:val="single" w:sz="4" w:space="0" w:color="auto"/>
            </w:tcBorders>
          </w:tcPr>
          <w:p w:rsidR="006F7865" w:rsidRDefault="006F7865" w:rsidP="003D4FCE">
            <w:pPr>
              <w:pStyle w:val="APVMATableText"/>
            </w:pPr>
            <w:r>
              <w:t>Chronic</w:t>
            </w:r>
          </w:p>
        </w:tc>
        <w:tc>
          <w:tcPr>
            <w:tcW w:w="956" w:type="pct"/>
            <w:tcBorders>
              <w:top w:val="single" w:sz="4" w:space="0" w:color="auto"/>
              <w:bottom w:val="single" w:sz="4" w:space="0" w:color="auto"/>
            </w:tcBorders>
          </w:tcPr>
          <w:p w:rsidR="006F7865" w:rsidRDefault="006F7865" w:rsidP="003D4FCE">
            <w:pPr>
              <w:pStyle w:val="APVMATableText"/>
            </w:pPr>
          </w:p>
        </w:tc>
        <w:tc>
          <w:tcPr>
            <w:tcW w:w="589" w:type="pct"/>
            <w:tcBorders>
              <w:top w:val="single" w:sz="4" w:space="0" w:color="auto"/>
              <w:bottom w:val="single" w:sz="4" w:space="0" w:color="auto"/>
            </w:tcBorders>
          </w:tcPr>
          <w:p w:rsidR="006F7865" w:rsidRDefault="006F7865" w:rsidP="003D4FCE">
            <w:pPr>
              <w:pStyle w:val="APVMATableText"/>
            </w:pPr>
          </w:p>
        </w:tc>
        <w:tc>
          <w:tcPr>
            <w:tcW w:w="588" w:type="pct"/>
            <w:tcBorders>
              <w:top w:val="single" w:sz="4" w:space="0" w:color="auto"/>
              <w:bottom w:val="single" w:sz="4" w:space="0" w:color="auto"/>
            </w:tcBorders>
          </w:tcPr>
          <w:p w:rsidR="006F7865" w:rsidRDefault="006F7865" w:rsidP="003D4FCE">
            <w:pPr>
              <w:pStyle w:val="APVMATableText"/>
            </w:pPr>
          </w:p>
        </w:tc>
        <w:tc>
          <w:tcPr>
            <w:tcW w:w="514" w:type="pct"/>
            <w:tcBorders>
              <w:top w:val="single" w:sz="4" w:space="0" w:color="auto"/>
              <w:bottom w:val="single" w:sz="4" w:space="0" w:color="auto"/>
            </w:tcBorders>
          </w:tcPr>
          <w:p w:rsidR="006F7865" w:rsidRDefault="006F7865" w:rsidP="003D4FCE">
            <w:pPr>
              <w:pStyle w:val="APVMATableText"/>
            </w:pPr>
          </w:p>
        </w:tc>
      </w:tr>
      <w:tr w:rsidR="006F7865" w:rsidTr="006F7865">
        <w:trPr>
          <w:cantSplit/>
        </w:trPr>
        <w:tc>
          <w:tcPr>
            <w:tcW w:w="1250" w:type="pct"/>
            <w:tcBorders>
              <w:top w:val="single" w:sz="4" w:space="0" w:color="auto"/>
              <w:bottom w:val="single" w:sz="4" w:space="0" w:color="auto"/>
            </w:tcBorders>
          </w:tcPr>
          <w:p w:rsidR="006F7865" w:rsidRDefault="006F7865" w:rsidP="003D4FCE">
            <w:pPr>
              <w:pStyle w:val="APVMATableText"/>
            </w:pPr>
            <w:r>
              <w:t>Aquatic plants</w:t>
            </w:r>
          </w:p>
        </w:tc>
        <w:tc>
          <w:tcPr>
            <w:tcW w:w="1103" w:type="pct"/>
            <w:tcBorders>
              <w:top w:val="single" w:sz="4" w:space="0" w:color="auto"/>
              <w:bottom w:val="single" w:sz="4" w:space="0" w:color="auto"/>
            </w:tcBorders>
          </w:tcPr>
          <w:p w:rsidR="006F7865" w:rsidRDefault="006F7865" w:rsidP="003D4FCE">
            <w:pPr>
              <w:pStyle w:val="APVMATableText"/>
            </w:pPr>
            <w:r>
              <w:t>Chronic</w:t>
            </w:r>
          </w:p>
        </w:tc>
        <w:tc>
          <w:tcPr>
            <w:tcW w:w="956" w:type="pct"/>
            <w:tcBorders>
              <w:top w:val="single" w:sz="4" w:space="0" w:color="auto"/>
              <w:bottom w:val="single" w:sz="4" w:space="0" w:color="auto"/>
            </w:tcBorders>
          </w:tcPr>
          <w:p w:rsidR="006F7865" w:rsidRDefault="006F7865" w:rsidP="003D4FCE">
            <w:pPr>
              <w:pStyle w:val="APVMATableText"/>
            </w:pPr>
          </w:p>
        </w:tc>
        <w:tc>
          <w:tcPr>
            <w:tcW w:w="589" w:type="pct"/>
            <w:tcBorders>
              <w:top w:val="single" w:sz="4" w:space="0" w:color="auto"/>
              <w:bottom w:val="single" w:sz="4" w:space="0" w:color="auto"/>
            </w:tcBorders>
          </w:tcPr>
          <w:p w:rsidR="006F7865" w:rsidRDefault="006F7865" w:rsidP="003D4FCE">
            <w:pPr>
              <w:pStyle w:val="APVMATableText"/>
            </w:pPr>
          </w:p>
        </w:tc>
        <w:tc>
          <w:tcPr>
            <w:tcW w:w="588" w:type="pct"/>
            <w:tcBorders>
              <w:top w:val="single" w:sz="4" w:space="0" w:color="auto"/>
              <w:bottom w:val="single" w:sz="4" w:space="0" w:color="auto"/>
            </w:tcBorders>
          </w:tcPr>
          <w:p w:rsidR="006F7865" w:rsidRDefault="006F7865" w:rsidP="003D4FCE">
            <w:pPr>
              <w:pStyle w:val="APVMATableText"/>
            </w:pPr>
          </w:p>
        </w:tc>
        <w:tc>
          <w:tcPr>
            <w:tcW w:w="514" w:type="pct"/>
            <w:tcBorders>
              <w:top w:val="single" w:sz="4" w:space="0" w:color="auto"/>
              <w:bottom w:val="single" w:sz="4" w:space="0" w:color="auto"/>
            </w:tcBorders>
          </w:tcPr>
          <w:p w:rsidR="006F7865" w:rsidRDefault="006F7865" w:rsidP="003D4FCE">
            <w:pPr>
              <w:pStyle w:val="APVMATableText"/>
            </w:pPr>
          </w:p>
        </w:tc>
      </w:tr>
    </w:tbl>
    <w:p w:rsidR="006F7865" w:rsidRPr="006B0375" w:rsidRDefault="006F7865" w:rsidP="006F7865">
      <w:pPr>
        <w:pStyle w:val="APVMASourceTableNote"/>
      </w:pPr>
      <w:r w:rsidRPr="006B0375">
        <w:t>Cumulative application rate is based on maximum single application rate, number of applications, interval between applications and water/sediment DT50 value</w:t>
      </w:r>
      <w:r>
        <w:t>.</w:t>
      </w:r>
    </w:p>
    <w:p w:rsidR="006F7865" w:rsidRPr="006B0375" w:rsidRDefault="006F7865" w:rsidP="006F7865">
      <w:pPr>
        <w:pStyle w:val="APVMASourceTableNote"/>
      </w:pPr>
      <w:r w:rsidRPr="006B0375">
        <w:t>PEC (water) = predicted environmental concentration in 15-cm water depth (mg/L) = cumulative rate (g/ha) / 1500</w:t>
      </w:r>
      <w:r>
        <w:t>.</w:t>
      </w:r>
    </w:p>
    <w:p w:rsidR="006F7865" w:rsidRPr="006B0375" w:rsidRDefault="006F7865" w:rsidP="006F7865">
      <w:pPr>
        <w:pStyle w:val="APVMASourceTableNote"/>
      </w:pPr>
      <w:r w:rsidRPr="006B0375">
        <w:t>PEC (sediment) = predicted environmental concentration in sediment (mg/kg ds) = cumulative rate (g/ha) / 1500 * (0.8+(0.2*KP/1000*2400))/1280*1000</w:t>
      </w:r>
      <w:r>
        <w:t>.</w:t>
      </w:r>
    </w:p>
    <w:p w:rsidR="006F7865" w:rsidRPr="006B0375" w:rsidRDefault="006F7865" w:rsidP="006F7865">
      <w:pPr>
        <w:pStyle w:val="APVMASourceTableNote"/>
      </w:pPr>
      <w:r w:rsidRPr="006B0375">
        <w:t>RAC = regulatory acceptable concentration from Table B1</w:t>
      </w:r>
      <w:r>
        <w:t>.</w:t>
      </w:r>
    </w:p>
    <w:p w:rsidR="006F7865" w:rsidRPr="006B0375" w:rsidRDefault="006F7865" w:rsidP="006F7865">
      <w:pPr>
        <w:pStyle w:val="APVMASourceTableNote"/>
      </w:pPr>
      <w:r w:rsidRPr="006B0375">
        <w:t>RQ = risk quotient = PEC/RAC, where acceptable RQ ≤1</w:t>
      </w:r>
      <w:r>
        <w:t>.</w:t>
      </w:r>
    </w:p>
    <w:p w:rsidR="006F7865" w:rsidRDefault="006F7865" w:rsidP="006F7865">
      <w:pPr>
        <w:pStyle w:val="Caption"/>
      </w:pPr>
      <w:bookmarkStart w:id="21" w:name="_Toc37151379"/>
      <w:r>
        <w:t>Table B</w:t>
      </w:r>
      <w:r>
        <w:fldChar w:fldCharType="begin"/>
      </w:r>
      <w:r>
        <w:rPr>
          <w:noProof/>
        </w:rPr>
        <w:instrText xml:space="preserve"> SEQ Table \* ARABIC </w:instrText>
      </w:r>
      <w:r>
        <w:fldChar w:fldCharType="separate"/>
      </w:r>
      <w:r>
        <w:rPr>
          <w:noProof/>
        </w:rPr>
        <w:t>3</w:t>
      </w:r>
      <w:r>
        <w:fldChar w:fldCharType="end"/>
      </w:r>
      <w:r>
        <w:t>:</w:t>
      </w:r>
      <w:r>
        <w:tab/>
      </w:r>
      <w:r w:rsidRPr="00E04E84">
        <w:t>Assessment of runoff risks to aquatic species</w:t>
      </w:r>
      <w:r>
        <w:t>—</w:t>
      </w:r>
      <w:r>
        <w:t>Tier 1 (screening level)</w:t>
      </w:r>
      <w:bookmarkEnd w:id="21"/>
    </w:p>
    <w:tbl>
      <w:tblPr>
        <w:tblW w:w="5000" w:type="pct"/>
        <w:tblBorders>
          <w:bottom w:val="dotted" w:sz="2" w:space="0" w:color="auto"/>
          <w:insideH w:val="dotted" w:sz="2" w:space="0" w:color="auto"/>
        </w:tblBorders>
        <w:tblLook w:val="0000" w:firstRow="0" w:lastRow="0" w:firstColumn="0" w:lastColumn="0" w:noHBand="0" w:noVBand="0"/>
      </w:tblPr>
      <w:tblGrid>
        <w:gridCol w:w="5262"/>
        <w:gridCol w:w="4376"/>
      </w:tblGrid>
      <w:tr w:rsidR="006F7865" w:rsidTr="006F7865">
        <w:trPr>
          <w:tblHeader/>
        </w:trPr>
        <w:tc>
          <w:tcPr>
            <w:tcW w:w="2730" w:type="pct"/>
            <w:tcBorders>
              <w:top w:val="nil"/>
              <w:bottom w:val="single" w:sz="4" w:space="0" w:color="auto"/>
            </w:tcBorders>
            <w:shd w:val="clear" w:color="auto" w:fill="5C2946"/>
            <w:vAlign w:val="center"/>
          </w:tcPr>
          <w:p w:rsidR="006F7865" w:rsidRDefault="006F7865" w:rsidP="006F7865">
            <w:pPr>
              <w:pStyle w:val="APVMATableHead"/>
            </w:pPr>
            <w:r>
              <w:t>Parameter</w:t>
            </w:r>
          </w:p>
        </w:tc>
        <w:tc>
          <w:tcPr>
            <w:tcW w:w="2270" w:type="pct"/>
            <w:tcBorders>
              <w:top w:val="nil"/>
              <w:bottom w:val="single" w:sz="4" w:space="0" w:color="auto"/>
            </w:tcBorders>
            <w:shd w:val="clear" w:color="auto" w:fill="5C2946"/>
            <w:vAlign w:val="center"/>
          </w:tcPr>
          <w:p w:rsidR="006F7865" w:rsidRDefault="006F7865" w:rsidP="006F7865">
            <w:pPr>
              <w:pStyle w:val="APVMATableHead"/>
              <w:jc w:val="right"/>
            </w:pPr>
            <w:r>
              <w:t>Value</w:t>
            </w:r>
          </w:p>
        </w:tc>
      </w:tr>
      <w:tr w:rsidR="006F7865" w:rsidTr="006F7865">
        <w:tc>
          <w:tcPr>
            <w:tcW w:w="2730" w:type="pct"/>
            <w:tcBorders>
              <w:top w:val="single" w:sz="4" w:space="0" w:color="auto"/>
              <w:bottom w:val="single" w:sz="4" w:space="0" w:color="auto"/>
            </w:tcBorders>
            <w:vAlign w:val="center"/>
          </w:tcPr>
          <w:p w:rsidR="006F7865" w:rsidRPr="00211FCF" w:rsidRDefault="006F7865" w:rsidP="006F7865">
            <w:pPr>
              <w:pStyle w:val="APVMATableText"/>
            </w:pPr>
            <w:r>
              <w:t>Cumulative</w:t>
            </w:r>
            <w:r>
              <w:t xml:space="preserve"> rate </w:t>
            </w:r>
            <w:r>
              <w:t>(g</w:t>
            </w:r>
            <w:r w:rsidRPr="00211FCF">
              <w:t>/ha)</w:t>
            </w:r>
          </w:p>
        </w:tc>
        <w:tc>
          <w:tcPr>
            <w:tcW w:w="2270" w:type="pct"/>
            <w:tcBorders>
              <w:top w:val="single" w:sz="4" w:space="0" w:color="auto"/>
              <w:bottom w:val="single" w:sz="4" w:space="0" w:color="auto"/>
            </w:tcBorders>
            <w:vAlign w:val="center"/>
          </w:tcPr>
          <w:p w:rsidR="006F7865" w:rsidRPr="00211FCF" w:rsidRDefault="006F7865" w:rsidP="006F7865">
            <w:pPr>
              <w:pStyle w:val="APVMATableText"/>
              <w:jc w:val="right"/>
            </w:pPr>
          </w:p>
        </w:tc>
      </w:tr>
      <w:tr w:rsidR="006F7865" w:rsidTr="006F7865">
        <w:tc>
          <w:tcPr>
            <w:tcW w:w="2730" w:type="pct"/>
            <w:tcBorders>
              <w:top w:val="single" w:sz="4" w:space="0" w:color="auto"/>
              <w:bottom w:val="single" w:sz="4" w:space="0" w:color="auto"/>
            </w:tcBorders>
            <w:vAlign w:val="center"/>
          </w:tcPr>
          <w:p w:rsidR="006F7865" w:rsidRPr="00211FCF" w:rsidRDefault="006F7865" w:rsidP="006F7865">
            <w:pPr>
              <w:pStyle w:val="APVMATableText"/>
            </w:pPr>
            <w:r w:rsidRPr="00211FCF">
              <w:t>Interception value</w:t>
            </w:r>
            <w:r>
              <w:t>—</w:t>
            </w:r>
            <w:r>
              <w:t>F</w:t>
            </w:r>
            <w:r w:rsidRPr="006843EC">
              <w:rPr>
                <w:vertAlign w:val="subscript"/>
              </w:rPr>
              <w:t>int</w:t>
            </w:r>
            <w:r>
              <w:rPr>
                <w:vertAlign w:val="subscript"/>
              </w:rPr>
              <w:t xml:space="preserve"> </w:t>
            </w:r>
            <w:r>
              <w:t>(fraction)</w:t>
            </w:r>
          </w:p>
        </w:tc>
        <w:tc>
          <w:tcPr>
            <w:tcW w:w="2270" w:type="pct"/>
            <w:tcBorders>
              <w:top w:val="single" w:sz="4" w:space="0" w:color="auto"/>
              <w:bottom w:val="single" w:sz="4" w:space="0" w:color="auto"/>
            </w:tcBorders>
            <w:vAlign w:val="center"/>
          </w:tcPr>
          <w:p w:rsidR="006F7865" w:rsidRPr="00211FCF" w:rsidRDefault="006F7865" w:rsidP="006F7865">
            <w:pPr>
              <w:pStyle w:val="APVMATableText"/>
              <w:jc w:val="right"/>
            </w:pPr>
          </w:p>
        </w:tc>
      </w:tr>
      <w:tr w:rsidR="006F7865" w:rsidTr="006F7865">
        <w:tc>
          <w:tcPr>
            <w:tcW w:w="2730" w:type="pct"/>
            <w:tcBorders>
              <w:top w:val="single" w:sz="4" w:space="0" w:color="auto"/>
              <w:bottom w:val="single" w:sz="4" w:space="0" w:color="auto"/>
            </w:tcBorders>
            <w:vAlign w:val="center"/>
          </w:tcPr>
          <w:p w:rsidR="006F7865" w:rsidRPr="00211FCF" w:rsidRDefault="006F7865" w:rsidP="006F7865">
            <w:pPr>
              <w:pStyle w:val="APVMATableText"/>
            </w:pPr>
            <w:r>
              <w:t>Soil DT</w:t>
            </w:r>
            <w:r w:rsidRPr="006843EC">
              <w:rPr>
                <w:vertAlign w:val="subscript"/>
              </w:rPr>
              <w:t>50</w:t>
            </w:r>
            <w:r>
              <w:rPr>
                <w:vertAlign w:val="subscript"/>
              </w:rPr>
              <w:t xml:space="preserve"> </w:t>
            </w:r>
            <w:r>
              <w:t>(d)</w:t>
            </w:r>
          </w:p>
        </w:tc>
        <w:tc>
          <w:tcPr>
            <w:tcW w:w="2270" w:type="pct"/>
            <w:tcBorders>
              <w:top w:val="single" w:sz="4" w:space="0" w:color="auto"/>
              <w:bottom w:val="single" w:sz="4" w:space="0" w:color="auto"/>
            </w:tcBorders>
            <w:vAlign w:val="center"/>
          </w:tcPr>
          <w:p w:rsidR="006F7865" w:rsidRDefault="006F7865" w:rsidP="006F7865">
            <w:pPr>
              <w:pStyle w:val="APVMATableText"/>
              <w:jc w:val="right"/>
            </w:pPr>
          </w:p>
        </w:tc>
      </w:tr>
      <w:tr w:rsidR="006F7865" w:rsidTr="006F7865">
        <w:tc>
          <w:tcPr>
            <w:tcW w:w="2730" w:type="pct"/>
            <w:tcBorders>
              <w:top w:val="single" w:sz="4" w:space="0" w:color="auto"/>
              <w:bottom w:val="single" w:sz="4" w:space="0" w:color="auto"/>
            </w:tcBorders>
            <w:vAlign w:val="center"/>
          </w:tcPr>
          <w:p w:rsidR="006F7865" w:rsidRPr="00211FCF" w:rsidRDefault="006F7865" w:rsidP="006F7865">
            <w:pPr>
              <w:pStyle w:val="APVMATableText"/>
            </w:pPr>
            <w:r>
              <w:t>K</w:t>
            </w:r>
            <w:r>
              <w:rPr>
                <w:vertAlign w:val="subscript"/>
              </w:rPr>
              <w:t>d</w:t>
            </w:r>
            <w:r>
              <w:rPr>
                <w:vertAlign w:val="subscript"/>
              </w:rPr>
              <w:t xml:space="preserve"> </w:t>
            </w:r>
            <w:r>
              <w:t>(L/kg)</w:t>
            </w:r>
          </w:p>
        </w:tc>
        <w:tc>
          <w:tcPr>
            <w:tcW w:w="2270" w:type="pct"/>
            <w:tcBorders>
              <w:top w:val="single" w:sz="4" w:space="0" w:color="auto"/>
              <w:bottom w:val="single" w:sz="4" w:space="0" w:color="auto"/>
            </w:tcBorders>
            <w:vAlign w:val="center"/>
          </w:tcPr>
          <w:p w:rsidR="006F7865" w:rsidRDefault="006F7865" w:rsidP="006F7865">
            <w:pPr>
              <w:pStyle w:val="APVMATableText"/>
              <w:jc w:val="right"/>
            </w:pPr>
          </w:p>
        </w:tc>
      </w:tr>
      <w:tr w:rsidR="006F7865" w:rsidTr="006F7865">
        <w:tc>
          <w:tcPr>
            <w:tcW w:w="2730" w:type="pct"/>
            <w:tcBorders>
              <w:top w:val="single" w:sz="4" w:space="0" w:color="auto"/>
              <w:bottom w:val="single" w:sz="4" w:space="0" w:color="auto"/>
            </w:tcBorders>
            <w:vAlign w:val="center"/>
          </w:tcPr>
          <w:p w:rsidR="006F7865" w:rsidRPr="00211FCF" w:rsidRDefault="006F7865" w:rsidP="006F7865">
            <w:pPr>
              <w:pStyle w:val="APVMATableText"/>
            </w:pPr>
            <w:r>
              <w:t>Rainfall—</w:t>
            </w:r>
            <w:r>
              <w:t>P</w:t>
            </w:r>
            <w:r>
              <w:t xml:space="preserve"> </w:t>
            </w:r>
            <w:r>
              <w:t>(mm)</w:t>
            </w:r>
          </w:p>
        </w:tc>
        <w:tc>
          <w:tcPr>
            <w:tcW w:w="2270" w:type="pct"/>
            <w:tcBorders>
              <w:top w:val="single" w:sz="4" w:space="0" w:color="auto"/>
              <w:bottom w:val="single" w:sz="4" w:space="0" w:color="auto"/>
            </w:tcBorders>
            <w:vAlign w:val="center"/>
          </w:tcPr>
          <w:p w:rsidR="006F7865" w:rsidRPr="00211FCF" w:rsidRDefault="006F7865" w:rsidP="006F7865">
            <w:pPr>
              <w:pStyle w:val="APVMATableText"/>
              <w:jc w:val="right"/>
            </w:pPr>
            <w:r>
              <w:t>8.00</w:t>
            </w:r>
          </w:p>
        </w:tc>
      </w:tr>
      <w:tr w:rsidR="006F7865" w:rsidTr="006F7865">
        <w:tc>
          <w:tcPr>
            <w:tcW w:w="2730" w:type="pct"/>
            <w:tcBorders>
              <w:top w:val="single" w:sz="4" w:space="0" w:color="auto"/>
              <w:bottom w:val="single" w:sz="4" w:space="0" w:color="auto"/>
            </w:tcBorders>
            <w:vAlign w:val="center"/>
          </w:tcPr>
          <w:p w:rsidR="006F7865" w:rsidRPr="00211FCF" w:rsidRDefault="006F7865" w:rsidP="006F7865">
            <w:pPr>
              <w:pStyle w:val="APVMATableText"/>
            </w:pPr>
            <w:r w:rsidRPr="00211FCF">
              <w:t>Runoff</w:t>
            </w:r>
            <w:r>
              <w:t>—</w:t>
            </w:r>
            <w:r>
              <w:t>Q</w:t>
            </w:r>
            <w:r>
              <w:t xml:space="preserve"> </w:t>
            </w:r>
            <w:r w:rsidRPr="00211FCF">
              <w:t>(mm)</w:t>
            </w:r>
          </w:p>
        </w:tc>
        <w:tc>
          <w:tcPr>
            <w:tcW w:w="2270" w:type="pct"/>
            <w:tcBorders>
              <w:top w:val="single" w:sz="4" w:space="0" w:color="auto"/>
              <w:bottom w:val="single" w:sz="4" w:space="0" w:color="auto"/>
            </w:tcBorders>
            <w:vAlign w:val="center"/>
          </w:tcPr>
          <w:p w:rsidR="006F7865" w:rsidRPr="00211FCF" w:rsidRDefault="006F7865" w:rsidP="006F7865">
            <w:pPr>
              <w:pStyle w:val="APVMATableText"/>
              <w:jc w:val="right"/>
            </w:pPr>
            <w:r w:rsidRPr="00211FCF">
              <w:t>1.34</w:t>
            </w:r>
          </w:p>
        </w:tc>
      </w:tr>
      <w:tr w:rsidR="006F7865" w:rsidTr="006F7865">
        <w:tc>
          <w:tcPr>
            <w:tcW w:w="2730" w:type="pct"/>
            <w:tcBorders>
              <w:top w:val="single" w:sz="4" w:space="0" w:color="auto"/>
              <w:bottom w:val="single" w:sz="4" w:space="0" w:color="auto"/>
            </w:tcBorders>
            <w:vAlign w:val="center"/>
          </w:tcPr>
          <w:p w:rsidR="006F7865" w:rsidRPr="00211FCF" w:rsidRDefault="006F7865" w:rsidP="006F7865">
            <w:pPr>
              <w:pStyle w:val="APVMATableText"/>
            </w:pPr>
            <w:r w:rsidRPr="006843EC">
              <w:rPr>
                <w:szCs w:val="18"/>
              </w:rPr>
              <w:t>Cr</w:t>
            </w:r>
            <w:r w:rsidRPr="006843EC">
              <w:rPr>
                <w:szCs w:val="18"/>
                <w:vertAlign w:val="subscript"/>
              </w:rPr>
              <w:t>soil surface</w:t>
            </w:r>
            <w:r>
              <w:rPr>
                <w:szCs w:val="18"/>
                <w:vertAlign w:val="subscript"/>
              </w:rPr>
              <w:t xml:space="preserve"> </w:t>
            </w:r>
            <w:r>
              <w:t>(fraction)</w:t>
            </w:r>
          </w:p>
        </w:tc>
        <w:tc>
          <w:tcPr>
            <w:tcW w:w="2270" w:type="pct"/>
            <w:tcBorders>
              <w:top w:val="single" w:sz="4" w:space="0" w:color="auto"/>
              <w:bottom w:val="single" w:sz="4" w:space="0" w:color="auto"/>
            </w:tcBorders>
            <w:vAlign w:val="center"/>
          </w:tcPr>
          <w:p w:rsidR="006F7865" w:rsidRDefault="006F7865" w:rsidP="006F7865">
            <w:pPr>
              <w:pStyle w:val="APVMATableText"/>
              <w:jc w:val="right"/>
            </w:pPr>
          </w:p>
        </w:tc>
      </w:tr>
      <w:tr w:rsidR="006F7865" w:rsidTr="006F7865">
        <w:tc>
          <w:tcPr>
            <w:tcW w:w="2730" w:type="pct"/>
            <w:tcBorders>
              <w:top w:val="single" w:sz="4" w:space="0" w:color="auto"/>
              <w:bottom w:val="single" w:sz="4" w:space="0" w:color="auto"/>
            </w:tcBorders>
            <w:vAlign w:val="center"/>
          </w:tcPr>
          <w:p w:rsidR="006F7865" w:rsidRPr="00211FCF" w:rsidRDefault="006F7865" w:rsidP="006F7865">
            <w:pPr>
              <w:pStyle w:val="APVMATableText"/>
            </w:pPr>
            <w:r>
              <w:rPr>
                <w:szCs w:val="18"/>
              </w:rPr>
              <w:t>s</w:t>
            </w:r>
            <w:r w:rsidRPr="006843EC">
              <w:rPr>
                <w:szCs w:val="18"/>
              </w:rPr>
              <w:t>lope factor</w:t>
            </w:r>
            <w:r>
              <w:rPr>
                <w:szCs w:val="18"/>
              </w:rPr>
              <w:t>—</w:t>
            </w:r>
            <w:r>
              <w:rPr>
                <w:szCs w:val="18"/>
              </w:rPr>
              <w:t>F1</w:t>
            </w:r>
            <w:r>
              <w:rPr>
                <w:szCs w:val="18"/>
              </w:rPr>
              <w:t xml:space="preserve"> </w:t>
            </w:r>
            <w:r>
              <w:t>(fraction)</w:t>
            </w:r>
          </w:p>
        </w:tc>
        <w:tc>
          <w:tcPr>
            <w:tcW w:w="2270" w:type="pct"/>
            <w:tcBorders>
              <w:top w:val="single" w:sz="4" w:space="0" w:color="auto"/>
              <w:bottom w:val="single" w:sz="4" w:space="0" w:color="auto"/>
            </w:tcBorders>
            <w:vAlign w:val="center"/>
          </w:tcPr>
          <w:p w:rsidR="006F7865" w:rsidRDefault="006F7865" w:rsidP="006F7865">
            <w:pPr>
              <w:pStyle w:val="APVMATableText"/>
              <w:jc w:val="right"/>
            </w:pPr>
            <w:r>
              <w:t>0.26</w:t>
            </w:r>
          </w:p>
        </w:tc>
      </w:tr>
      <w:tr w:rsidR="006F7865" w:rsidTr="006F7865">
        <w:tc>
          <w:tcPr>
            <w:tcW w:w="2730" w:type="pct"/>
            <w:tcBorders>
              <w:top w:val="single" w:sz="4" w:space="0" w:color="auto"/>
              <w:bottom w:val="single" w:sz="4" w:space="0" w:color="auto"/>
            </w:tcBorders>
            <w:vAlign w:val="center"/>
          </w:tcPr>
          <w:p w:rsidR="006F7865" w:rsidRPr="00211FCF" w:rsidRDefault="006F7865" w:rsidP="006F7865">
            <w:pPr>
              <w:pStyle w:val="APVMATableText"/>
            </w:pPr>
            <w:r>
              <w:rPr>
                <w:szCs w:val="18"/>
              </w:rPr>
              <w:t>D</w:t>
            </w:r>
            <w:r w:rsidRPr="006843EC">
              <w:rPr>
                <w:szCs w:val="18"/>
              </w:rPr>
              <w:t>eposited fraction</w:t>
            </w:r>
            <w:r>
              <w:rPr>
                <w:szCs w:val="18"/>
              </w:rPr>
              <w:t>—</w:t>
            </w:r>
            <w:r>
              <w:rPr>
                <w:szCs w:val="18"/>
              </w:rPr>
              <w:t>F2</w:t>
            </w:r>
            <w:r>
              <w:rPr>
                <w:szCs w:val="18"/>
              </w:rPr>
              <w:t xml:space="preserve"> </w:t>
            </w:r>
            <w:r>
              <w:t>(fraction)</w:t>
            </w:r>
          </w:p>
        </w:tc>
        <w:tc>
          <w:tcPr>
            <w:tcW w:w="2270" w:type="pct"/>
            <w:tcBorders>
              <w:top w:val="single" w:sz="4" w:space="0" w:color="auto"/>
              <w:bottom w:val="single" w:sz="4" w:space="0" w:color="auto"/>
            </w:tcBorders>
            <w:vAlign w:val="center"/>
          </w:tcPr>
          <w:p w:rsidR="006F7865" w:rsidRDefault="006F7865" w:rsidP="006F7865">
            <w:pPr>
              <w:pStyle w:val="APVMATableText"/>
              <w:jc w:val="right"/>
            </w:pPr>
          </w:p>
        </w:tc>
      </w:tr>
      <w:tr w:rsidR="006F7865" w:rsidTr="006F7865">
        <w:tc>
          <w:tcPr>
            <w:tcW w:w="2730" w:type="pct"/>
            <w:tcBorders>
              <w:top w:val="single" w:sz="4" w:space="0" w:color="auto"/>
              <w:bottom w:val="single" w:sz="4" w:space="0" w:color="auto"/>
            </w:tcBorders>
            <w:vAlign w:val="center"/>
          </w:tcPr>
          <w:p w:rsidR="006F7865" w:rsidRPr="00211FCF" w:rsidRDefault="006F7865" w:rsidP="006F7865">
            <w:pPr>
              <w:pStyle w:val="APVMATableText"/>
            </w:pPr>
            <w:r>
              <w:t>Runoff</w:t>
            </w:r>
            <w:r>
              <w:t xml:space="preserve"> </w:t>
            </w:r>
            <w:r w:rsidRPr="00211FCF">
              <w:t>(% a</w:t>
            </w:r>
            <w:r>
              <w:t>pplied</w:t>
            </w:r>
            <w:r w:rsidRPr="00211FCF">
              <w:t>)</w:t>
            </w:r>
          </w:p>
        </w:tc>
        <w:tc>
          <w:tcPr>
            <w:tcW w:w="2270" w:type="pct"/>
            <w:tcBorders>
              <w:top w:val="single" w:sz="4" w:space="0" w:color="auto"/>
              <w:bottom w:val="single" w:sz="4" w:space="0" w:color="auto"/>
            </w:tcBorders>
            <w:vAlign w:val="center"/>
          </w:tcPr>
          <w:p w:rsidR="006F7865" w:rsidRPr="00211FCF" w:rsidRDefault="006F7865" w:rsidP="006F7865">
            <w:pPr>
              <w:pStyle w:val="APVMATableText"/>
              <w:jc w:val="right"/>
            </w:pPr>
          </w:p>
        </w:tc>
      </w:tr>
      <w:tr w:rsidR="006F7865" w:rsidTr="006F7865">
        <w:tc>
          <w:tcPr>
            <w:tcW w:w="2730" w:type="pct"/>
            <w:tcBorders>
              <w:top w:val="single" w:sz="4" w:space="0" w:color="auto"/>
              <w:bottom w:val="single" w:sz="4" w:space="0" w:color="auto"/>
            </w:tcBorders>
            <w:vAlign w:val="center"/>
          </w:tcPr>
          <w:p w:rsidR="006F7865" w:rsidRPr="00211FCF" w:rsidRDefault="006F7865" w:rsidP="006F7865">
            <w:pPr>
              <w:pStyle w:val="APVMATableText"/>
            </w:pPr>
            <w:r>
              <w:t xml:space="preserve">PEC </w:t>
            </w:r>
            <w:r w:rsidRPr="00211FCF">
              <w:t>(</w:t>
            </w:r>
            <w:r>
              <w:rPr>
                <w:sz w:val="16"/>
                <w:szCs w:val="18"/>
                <w:lang w:eastAsia="en-AU"/>
              </w:rPr>
              <w:t>µg</w:t>
            </w:r>
            <w:r w:rsidRPr="00211FCF">
              <w:rPr>
                <w:sz w:val="16"/>
                <w:szCs w:val="18"/>
                <w:lang w:eastAsia="en-AU"/>
              </w:rPr>
              <w:t>/L</w:t>
            </w:r>
            <w:r w:rsidRPr="00211FCF">
              <w:t>)</w:t>
            </w:r>
          </w:p>
        </w:tc>
        <w:tc>
          <w:tcPr>
            <w:tcW w:w="2270" w:type="pct"/>
            <w:tcBorders>
              <w:top w:val="single" w:sz="4" w:space="0" w:color="auto"/>
              <w:bottom w:val="single" w:sz="4" w:space="0" w:color="auto"/>
            </w:tcBorders>
            <w:vAlign w:val="center"/>
          </w:tcPr>
          <w:p w:rsidR="006F7865" w:rsidRPr="00211FCF" w:rsidRDefault="006F7865" w:rsidP="006F7865">
            <w:pPr>
              <w:pStyle w:val="APVMATableText"/>
              <w:jc w:val="right"/>
            </w:pPr>
          </w:p>
        </w:tc>
      </w:tr>
      <w:tr w:rsidR="006F7865" w:rsidTr="006F7865">
        <w:tc>
          <w:tcPr>
            <w:tcW w:w="2730" w:type="pct"/>
            <w:tcBorders>
              <w:top w:val="single" w:sz="4" w:space="0" w:color="auto"/>
              <w:bottom w:val="single" w:sz="4" w:space="0" w:color="auto"/>
            </w:tcBorders>
            <w:vAlign w:val="center"/>
          </w:tcPr>
          <w:p w:rsidR="006F7865" w:rsidRPr="00211FCF" w:rsidRDefault="006F7865" w:rsidP="006F7865">
            <w:pPr>
              <w:pStyle w:val="APVMATableText"/>
            </w:pPr>
            <w:r w:rsidRPr="00211FCF">
              <w:t>RAC</w:t>
            </w:r>
            <w:r>
              <w:t xml:space="preserve"> </w:t>
            </w:r>
            <w:r w:rsidRPr="00211FCF">
              <w:t>(</w:t>
            </w:r>
            <w:r>
              <w:rPr>
                <w:sz w:val="16"/>
                <w:szCs w:val="18"/>
                <w:lang w:eastAsia="en-AU"/>
              </w:rPr>
              <w:t>µg</w:t>
            </w:r>
            <w:r w:rsidRPr="00211FCF">
              <w:rPr>
                <w:sz w:val="16"/>
                <w:szCs w:val="18"/>
                <w:lang w:eastAsia="en-AU"/>
              </w:rPr>
              <w:t>/L</w:t>
            </w:r>
            <w:r w:rsidRPr="00211FCF">
              <w:t>)</w:t>
            </w:r>
          </w:p>
        </w:tc>
        <w:tc>
          <w:tcPr>
            <w:tcW w:w="2270" w:type="pct"/>
            <w:tcBorders>
              <w:top w:val="single" w:sz="4" w:space="0" w:color="auto"/>
              <w:bottom w:val="single" w:sz="4" w:space="0" w:color="auto"/>
            </w:tcBorders>
            <w:vAlign w:val="center"/>
          </w:tcPr>
          <w:p w:rsidR="006F7865" w:rsidRPr="00211FCF" w:rsidRDefault="006F7865" w:rsidP="006F7865">
            <w:pPr>
              <w:pStyle w:val="APVMATableText"/>
              <w:jc w:val="right"/>
            </w:pPr>
          </w:p>
        </w:tc>
      </w:tr>
      <w:tr w:rsidR="006F7865" w:rsidTr="006F7865">
        <w:tc>
          <w:tcPr>
            <w:tcW w:w="2730" w:type="pct"/>
            <w:tcBorders>
              <w:top w:val="single" w:sz="4" w:space="0" w:color="auto"/>
              <w:bottom w:val="single" w:sz="4" w:space="0" w:color="auto"/>
            </w:tcBorders>
            <w:vAlign w:val="center"/>
          </w:tcPr>
          <w:p w:rsidR="006F7865" w:rsidRPr="00211FCF" w:rsidRDefault="006F7865" w:rsidP="006F7865">
            <w:pPr>
              <w:pStyle w:val="APVMATableText"/>
            </w:pPr>
            <w:r w:rsidRPr="00211FCF">
              <w:t>Risk quotient</w:t>
            </w:r>
            <w:r>
              <w:t xml:space="preserve"> </w:t>
            </w:r>
            <w:r w:rsidRPr="00211FCF">
              <w:t>(fraction)</w:t>
            </w:r>
          </w:p>
        </w:tc>
        <w:tc>
          <w:tcPr>
            <w:tcW w:w="2270" w:type="pct"/>
            <w:tcBorders>
              <w:top w:val="single" w:sz="4" w:space="0" w:color="auto"/>
              <w:bottom w:val="single" w:sz="4" w:space="0" w:color="auto"/>
            </w:tcBorders>
            <w:vAlign w:val="center"/>
          </w:tcPr>
          <w:p w:rsidR="006F7865" w:rsidRPr="00211FCF" w:rsidRDefault="006F7865" w:rsidP="006F7865">
            <w:pPr>
              <w:pStyle w:val="APVMATableText"/>
              <w:jc w:val="right"/>
            </w:pPr>
          </w:p>
        </w:tc>
      </w:tr>
    </w:tbl>
    <w:p w:rsidR="006F7865" w:rsidRPr="00976E80" w:rsidRDefault="006F7865" w:rsidP="006F7865">
      <w:pPr>
        <w:pStyle w:val="APVMASourceTableNote"/>
      </w:pPr>
      <w:r w:rsidRPr="006B0375">
        <w:t xml:space="preserve">Cumulative application rate is based on maximum single application rate, number of applications, interval between applications and </w:t>
      </w:r>
      <w:r>
        <w:t>soil</w:t>
      </w:r>
      <w:r w:rsidRPr="006B0375">
        <w:t xml:space="preserve"> DT</w:t>
      </w:r>
      <w:r w:rsidRPr="00976E80">
        <w:t>50</w:t>
      </w:r>
      <w:r w:rsidRPr="006B0375">
        <w:t xml:space="preserve"> value</w:t>
      </w:r>
      <w:r>
        <w:t>.</w:t>
      </w:r>
    </w:p>
    <w:p w:rsidR="006F7865" w:rsidRPr="00976E80" w:rsidRDefault="006F7865" w:rsidP="006F7865">
      <w:pPr>
        <w:pStyle w:val="APVMASourceTableNote"/>
      </w:pPr>
      <w:r w:rsidRPr="00976E80">
        <w:t>Interception value as for specific situation from EFSA 2014</w:t>
      </w:r>
      <w:r>
        <w:t>.</w:t>
      </w:r>
    </w:p>
    <w:p w:rsidR="006F7865" w:rsidRPr="00976E80" w:rsidRDefault="006F7865" w:rsidP="006F7865">
      <w:pPr>
        <w:pStyle w:val="APVMASourceTableNote"/>
      </w:pPr>
      <w:r w:rsidRPr="00976E80">
        <w:t>Rainfall P value is default for Tier 1</w:t>
      </w:r>
      <w:r>
        <w:t>.</w:t>
      </w:r>
    </w:p>
    <w:p w:rsidR="006F7865" w:rsidRPr="00976E80" w:rsidRDefault="006F7865" w:rsidP="006F7865">
      <w:pPr>
        <w:pStyle w:val="APVMASourceTableNote"/>
      </w:pPr>
      <w:r w:rsidRPr="00976E80">
        <w:t>Runoff Q value = (((-0.000196*(rain^3))+(0.0232*(rain^2)))+(-0.00520*rain)); runoff curve for Queensland (clay dominated) soil profile</w:t>
      </w:r>
      <w:r>
        <w:t>.</w:t>
      </w:r>
    </w:p>
    <w:p w:rsidR="006F7865" w:rsidRPr="00976E80" w:rsidRDefault="006F7865" w:rsidP="006F7865">
      <w:pPr>
        <w:pStyle w:val="APVMASourceTableNote"/>
      </w:pPr>
      <w:r w:rsidRPr="00976E80">
        <w:t>Crsoil surface = EXP(-3*ln(2)/DT50soil)*(1/(1+KF)</w:t>
      </w:r>
      <w:r>
        <w:t>.</w:t>
      </w:r>
    </w:p>
    <w:p w:rsidR="006F7865" w:rsidRPr="00976E80" w:rsidRDefault="006F7865" w:rsidP="006F7865">
      <w:pPr>
        <w:pStyle w:val="APVMASourceTableNote"/>
      </w:pPr>
      <w:r w:rsidRPr="00976E80">
        <w:t>Slope factor F1 = (0.02153 * slope + 0.001423 * slope2), where default screening level slope is 8%</w:t>
      </w:r>
      <w:r>
        <w:t>.</w:t>
      </w:r>
    </w:p>
    <w:p w:rsidR="006F7865" w:rsidRPr="00976E80" w:rsidRDefault="006F7865" w:rsidP="006F7865">
      <w:pPr>
        <w:pStyle w:val="APVMASourceTableNote"/>
      </w:pPr>
      <w:r w:rsidRPr="00976E80">
        <w:t>Deposited fraction F2 = 1-(Fint / 2)</w:t>
      </w:r>
      <w:r>
        <w:t>.</w:t>
      </w:r>
    </w:p>
    <w:p w:rsidR="006F7865" w:rsidRPr="00976E80" w:rsidRDefault="006F7865" w:rsidP="006F7865">
      <w:pPr>
        <w:pStyle w:val="APVMASourceTableNote"/>
      </w:pPr>
      <w:r w:rsidRPr="00976E80">
        <w:t>Runoff (% applied) = Q/P * F1 * F2 * Crsoil surface * 0.5</w:t>
      </w:r>
      <w:r>
        <w:t>.</w:t>
      </w:r>
    </w:p>
    <w:p w:rsidR="006F7865" w:rsidRPr="00976E80" w:rsidRDefault="006F7865" w:rsidP="006F7865">
      <w:pPr>
        <w:pStyle w:val="APVMASourceTableNote"/>
      </w:pPr>
      <w:r w:rsidRPr="00976E80">
        <w:t>PEC = application rate * %runoff * 10/(1500+134)</w:t>
      </w:r>
      <w:r>
        <w:t>.</w:t>
      </w:r>
    </w:p>
    <w:p w:rsidR="006F7865" w:rsidRPr="00976E80" w:rsidRDefault="006F7865" w:rsidP="006F7865">
      <w:pPr>
        <w:pStyle w:val="APVMASourceTableNote"/>
      </w:pPr>
      <w:r w:rsidRPr="00976E80">
        <w:t xml:space="preserve">RAC = regulatory acceptable concentration </w:t>
      </w:r>
      <w:r w:rsidRPr="006B0375">
        <w:t>from Table B1</w:t>
      </w:r>
      <w:r>
        <w:t>.</w:t>
      </w:r>
    </w:p>
    <w:p w:rsidR="006F7865" w:rsidRPr="00976E80" w:rsidRDefault="006F7865" w:rsidP="006F7865">
      <w:pPr>
        <w:pStyle w:val="APVMASourceTableNote"/>
      </w:pPr>
      <w:r w:rsidRPr="00976E80">
        <w:t>RQ = risk quotient = PEC/RAC, where acceptable RQ ≤1</w:t>
      </w:r>
      <w:r>
        <w:t>.</w:t>
      </w:r>
    </w:p>
    <w:p w:rsidR="006F7865" w:rsidRPr="006F7865" w:rsidRDefault="006F7865" w:rsidP="006F7865">
      <w:pPr>
        <w:pStyle w:val="Heading1"/>
        <w:numPr>
          <w:ilvl w:val="0"/>
          <w:numId w:val="0"/>
        </w:numPr>
        <w:spacing w:before="500"/>
        <w:ind w:left="680" w:hanging="680"/>
      </w:pPr>
      <w:bookmarkStart w:id="22" w:name="_Toc37151653"/>
      <w:r>
        <w:t>Risk mitigation and labelling</w:t>
      </w:r>
      <w:bookmarkEnd w:id="22"/>
    </w:p>
    <w:p w:rsidR="006F7865" w:rsidRPr="006F7865" w:rsidRDefault="006F7865" w:rsidP="006F7865">
      <w:pPr>
        <w:pStyle w:val="NormalText"/>
      </w:pPr>
      <w:r w:rsidRPr="006F7865">
        <w:t>All products required the following under the heading ‘PROTECTION OF WILDLIFE, FISH, CRUSTACEANS AND ENVIRONMENT’.</w:t>
      </w:r>
    </w:p>
    <w:p w:rsidR="006F7865" w:rsidRPr="00E04E84" w:rsidRDefault="006F7865" w:rsidP="006F7865">
      <w:pPr>
        <w:pStyle w:val="Bullet1"/>
        <w:numPr>
          <w:ilvl w:val="0"/>
          <w:numId w:val="3"/>
        </w:numPr>
        <w:rPr>
          <w:rFonts w:eastAsia="Trebuchet MS"/>
          <w:kern w:val="0"/>
          <w:lang w:val="en-US"/>
        </w:rPr>
      </w:pPr>
      <w:r w:rsidRPr="00E04E84">
        <w:t>DO NOT contaminate wetlands or watercourses with this product or used containers.</w:t>
      </w:r>
    </w:p>
    <w:p w:rsidR="006F7865" w:rsidRDefault="006F7865" w:rsidP="006F7865">
      <w:pPr>
        <w:pStyle w:val="NormalText"/>
      </w:pPr>
      <w:r w:rsidRPr="00080BA2">
        <w:t>If the lowest LD/EC</w:t>
      </w:r>
      <w:r w:rsidRPr="00080BA2">
        <w:rPr>
          <w:vertAlign w:val="subscript"/>
        </w:rPr>
        <w:t>50</w:t>
      </w:r>
      <w:r w:rsidRPr="00080BA2">
        <w:t xml:space="preserve"> value is between 1 and 10 mg ac/L, then the following statement applies:</w:t>
      </w:r>
    </w:p>
    <w:p w:rsidR="006F7865" w:rsidRPr="00E04E84" w:rsidRDefault="006F7865" w:rsidP="006F7865">
      <w:pPr>
        <w:pStyle w:val="Bullet1"/>
        <w:numPr>
          <w:ilvl w:val="0"/>
          <w:numId w:val="3"/>
        </w:numPr>
      </w:pPr>
      <w:r>
        <w:t>T</w:t>
      </w:r>
      <w:r w:rsidRPr="00E04E84">
        <w:t>oxic to aquatic life.</w:t>
      </w:r>
    </w:p>
    <w:p w:rsidR="006F7865" w:rsidRPr="00080BA2" w:rsidRDefault="006F7865" w:rsidP="006F7865">
      <w:pPr>
        <w:pStyle w:val="NormalText"/>
      </w:pPr>
      <w:r w:rsidRPr="00080BA2">
        <w:t>If the lowest LD/EC</w:t>
      </w:r>
      <w:r w:rsidRPr="000F7D96">
        <w:rPr>
          <w:vertAlign w:val="subscript"/>
        </w:rPr>
        <w:t>50</w:t>
      </w:r>
      <w:r w:rsidRPr="00080BA2">
        <w:t xml:space="preserve"> value is &lt;1 mg ac/L, then the following statement applies:</w:t>
      </w:r>
    </w:p>
    <w:p w:rsidR="006F7865" w:rsidRPr="00E04E84" w:rsidRDefault="006F7865" w:rsidP="006F7865">
      <w:pPr>
        <w:pStyle w:val="Bullet1"/>
        <w:numPr>
          <w:ilvl w:val="0"/>
          <w:numId w:val="3"/>
        </w:numPr>
      </w:pPr>
      <w:r>
        <w:t>V</w:t>
      </w:r>
      <w:r w:rsidRPr="00E04E84">
        <w:t>ery toxic to aquatic life.</w:t>
      </w:r>
    </w:p>
    <w:p w:rsidR="006F7865" w:rsidRPr="00080BA2" w:rsidRDefault="006F7865" w:rsidP="006F7865">
      <w:pPr>
        <w:pStyle w:val="NormalText"/>
      </w:pPr>
      <w:r>
        <w:t xml:space="preserve">If a </w:t>
      </w:r>
      <w:r w:rsidRPr="00080BA2">
        <w:t>runoff assessment was required, then the following statements apply under the heading ‘RESTRAINTS’.</w:t>
      </w:r>
    </w:p>
    <w:p w:rsidR="006F7865" w:rsidRPr="00E04E84" w:rsidRDefault="006F7865" w:rsidP="006F7865">
      <w:pPr>
        <w:pStyle w:val="Bullet1"/>
        <w:numPr>
          <w:ilvl w:val="0"/>
          <w:numId w:val="3"/>
        </w:numPr>
      </w:pPr>
      <w:r w:rsidRPr="00E04E84">
        <w:t>DO NOT apply if heavy rains or st</w:t>
      </w:r>
      <w:r>
        <w:t>orms are forecast within three days</w:t>
      </w:r>
    </w:p>
    <w:p w:rsidR="006F7865" w:rsidRDefault="006F7865" w:rsidP="006F7865">
      <w:pPr>
        <w:pStyle w:val="Bullet1"/>
        <w:numPr>
          <w:ilvl w:val="0"/>
          <w:numId w:val="3"/>
        </w:numPr>
        <w:sectPr w:rsidR="006F7865" w:rsidSect="006F7865">
          <w:headerReference w:type="default" r:id="rId22"/>
          <w:pgSz w:w="11906" w:h="16838" w:code="9"/>
          <w:pgMar w:top="2835" w:right="1134" w:bottom="1134" w:left="1134" w:header="1701" w:footer="680" w:gutter="0"/>
          <w:pgNumType w:start="1"/>
          <w:cols w:space="708"/>
          <w:docGrid w:linePitch="360"/>
        </w:sectPr>
      </w:pPr>
      <w:r w:rsidRPr="00E04E84">
        <w:t xml:space="preserve">DO NOT irrigate to the point of runoff for at least </w:t>
      </w:r>
      <w:r>
        <w:t>three</w:t>
      </w:r>
      <w:r w:rsidRPr="00E04E84">
        <w:t xml:space="preserve"> days after application.</w:t>
      </w:r>
    </w:p>
    <w:p w:rsidR="009D452E" w:rsidRDefault="002E20AC" w:rsidP="00FB0015">
      <w:pPr>
        <w:pStyle w:val="APVMAGlossaryRefH1"/>
        <w:spacing w:after="240"/>
      </w:pPr>
      <w:bookmarkStart w:id="23" w:name="_Toc231963196"/>
      <w:bookmarkStart w:id="24" w:name="_Toc414373850"/>
      <w:bookmarkStart w:id="25" w:name="_Toc37151654"/>
      <w:r>
        <w:t>Reference</w:t>
      </w:r>
      <w:bookmarkEnd w:id="23"/>
      <w:bookmarkEnd w:id="24"/>
      <w:r w:rsidR="002A3239">
        <w:t>s</w:t>
      </w:r>
      <w:bookmarkEnd w:id="25"/>
    </w:p>
    <w:p w:rsidR="006F7865" w:rsidRPr="006F7865" w:rsidRDefault="006F7865" w:rsidP="006F7865">
      <w:pPr>
        <w:pStyle w:val="NormalText"/>
      </w:pPr>
      <w:r w:rsidRPr="00561E22">
        <w:t>EPHC (Environment Protection and Heritage Council), 2009</w:t>
      </w:r>
      <w:r>
        <w:t>.</w:t>
      </w:r>
      <w:r w:rsidRPr="00561E22">
        <w:t xml:space="preserve"> </w:t>
      </w:r>
      <w:r w:rsidRPr="0005541F">
        <w:rPr>
          <w:i/>
        </w:rPr>
        <w:t>Environmental risk assessment guidance manual for agricultural and veterinary chemicals</w:t>
      </w:r>
      <w:r w:rsidRPr="00561E22">
        <w:t>, ISBN 978-1-9221173-38-7</w:t>
      </w:r>
      <w:r>
        <w:t>, available at</w:t>
      </w:r>
      <w:r w:rsidRPr="00561E22">
        <w:t xml:space="preserve"> </w:t>
      </w:r>
      <w:hyperlink r:id="rId23" w:history="1">
        <w:r w:rsidRPr="006F7865">
          <w:rPr>
            <w:rStyle w:val="Hyperlink"/>
          </w:rPr>
          <w:t>nepc.gov.au/resourc</w:t>
        </w:r>
        <w:r w:rsidRPr="006F7865">
          <w:rPr>
            <w:rStyle w:val="Hyperlink"/>
          </w:rPr>
          <w:t>e</w:t>
        </w:r>
        <w:r w:rsidRPr="006F7865">
          <w:rPr>
            <w:rStyle w:val="Hyperlink"/>
          </w:rPr>
          <w:t>/chemical-risk-assessment-guidance-manuals</w:t>
        </w:r>
      </w:hyperlink>
      <w:r w:rsidRPr="006F7865">
        <w:t>.</w:t>
      </w:r>
    </w:p>
    <w:p w:rsidR="006F7865" w:rsidRDefault="006F7865" w:rsidP="006F7865">
      <w:pPr>
        <w:pStyle w:val="NormalText"/>
      </w:pPr>
      <w:r w:rsidRPr="00561E22">
        <w:t>EFSA (European Food Safety Authority), 201</w:t>
      </w:r>
      <w:r>
        <w:t>3</w:t>
      </w:r>
      <w:r w:rsidRPr="00561E22">
        <w:t xml:space="preserve">, </w:t>
      </w:r>
      <w:r>
        <w:rPr>
          <w:i/>
        </w:rPr>
        <w:t>Guidance on tiered risk assessment for plant protection products for aquatic organisms in edge-of-field surface waters</w:t>
      </w:r>
      <w:r w:rsidRPr="00561E22">
        <w:t>, EFSA Journal 12(</w:t>
      </w:r>
      <w:r>
        <w:t>7</w:t>
      </w:r>
      <w:r w:rsidRPr="00561E22">
        <w:t>):3</w:t>
      </w:r>
      <w:r>
        <w:t>290</w:t>
      </w:r>
      <w:r w:rsidRPr="00561E22">
        <w:t xml:space="preserve">, </w:t>
      </w:r>
      <w:r>
        <w:t>268</w:t>
      </w:r>
      <w:r w:rsidRPr="00561E22">
        <w:t xml:space="preserve"> pp.</w:t>
      </w:r>
      <w:r>
        <w:t xml:space="preserve"> doi:10.2903/j.efsa.2013.3290</w:t>
      </w:r>
      <w:r>
        <w:t>, available at</w:t>
      </w:r>
      <w:r>
        <w:t xml:space="preserve"> </w:t>
      </w:r>
      <w:hyperlink r:id="rId24" w:history="1">
        <w:r w:rsidRPr="006F7865">
          <w:rPr>
            <w:rStyle w:val="Hyperlink"/>
          </w:rPr>
          <w:t>efsa.europa.eu/en/efsajo</w:t>
        </w:r>
        <w:r w:rsidRPr="006F7865">
          <w:rPr>
            <w:rStyle w:val="Hyperlink"/>
          </w:rPr>
          <w:t>u</w:t>
        </w:r>
        <w:r w:rsidRPr="006F7865">
          <w:rPr>
            <w:rStyle w:val="Hyperlink"/>
          </w:rPr>
          <w:t>rnal</w:t>
        </w:r>
      </w:hyperlink>
      <w:r w:rsidRPr="006F7865">
        <w:t>.</w:t>
      </w:r>
    </w:p>
    <w:p w:rsidR="006F7865" w:rsidRDefault="006F7865" w:rsidP="006F7865">
      <w:pPr>
        <w:pStyle w:val="NormalText"/>
      </w:pPr>
      <w:r w:rsidRPr="00561E22">
        <w:t xml:space="preserve">EFSA (European Food Safety Authority), 2014, </w:t>
      </w:r>
      <w:r w:rsidRPr="0005541F">
        <w:rPr>
          <w:i/>
        </w:rPr>
        <w:t>EFSA guidance document for evaluating laboratory and field dissipation studies to obtain DegT50 values of active substances of plant protection products and transformation products of these active substances in soil</w:t>
      </w:r>
      <w:r w:rsidRPr="00561E22">
        <w:t>, EFSA Journal 12(5):3662, 37 pp.</w:t>
      </w:r>
      <w:r>
        <w:t xml:space="preserve"> doi:10.2903/j.efsa.2014.3662</w:t>
      </w:r>
      <w:r>
        <w:t>, available at</w:t>
      </w:r>
      <w:r>
        <w:t xml:space="preserve"> </w:t>
      </w:r>
      <w:hyperlink r:id="rId25" w:history="1">
        <w:r w:rsidRPr="006F7865">
          <w:rPr>
            <w:rStyle w:val="Hyperlink"/>
          </w:rPr>
          <w:t>efsa.europa.eu/en/e</w:t>
        </w:r>
        <w:r w:rsidRPr="006F7865">
          <w:rPr>
            <w:rStyle w:val="Hyperlink"/>
          </w:rPr>
          <w:t>f</w:t>
        </w:r>
        <w:r w:rsidRPr="006F7865">
          <w:rPr>
            <w:rStyle w:val="Hyperlink"/>
          </w:rPr>
          <w:t>sajournal</w:t>
        </w:r>
      </w:hyperlink>
      <w:r w:rsidRPr="006F7865">
        <w:t>.</w:t>
      </w:r>
    </w:p>
    <w:p w:rsidR="006F7865" w:rsidRDefault="006F7865" w:rsidP="006F7865">
      <w:pPr>
        <w:pStyle w:val="NormalText"/>
      </w:pPr>
      <w:r w:rsidRPr="006F4ACE">
        <w:t>CVMP/VICH (Committee for Medicin</w:t>
      </w:r>
      <w:r>
        <w:t>al Products for Veterinary Use/</w:t>
      </w:r>
      <w:r w:rsidRPr="006F4ACE">
        <w:t>International Cooperation on Harmonisation of Technical Requirements for Registration of Veter</w:t>
      </w:r>
      <w:r>
        <w:t>inary Medicinal Products), 2000,</w:t>
      </w:r>
      <w:r w:rsidRPr="006F4ACE">
        <w:t xml:space="preserve"> </w:t>
      </w:r>
      <w:r w:rsidRPr="006F7865">
        <w:rPr>
          <w:i/>
        </w:rPr>
        <w:t>Guideline on environmental impact assessment (EIAs) for veterinary medicinal produ</w:t>
      </w:r>
      <w:r w:rsidRPr="006F7865">
        <w:rPr>
          <w:i/>
        </w:rPr>
        <w:t>cts (VMPs)—</w:t>
      </w:r>
      <w:r w:rsidRPr="006F7865">
        <w:rPr>
          <w:i/>
        </w:rPr>
        <w:t>Phase I</w:t>
      </w:r>
      <w:r>
        <w:t xml:space="preserve">, VICH GL 6. </w:t>
      </w:r>
      <w:r>
        <w:t xml:space="preserve">CVMP/VICH/592/1998, available at </w:t>
      </w:r>
      <w:hyperlink r:id="rId26" w:history="1">
        <w:r w:rsidRPr="006F7865">
          <w:rPr>
            <w:rStyle w:val="Hyperlink"/>
          </w:rPr>
          <w:t>ema.europa.eu/docs/en_GB/document_library/Scientific_guideline/2009/10/</w:t>
        </w:r>
        <w:r w:rsidRPr="006F7865">
          <w:rPr>
            <w:rStyle w:val="Hyperlink"/>
          </w:rPr>
          <w:t>W</w:t>
        </w:r>
        <w:r w:rsidRPr="006F7865">
          <w:rPr>
            <w:rStyle w:val="Hyperlink"/>
          </w:rPr>
          <w:t>C500004394.pdf</w:t>
        </w:r>
      </w:hyperlink>
      <w:r w:rsidRPr="006F7865">
        <w:t>.</w:t>
      </w:r>
    </w:p>
    <w:sectPr w:rsidR="006F7865">
      <w:headerReference w:type="default" r:id="rId27"/>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A6F" w:rsidRDefault="00CC6A6F">
      <w:r>
        <w:separator/>
      </w:r>
    </w:p>
    <w:p w:rsidR="00CC6A6F" w:rsidRDefault="00CC6A6F"/>
    <w:p w:rsidR="00CC6A6F" w:rsidRDefault="00CC6A6F"/>
  </w:endnote>
  <w:endnote w:type="continuationSeparator" w:id="0">
    <w:p w:rsidR="00CC6A6F" w:rsidRDefault="00CC6A6F">
      <w:r>
        <w:continuationSeparator/>
      </w:r>
    </w:p>
    <w:p w:rsidR="00CC6A6F" w:rsidRDefault="00CC6A6F"/>
    <w:p w:rsidR="00CC6A6F" w:rsidRDefault="00CC6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A6F" w:rsidRDefault="00CC6A6F">
      <w:r>
        <w:separator/>
      </w:r>
    </w:p>
  </w:footnote>
  <w:footnote w:type="continuationSeparator" w:id="0">
    <w:p w:rsidR="00CC6A6F" w:rsidRDefault="00CC6A6F">
      <w:pPr>
        <w:spacing w:line="180" w:lineRule="exact"/>
        <w:rPr>
          <w:sz w:val="16"/>
        </w:rPr>
      </w:pPr>
      <w:r>
        <w:rPr>
          <w:sz w:val="16"/>
        </w:rPr>
        <w:continuationSeparator/>
      </w:r>
    </w:p>
    <w:p w:rsidR="00CC6A6F" w:rsidRDefault="00CC6A6F"/>
    <w:p w:rsidR="00CC6A6F" w:rsidRDefault="00CC6A6F"/>
  </w:footnote>
  <w:footnote w:type="continuationNotice" w:id="1">
    <w:p w:rsidR="00CC6A6F" w:rsidRDefault="00CC6A6F"/>
    <w:p w:rsidR="00CC6A6F" w:rsidRDefault="00CC6A6F"/>
    <w:p w:rsidR="00CC6A6F" w:rsidRDefault="00CC6A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865" w:rsidRDefault="006F7865" w:rsidP="006F7865">
    <w:pPr>
      <w:pStyle w:val="APVMAOddHeader"/>
    </w:pPr>
    <w:r>
      <w:tab/>
    </w:r>
    <w:r>
      <w:t>Appendix B—aquatic species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Pr>
        <w:rStyle w:val="PageNumber"/>
        <w:rFonts w:cs="Times New Roman"/>
        <w:b/>
        <w:bCs w:val="0"/>
        <w:caps w:val="0"/>
        <w:noProof/>
        <w:szCs w:val="24"/>
      </w:rPr>
      <w:t>6</w:t>
    </w:r>
    <w:r>
      <w:rPr>
        <w:rStyle w:val="PageNumber"/>
        <w:rFonts w:cs="Times New Roman"/>
        <w:b/>
        <w:bCs w:val="0"/>
        <w:caps w:val="0"/>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6A" w:rsidRDefault="00D23D6A">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F7865">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865" w:rsidRDefault="006F7865" w:rsidP="006F7865">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Pr>
        <w:rStyle w:val="PageNumber"/>
        <w:b/>
        <w:caps w:val="0"/>
        <w:noProof/>
        <w:szCs w:val="24"/>
      </w:rPr>
      <w:t>5</w:t>
    </w:r>
    <w:r>
      <w:rPr>
        <w:rStyle w:val="PageNumber"/>
        <w:b/>
        <w:caps w:val="0"/>
        <w:szCs w:val="24"/>
      </w:rPr>
      <w:fldChar w:fldCharType="end"/>
    </w: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865" w:rsidRDefault="006F7865" w:rsidP="006F7865">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Pr>
        <w:rStyle w:val="PageNumber"/>
        <w:b/>
        <w:caps w:val="0"/>
        <w:noProof/>
        <w:szCs w:val="24"/>
      </w:rPr>
      <w:t>7</w:t>
    </w:r>
    <w:r>
      <w:rPr>
        <w:rStyle w:val="PageNumber"/>
        <w:b/>
        <w:caps w:val="0"/>
        <w:szCs w:val="24"/>
      </w:rPr>
      <w:fldChar w:fldCharType="end"/>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B5617B0"/>
    <w:multiLevelType w:val="hybridMultilevel"/>
    <w:tmpl w:val="44F83EDE"/>
    <w:lvl w:ilvl="0" w:tplc="2CE83836">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F22731"/>
    <w:multiLevelType w:val="multilevel"/>
    <w:tmpl w:val="7714BE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27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B12141E"/>
    <w:multiLevelType w:val="multilevel"/>
    <w:tmpl w:val="51104B64"/>
    <w:lvl w:ilvl="0">
      <w:start w:val="1"/>
      <w:numFmt w:val="decimal"/>
      <w:pStyle w:val="Heading1"/>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pStyle w:val="Heading2"/>
      <w:lvlText w:val="%1.%2"/>
      <w:lvlJc w:val="left"/>
      <w:pPr>
        <w:tabs>
          <w:tab w:val="num" w:pos="1220"/>
        </w:tabs>
        <w:ind w:left="1220" w:hanging="680"/>
      </w:pPr>
      <w:rPr>
        <w:rFonts w:ascii="Trebuchet MS" w:hAnsi="Trebuchet MS" w:hint="default"/>
        <w:b/>
        <w:i w:val="0"/>
        <w:sz w:val="28"/>
        <w:szCs w:val="22"/>
      </w:rPr>
    </w:lvl>
    <w:lvl w:ilvl="2">
      <w:start w:val="1"/>
      <w:numFmt w:val="none"/>
      <w:pStyle w:val="Heading3"/>
      <w:lvlText w:val=""/>
      <w:lvlJc w:val="left"/>
      <w:pPr>
        <w:tabs>
          <w:tab w:val="num" w:pos="0"/>
        </w:tabs>
        <w:ind w:left="0" w:firstLine="0"/>
      </w:pPr>
      <w:rPr>
        <w:rFonts w:hint="default"/>
        <w:sz w:val="20"/>
      </w:rPr>
    </w:lvl>
    <w:lvl w:ilvl="3">
      <w:start w:val="1"/>
      <w:numFmt w:val="none"/>
      <w:lvlRestart w:val="0"/>
      <w:pStyle w:val="Heading4"/>
      <w:lvlText w:val=""/>
      <w:lvlJc w:val="left"/>
      <w:pPr>
        <w:tabs>
          <w:tab w:val="num" w:pos="0"/>
        </w:tabs>
        <w:ind w:left="0" w:firstLine="0"/>
      </w:pPr>
      <w:rPr>
        <w:rFonts w:hint="default"/>
      </w:rPr>
    </w:lvl>
    <w:lvl w:ilvl="4">
      <w:start w:val="1"/>
      <w:numFmt w:val="none"/>
      <w:lvlRestart w:val="0"/>
      <w:pStyle w:val="Heading5"/>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1"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74A07B6D"/>
    <w:multiLevelType w:val="hybridMultilevel"/>
    <w:tmpl w:val="3FE0F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15"/>
  </w:num>
  <w:num w:numId="4">
    <w:abstractNumId w:val="16"/>
  </w:num>
  <w:num w:numId="5">
    <w:abstractNumId w:val="15"/>
  </w:num>
  <w:num w:numId="6">
    <w:abstractNumId w:val="20"/>
  </w:num>
  <w:num w:numId="7">
    <w:abstractNumId w:val="17"/>
  </w:num>
  <w:num w:numId="8">
    <w:abstractNumId w:val="11"/>
  </w:num>
  <w:num w:numId="9">
    <w:abstractNumId w:val="10"/>
  </w:num>
  <w:num w:numId="10">
    <w:abstractNumId w:val="13"/>
  </w:num>
  <w:num w:numId="11">
    <w:abstractNumId w:val="14"/>
  </w:num>
  <w:num w:numId="12">
    <w:abstractNumId w:val="20"/>
  </w:num>
  <w:num w:numId="13">
    <w:abstractNumId w:val="20"/>
  </w:num>
  <w:num w:numId="14">
    <w:abstractNumId w:val="15"/>
  </w:num>
  <w:num w:numId="15">
    <w:abstractNumId w:val="11"/>
  </w:num>
  <w:num w:numId="16">
    <w:abstractNumId w:val="16"/>
  </w:num>
  <w:num w:numId="17">
    <w:abstractNumId w:val="10"/>
  </w:num>
  <w:num w:numId="18">
    <w:abstractNumId w:val="13"/>
  </w:num>
  <w:num w:numId="19">
    <w:abstractNumId w:val="18"/>
  </w:num>
  <w:num w:numId="20">
    <w:abstractNumId w:val="21"/>
  </w:num>
  <w:num w:numId="21">
    <w:abstractNumId w:val="12"/>
  </w:num>
  <w:num w:numId="22">
    <w:abstractNumId w:val="20"/>
  </w:num>
  <w:num w:numId="23">
    <w:abstractNumId w:val="20"/>
  </w:num>
  <w:num w:numId="24">
    <w:abstractNumId w:val="20"/>
  </w:num>
  <w:num w:numId="25">
    <w:abstractNumId w:val="20"/>
  </w:num>
  <w:num w:numId="26">
    <w:abstractNumId w:val="2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5E1"/>
    <w:rsid w:val="00004F9C"/>
    <w:rsid w:val="00067828"/>
    <w:rsid w:val="000765C1"/>
    <w:rsid w:val="0008350E"/>
    <w:rsid w:val="00096163"/>
    <w:rsid w:val="000A7EF6"/>
    <w:rsid w:val="000C2C1B"/>
    <w:rsid w:val="000D045A"/>
    <w:rsid w:val="000D49ED"/>
    <w:rsid w:val="000E372E"/>
    <w:rsid w:val="00120E00"/>
    <w:rsid w:val="001534D8"/>
    <w:rsid w:val="00167BB3"/>
    <w:rsid w:val="00174E15"/>
    <w:rsid w:val="00184190"/>
    <w:rsid w:val="00193533"/>
    <w:rsid w:val="001B335C"/>
    <w:rsid w:val="001C6607"/>
    <w:rsid w:val="001D3257"/>
    <w:rsid w:val="0026493F"/>
    <w:rsid w:val="00280720"/>
    <w:rsid w:val="00282A32"/>
    <w:rsid w:val="002A3239"/>
    <w:rsid w:val="002A69DD"/>
    <w:rsid w:val="002B5703"/>
    <w:rsid w:val="002D7779"/>
    <w:rsid w:val="002E20AC"/>
    <w:rsid w:val="002F4591"/>
    <w:rsid w:val="0030255E"/>
    <w:rsid w:val="0031487D"/>
    <w:rsid w:val="00347883"/>
    <w:rsid w:val="003506C5"/>
    <w:rsid w:val="00381544"/>
    <w:rsid w:val="00393E2F"/>
    <w:rsid w:val="003A558F"/>
    <w:rsid w:val="003C0891"/>
    <w:rsid w:val="004070E1"/>
    <w:rsid w:val="0041228F"/>
    <w:rsid w:val="0041559F"/>
    <w:rsid w:val="00444045"/>
    <w:rsid w:val="004616C8"/>
    <w:rsid w:val="00461D26"/>
    <w:rsid w:val="00470304"/>
    <w:rsid w:val="00473575"/>
    <w:rsid w:val="0049603E"/>
    <w:rsid w:val="004D2C4F"/>
    <w:rsid w:val="005064D5"/>
    <w:rsid w:val="00520963"/>
    <w:rsid w:val="00522E27"/>
    <w:rsid w:val="005527B9"/>
    <w:rsid w:val="00556804"/>
    <w:rsid w:val="00560E83"/>
    <w:rsid w:val="00563297"/>
    <w:rsid w:val="00566590"/>
    <w:rsid w:val="00572131"/>
    <w:rsid w:val="005D1A47"/>
    <w:rsid w:val="006110AE"/>
    <w:rsid w:val="0062466B"/>
    <w:rsid w:val="00643052"/>
    <w:rsid w:val="00657A28"/>
    <w:rsid w:val="006C08BC"/>
    <w:rsid w:val="006E2753"/>
    <w:rsid w:val="006E33F7"/>
    <w:rsid w:val="006F7865"/>
    <w:rsid w:val="00700C27"/>
    <w:rsid w:val="00702B7D"/>
    <w:rsid w:val="007275CF"/>
    <w:rsid w:val="00734103"/>
    <w:rsid w:val="00770B96"/>
    <w:rsid w:val="00794B71"/>
    <w:rsid w:val="0079772A"/>
    <w:rsid w:val="007E13F3"/>
    <w:rsid w:val="007F0146"/>
    <w:rsid w:val="00832D38"/>
    <w:rsid w:val="008362F6"/>
    <w:rsid w:val="008366A3"/>
    <w:rsid w:val="00847050"/>
    <w:rsid w:val="008545E1"/>
    <w:rsid w:val="00860B66"/>
    <w:rsid w:val="00862E63"/>
    <w:rsid w:val="00892292"/>
    <w:rsid w:val="008C5C0D"/>
    <w:rsid w:val="008C6B9D"/>
    <w:rsid w:val="008F14C4"/>
    <w:rsid w:val="0095647E"/>
    <w:rsid w:val="00972247"/>
    <w:rsid w:val="009A4448"/>
    <w:rsid w:val="009A7614"/>
    <w:rsid w:val="009B6ACE"/>
    <w:rsid w:val="009D0E59"/>
    <w:rsid w:val="009D452E"/>
    <w:rsid w:val="009F16FF"/>
    <w:rsid w:val="00A23729"/>
    <w:rsid w:val="00A2448D"/>
    <w:rsid w:val="00A6283D"/>
    <w:rsid w:val="00A66116"/>
    <w:rsid w:val="00A77CE7"/>
    <w:rsid w:val="00A87101"/>
    <w:rsid w:val="00AB659C"/>
    <w:rsid w:val="00AF232A"/>
    <w:rsid w:val="00B15647"/>
    <w:rsid w:val="00B27675"/>
    <w:rsid w:val="00B50074"/>
    <w:rsid w:val="00BC5423"/>
    <w:rsid w:val="00BD021C"/>
    <w:rsid w:val="00BD2289"/>
    <w:rsid w:val="00BD55DB"/>
    <w:rsid w:val="00BD70E8"/>
    <w:rsid w:val="00C53C96"/>
    <w:rsid w:val="00C73D24"/>
    <w:rsid w:val="00C95323"/>
    <w:rsid w:val="00C9656F"/>
    <w:rsid w:val="00CA17DC"/>
    <w:rsid w:val="00CC6A6F"/>
    <w:rsid w:val="00CD6650"/>
    <w:rsid w:val="00CE456A"/>
    <w:rsid w:val="00D10F59"/>
    <w:rsid w:val="00D23D6A"/>
    <w:rsid w:val="00D4143D"/>
    <w:rsid w:val="00D505AD"/>
    <w:rsid w:val="00D67788"/>
    <w:rsid w:val="00D874AA"/>
    <w:rsid w:val="00D9318E"/>
    <w:rsid w:val="00D942C8"/>
    <w:rsid w:val="00DB3BF5"/>
    <w:rsid w:val="00E318E3"/>
    <w:rsid w:val="00E35DE7"/>
    <w:rsid w:val="00E41FED"/>
    <w:rsid w:val="00E70840"/>
    <w:rsid w:val="00E97570"/>
    <w:rsid w:val="00EA511C"/>
    <w:rsid w:val="00EE297E"/>
    <w:rsid w:val="00EE5B09"/>
    <w:rsid w:val="00F30BDA"/>
    <w:rsid w:val="00F51AA7"/>
    <w:rsid w:val="00F56C76"/>
    <w:rsid w:val="00F6733A"/>
    <w:rsid w:val="00F92A4A"/>
    <w:rsid w:val="00FB0015"/>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58B0C2"/>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FB0015"/>
    <w:pPr>
      <w:spacing w:line="240" w:lineRule="atLeast"/>
    </w:pPr>
    <w:rPr>
      <w:rFonts w:ascii="Arial" w:hAnsi="Arial"/>
      <w:szCs w:val="24"/>
      <w:lang w:eastAsia="en-US"/>
    </w:rPr>
  </w:style>
  <w:style w:type="paragraph" w:styleId="Heading1">
    <w:name w:val="heading 1"/>
    <w:aliases w:val="APVMA_H1"/>
    <w:basedOn w:val="NormalText"/>
    <w:next w:val="NormalText"/>
    <w:qFormat/>
    <w:rsid w:val="006F7865"/>
    <w:pPr>
      <w:keepNext/>
      <w:keepLines/>
      <w:numPr>
        <w:numId w:val="26"/>
      </w:numPr>
      <w:spacing w:before="0" w:after="80" w:line="360" w:lineRule="exact"/>
      <w:outlineLvl w:val="0"/>
    </w:pPr>
    <w:rPr>
      <w:rFonts w:ascii="Franklin Gothic Medium" w:hAnsi="Franklin Gothic Medium"/>
      <w:caps/>
      <w:color w:val="5C2946"/>
      <w:sz w:val="32"/>
      <w:szCs w:val="32"/>
    </w:rPr>
  </w:style>
  <w:style w:type="paragraph" w:styleId="Heading2">
    <w:name w:val="heading 2"/>
    <w:aliases w:val="APVMA_H2"/>
    <w:basedOn w:val="Heading1"/>
    <w:next w:val="Normal"/>
    <w:qFormat/>
    <w:rsid w:val="00FB0015"/>
    <w:pPr>
      <w:numPr>
        <w:ilvl w:val="1"/>
      </w:numPr>
      <w:tabs>
        <w:tab w:val="num" w:pos="907"/>
      </w:tabs>
      <w:spacing w:before="400" w:after="0" w:line="320" w:lineRule="exact"/>
      <w:ind w:left="680"/>
      <w:outlineLvl w:val="1"/>
    </w:pPr>
    <w:rPr>
      <w:caps w:val="0"/>
      <w:kern w:val="0"/>
      <w:sz w:val="28"/>
      <w:szCs w:val="28"/>
    </w:rPr>
  </w:style>
  <w:style w:type="paragraph" w:styleId="Heading3">
    <w:name w:val="heading 3"/>
    <w:aliases w:val="APVMA_H3"/>
    <w:basedOn w:val="Heading2"/>
    <w:next w:val="NormalText"/>
    <w:uiPriority w:val="3"/>
    <w:qFormat/>
    <w:rsid w:val="00FB0015"/>
    <w:pPr>
      <w:numPr>
        <w:ilvl w:val="2"/>
      </w:numPr>
      <w:spacing w:before="320" w:line="280" w:lineRule="exact"/>
      <w:outlineLvl w:val="2"/>
    </w:pPr>
    <w:rPr>
      <w:sz w:val="24"/>
      <w:szCs w:val="26"/>
    </w:rPr>
  </w:style>
  <w:style w:type="paragraph" w:styleId="Heading4">
    <w:name w:val="heading 4"/>
    <w:aliases w:val="APVMA_H4"/>
    <w:basedOn w:val="Heading3"/>
    <w:next w:val="NormalText"/>
    <w:uiPriority w:val="4"/>
    <w:rsid w:val="00FB0015"/>
    <w:pPr>
      <w:numPr>
        <w:ilvl w:val="3"/>
      </w:numPr>
      <w:spacing w:before="280" w:line="260" w:lineRule="exact"/>
      <w:outlineLvl w:val="3"/>
    </w:pPr>
    <w:rPr>
      <w:i/>
      <w:sz w:val="22"/>
      <w:szCs w:val="28"/>
    </w:rPr>
  </w:style>
  <w:style w:type="paragraph" w:styleId="Heading5">
    <w:name w:val="heading 5"/>
    <w:aliases w:val="APVMA_H5"/>
    <w:basedOn w:val="Heading4"/>
    <w:next w:val="NormalText"/>
    <w:uiPriority w:val="4"/>
    <w:rsid w:val="00FB0015"/>
    <w:pPr>
      <w:numPr>
        <w:ilvl w:val="4"/>
      </w:numPr>
      <w:spacing w:before="260"/>
      <w:outlineLvl w:val="4"/>
    </w:pPr>
    <w:rPr>
      <w:i w:val="0"/>
      <w:caps/>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FB0015"/>
    <w:pPr>
      <w:pBdr>
        <w:top w:val="single" w:sz="4" w:space="1" w:color="auto"/>
      </w:pBdr>
      <w:tabs>
        <w:tab w:val="right" w:pos="9639"/>
      </w:tabs>
      <w:spacing w:before="180" w:after="60"/>
      <w:ind w:left="454" w:hanging="454"/>
    </w:pPr>
    <w:rPr>
      <w:rFonts w:ascii="Trebuchet MS" w:hAnsi="Trebuchet MS"/>
      <w:b/>
      <w:bCs/>
      <w:caps/>
      <w:noProof/>
      <w:color w:val="5C2946"/>
      <w:szCs w:val="30"/>
    </w:rPr>
  </w:style>
  <w:style w:type="paragraph" w:styleId="FootnoteText">
    <w:name w:val="footnote text"/>
    <w:aliases w:val="APVMA_Footnote"/>
    <w:basedOn w:val="NormalText"/>
    <w:link w:val="FootnoteTextChar"/>
    <w:qFormat/>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FB0015"/>
    <w:pPr>
      <w:numPr>
        <w:numId w:val="19"/>
      </w:numPr>
      <w:spacing w:after="60"/>
    </w:pPr>
  </w:style>
  <w:style w:type="paragraph" w:customStyle="1" w:styleId="APVMATableText">
    <w:name w:val="APVMA_TableText"/>
    <w:basedOn w:val="NormalText"/>
    <w:uiPriority w:val="4"/>
    <w:qFormat/>
    <w:pPr>
      <w:spacing w:before="120" w:after="120" w:line="210" w:lineRule="exact"/>
    </w:pPr>
    <w:rPr>
      <w:spacing w:val="6"/>
      <w:sz w:val="17"/>
    </w:rPr>
  </w:style>
  <w:style w:type="paragraph" w:customStyle="1" w:styleId="APVMATableHead">
    <w:name w:val="APVMA_TableHead"/>
    <w:basedOn w:val="APVMATableText"/>
    <w:uiPriority w:val="4"/>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APVMATableHeadRight">
    <w:name w:val="APVMA_TableHead_Right"/>
    <w:basedOn w:val="APVMA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99"/>
    <w:qFormat/>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uiPriority w:val="4"/>
    <w:pPr>
      <w:jc w:val="right"/>
    </w:pPr>
  </w:style>
  <w:style w:type="paragraph" w:styleId="Caption">
    <w:name w:val="caption"/>
    <w:aliases w:val="APVMA_Caption"/>
    <w:basedOn w:val="Normal"/>
    <w:next w:val="NormalText"/>
    <w:uiPriority w:val="4"/>
    <w:rsid w:val="00FB0015"/>
    <w:pPr>
      <w:keepNext/>
      <w:keepLines/>
      <w:tabs>
        <w:tab w:val="left" w:pos="907"/>
      </w:tabs>
      <w:spacing w:before="240" w:after="120" w:line="280" w:lineRule="exact"/>
      <w:ind w:left="907" w:hanging="907"/>
    </w:pPr>
    <w:rPr>
      <w:rFonts w:ascii="Franklin Gothic Medium" w:hAnsi="Franklin Gothic Medium"/>
      <w:color w:val="5C2946"/>
    </w:rPr>
  </w:style>
  <w:style w:type="paragraph" w:styleId="TOAHeading">
    <w:name w:val="toa heading"/>
    <w:aliases w:val="APVMA_TOC heading"/>
    <w:basedOn w:val="Heading1"/>
    <w:next w:val="TOC1"/>
    <w:uiPriority w:val="4"/>
    <w:semiHidden/>
    <w:pPr>
      <w:numPr>
        <w:numId w:val="0"/>
      </w:numPr>
      <w:outlineLvl w:val="9"/>
    </w:pPr>
    <w:rPr>
      <w:bCs/>
      <w:szCs w:val="20"/>
    </w:rPr>
  </w:style>
  <w:style w:type="paragraph" w:customStyle="1" w:styleId="APVMATableSubHead">
    <w:name w:val="APVMA_Table_SubHead"/>
    <w:basedOn w:val="APVMA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FB0015"/>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FB0015"/>
    <w:pPr>
      <w:numPr>
        <w:numId w:val="0"/>
      </w:numPr>
    </w:pPr>
    <w:rPr>
      <w:bCs/>
      <w:szCs w:val="30"/>
    </w:rPr>
  </w:style>
  <w:style w:type="paragraph" w:customStyle="1" w:styleId="APVMAPreliminariesH2">
    <w:name w:val="APVMA_Preliminaries_H2"/>
    <w:basedOn w:val="Heading2"/>
    <w:next w:val="NormalText"/>
    <w:uiPriority w:val="4"/>
    <w:rsid w:val="00FB0015"/>
    <w:pPr>
      <w:numPr>
        <w:ilvl w:val="0"/>
        <w:numId w:val="0"/>
      </w:numPr>
    </w:pPr>
  </w:style>
  <w:style w:type="paragraph" w:customStyle="1" w:styleId="APVMAPreliminariesH3">
    <w:name w:val="APVMA_Preliminaries_H3"/>
    <w:basedOn w:val="Heading3"/>
    <w:uiPriority w:val="4"/>
    <w:rsid w:val="00FB0015"/>
  </w:style>
  <w:style w:type="paragraph" w:customStyle="1" w:styleId="APVMAGlossaryRefH1">
    <w:name w:val="APVMA_Glossary/Ref_H1"/>
    <w:basedOn w:val="APVMAPreliminariesH1"/>
    <w:uiPriority w:val="4"/>
    <w:rsid w:val="00FB0015"/>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sid w:val="00FB0015"/>
    <w:rPr>
      <w:bCs/>
    </w:rPr>
  </w:style>
  <w:style w:type="paragraph" w:customStyle="1" w:styleId="APVMAAppendixH3">
    <w:name w:val="APVMA_Appendix_H3"/>
    <w:basedOn w:val="APVMAPreliminariesH3"/>
    <w:next w:val="NormalText"/>
    <w:uiPriority w:val="4"/>
    <w:rsid w:val="00FB0015"/>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APVMASuperscript">
    <w:name w:val="APVMA_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character" w:customStyle="1" w:styleId="FootnoteTextChar">
    <w:name w:val="Footnote Text Char"/>
    <w:aliases w:val="APVMA_Footnote Char"/>
    <w:basedOn w:val="DefaultParagraphFont"/>
    <w:link w:val="FootnoteText"/>
    <w:rsid w:val="006F7865"/>
    <w:rPr>
      <w:rFonts w:ascii="Arial" w:hAnsi="Arial" w:cs="Arial"/>
      <w:spacing w:val="6"/>
      <w:kern w:val="20"/>
      <w:sz w:val="16"/>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ativecommons.org/licenses/by/3.0/au/deed.en" TargetMode="External"/><Relationship Id="rId18" Type="http://schemas.openxmlformats.org/officeDocument/2006/relationships/header" Target="header1.xml"/><Relationship Id="rId26" Type="http://schemas.openxmlformats.org/officeDocument/2006/relationships/hyperlink" Target="https://www.ema.europa.eu/en/documents/scientific-guideline/vich-gl6-environmental-impact-assessment-eias-veterinary-medicinal-products-phase-i-step-7_en.pdf" TargetMode="External"/><Relationship Id="rId3" Type="http://schemas.openxmlformats.org/officeDocument/2006/relationships/numbering" Target="numbering.xml"/><Relationship Id="rId21" Type="http://schemas.openxmlformats.org/officeDocument/2006/relationships/hyperlink" Target="https://apvma.gov.au/node/10796"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yperlink" Target="https://www.efsa.europa.eu/en/efsajournal" TargetMode="Externa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efsa.europa.eu/en/efsajournal" TargetMode="Externa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yperlink" Target="http://www.nepc.gov.au/resource/chemical-risk-assessment-guidance-manuals"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reativecommons.org/licenses/by/3.0/au/legalcode" TargetMode="External"/><Relationship Id="rId22" Type="http://schemas.openxmlformats.org/officeDocument/2006/relationships/header" Target="header3.xml"/><Relationship Id="rId27"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A380625</value>
    </field>
    <field name="Objective-Title">
      <value order="0">Template AVPMA Publications</value>
    </field>
    <field name="Objective-Description">
      <value order="0"/>
    </field>
    <field name="Objective-CreationStamp">
      <value order="0">2015-09-14T20:46:52Z</value>
    </field>
    <field name="Objective-IsApproved">
      <value order="0">false</value>
    </field>
    <field name="Objective-IsPublished">
      <value order="0">true</value>
    </field>
    <field name="Objective-DatePublished">
      <value order="0">2019-10-30T03:02:21Z</value>
    </field>
    <field name="Objective-ModificationStamp">
      <value order="0">2019-10-30T03:02:21Z</value>
    </field>
    <field name="Objective-Owner">
      <value order="0">Katina King</value>
    </field>
    <field name="Objective-Path">
      <value order="0">APVMA:BUSINESS SYSTEMS:Business Systems - Instructional Material Library:Instructional Material - Corporate Services:Communications:03 - Templates - Other</value>
    </field>
    <field name="Objective-Parent">
      <value order="0">03 - Templates - Other</value>
    </field>
    <field name="Objective-State">
      <value order="0">Published</value>
    </field>
    <field name="Objective-VersionId">
      <value order="0">vA2454296</value>
    </field>
    <field name="Objective-Version">
      <value order="0">15.0</value>
    </field>
    <field name="Objective-VersionNumber">
      <value order="0">17</value>
    </field>
    <field name="Objective-VersionComment">
      <value order="0"/>
    </field>
    <field name="Objective-FileNumber">
      <value order="0">2014\7376</value>
    </field>
    <field name="Objective-Classification">
      <value order="0">For Official Use Only (FOUO)</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BCDA01B7-A082-4A23-AA99-86723993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TotalTime>
  <Pages>10</Pages>
  <Words>2065</Words>
  <Characters>13721</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APVMA Publication Template</vt:lpstr>
    </vt:vector>
  </TitlesOfParts>
  <Manager/>
  <Company>Australian Pesticides and Veterinary Medicines Authority</Company>
  <LinksUpToDate>false</LinksUpToDate>
  <CharactersWithSpaces>15755</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B—aquatic species</dc:title>
  <dc:subject/>
  <dc:creator>APVMA</dc:creator>
  <cp:keywords/>
  <dc:description/>
  <cp:lastModifiedBy>ELLIOTT, Amy</cp:lastModifiedBy>
  <cp:revision>2</cp:revision>
  <cp:lastPrinted>2019-05-09T23:07:00Z</cp:lastPrinted>
  <dcterms:created xsi:type="dcterms:W3CDTF">2020-04-07T01:35:00Z</dcterms:created>
  <dcterms:modified xsi:type="dcterms:W3CDTF">2020-04-07T01:35:00Z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A380625</vt:lpwstr>
  </property>
  <property fmtid="{D5CDD505-2E9C-101B-9397-08002B2CF9AE}" pid="4" name="Objective-Title">
    <vt:lpwstr>Template AVPMA Publications</vt:lpwstr>
  </property>
  <property fmtid="{D5CDD505-2E9C-101B-9397-08002B2CF9AE}" pid="5" name="Objective-Comment">
    <vt:lpwstr/>
  </property>
  <property fmtid="{D5CDD505-2E9C-101B-9397-08002B2CF9AE}" pid="6" name="Objective-CreationStamp">
    <vt:filetime>2015-09-14T20:46:52Z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2019-10-30T03:02:21Z</vt:filetime>
  </property>
  <property fmtid="{D5CDD505-2E9C-101B-9397-08002B2CF9AE}" pid="10" name="Objective-ModificationStamp">
    <vt:filetime>2019-10-30T03:02:21Z</vt:filetime>
  </property>
  <property fmtid="{D5CDD505-2E9C-101B-9397-08002B2CF9AE}" pid="11" name="Objective-Owner">
    <vt:lpwstr>Katina King</vt:lpwstr>
  </property>
  <property fmtid="{D5CDD505-2E9C-101B-9397-08002B2CF9AE}" pid="12" name="Objective-Path">
    <vt:lpwstr>APVMA:BUSINESS SYSTEMS:Business Systems - Instructional Material Library:Instructional Material - Corporate Services:Communications:03 - Templates - Other</vt:lpwstr>
  </property>
  <property fmtid="{D5CDD505-2E9C-101B-9397-08002B2CF9AE}" pid="13" name="Objective-Parent">
    <vt:lpwstr>03 - Templates - Other</vt:lpwstr>
  </property>
  <property fmtid="{D5CDD505-2E9C-101B-9397-08002B2CF9AE}" pid="14" name="Objective-State">
    <vt:lpwstr>Published</vt:lpwstr>
  </property>
  <property fmtid="{D5CDD505-2E9C-101B-9397-08002B2CF9AE}" pid="15" name="Objective-Version">
    <vt:lpwstr>15.0</vt:lpwstr>
  </property>
  <property fmtid="{D5CDD505-2E9C-101B-9397-08002B2CF9AE}" pid="16" name="Objective-VersionNumber">
    <vt:r8>17</vt:r8>
  </property>
  <property fmtid="{D5CDD505-2E9C-101B-9397-08002B2CF9AE}" pid="17" name="Objective-VersionComment">
    <vt:lpwstr/>
  </property>
  <property fmtid="{D5CDD505-2E9C-101B-9397-08002B2CF9AE}" pid="18" name="Objective-FileNumber">
    <vt:lpwstr>2014\7376</vt:lpwstr>
  </property>
  <property fmtid="{D5CDD505-2E9C-101B-9397-08002B2CF9AE}" pid="19" name="Objective-Classification">
    <vt:lpwstr>For Official Use Only (FOUO)</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vA2454296</vt:lpwstr>
  </property>
  <property fmtid="{D5CDD505-2E9C-101B-9397-08002B2CF9AE}" pid="23" name="Objective-Connect Creator">
    <vt:lpwstr/>
  </property>
</Properties>
</file>