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83EB4" w14:textId="77777777" w:rsidR="00F27E0D" w:rsidRDefault="008522F0">
      <w:r>
        <w:rPr>
          <w:noProof/>
          <w:lang w:eastAsia="en-AU"/>
        </w:rPr>
        <w:drawing>
          <wp:inline distT="0" distB="0" distL="0" distR="0" wp14:anchorId="0C3FA6A5" wp14:editId="00E8D100">
            <wp:extent cx="6858000" cy="1847850"/>
            <wp:effectExtent l="0" t="0" r="0" b="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14:anchorId="7EA6A44B" wp14:editId="59F9D365">
            <wp:extent cx="6858000" cy="3438525"/>
            <wp:effectExtent l="0" t="0" r="0" b="9525"/>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602FC2B3" wp14:editId="234D3448">
            <wp:extent cx="6858000" cy="619125"/>
            <wp:effectExtent l="0" t="0" r="0" b="9525"/>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302A296D" w14:textId="77777777" w:rsidR="00F27E0D" w:rsidRDefault="00F27E0D">
      <w:pPr>
        <w:pStyle w:val="APVMATitle1"/>
      </w:pPr>
      <w:r>
        <w:t>Public Release Summary</w:t>
      </w:r>
    </w:p>
    <w:p w14:paraId="5C84109D" w14:textId="77777777" w:rsidR="00F27E0D" w:rsidRDefault="00F27E0D"/>
    <w:p w14:paraId="517E44F4" w14:textId="159C044C" w:rsidR="00F27E0D" w:rsidRDefault="008E06AD">
      <w:pPr>
        <w:pStyle w:val="APVMATitle2"/>
      </w:pPr>
      <w:r>
        <w:t xml:space="preserve">on the </w:t>
      </w:r>
      <w:r w:rsidR="00792FDD">
        <w:t>e</w:t>
      </w:r>
      <w:r>
        <w:t>valuation of</w:t>
      </w:r>
      <w:r w:rsidR="00F27E0D">
        <w:t xml:space="preserve"> </w:t>
      </w:r>
      <w:r w:rsidR="00792FDD">
        <w:t>p</w:t>
      </w:r>
      <w:r w:rsidR="009C3776">
        <w:t xml:space="preserve">ydiflumetofen in the </w:t>
      </w:r>
      <w:r w:rsidR="00792FDD">
        <w:t>p</w:t>
      </w:r>
      <w:r w:rsidR="009C3776">
        <w:t xml:space="preserve">roduct </w:t>
      </w:r>
      <w:r w:rsidR="006E5782">
        <w:t>Miravis</w:t>
      </w:r>
      <w:r w:rsidR="009C3776">
        <w:t xml:space="preserve"> Fungicide</w:t>
      </w:r>
    </w:p>
    <w:p w14:paraId="74283062" w14:textId="77777777" w:rsidR="00F27E0D" w:rsidRDefault="009C3776">
      <w:pPr>
        <w:pStyle w:val="APVMATitle2a"/>
      </w:pPr>
      <w:r>
        <w:t>APVMA Product Number 82484</w:t>
      </w:r>
    </w:p>
    <w:p w14:paraId="44D52772" w14:textId="77777777" w:rsidR="00F27E0D" w:rsidRDefault="00F27E0D"/>
    <w:p w14:paraId="40572664" w14:textId="77777777" w:rsidR="00F27E0D" w:rsidRDefault="00F27E0D">
      <w:pPr>
        <w:pStyle w:val="APVMAText"/>
        <w:rPr>
          <w:sz w:val="28"/>
          <w:szCs w:val="28"/>
        </w:rPr>
        <w:sectPr w:rsidR="00F27E0D">
          <w:headerReference w:type="even" r:id="rId12"/>
          <w:footerReference w:type="default" r:id="rId13"/>
          <w:pgSz w:w="11906" w:h="16838" w:code="9"/>
          <w:pgMar w:top="567" w:right="567" w:bottom="567" w:left="567" w:header="567" w:footer="567" w:gutter="0"/>
          <w:pgNumType w:fmt="lowerRoman"/>
          <w:cols w:space="708"/>
          <w:docGrid w:linePitch="360"/>
        </w:sectPr>
      </w:pPr>
    </w:p>
    <w:p w14:paraId="5EF5BCFD" w14:textId="77777777" w:rsidR="00792FDD" w:rsidRDefault="00792FDD" w:rsidP="00792FDD">
      <w:pPr>
        <w:pStyle w:val="APVMAImprintText"/>
      </w:pPr>
      <w:r>
        <w:lastRenderedPageBreak/>
        <w:t>© Australian Pesticides and Veterinary Medicines Authority 2018</w:t>
      </w:r>
    </w:p>
    <w:p w14:paraId="14601A51" w14:textId="5C4648E4" w:rsidR="00792FDD" w:rsidRPr="00E700BE" w:rsidRDefault="00792FDD" w:rsidP="00792FDD">
      <w:pPr>
        <w:pStyle w:val="APVMAImprintText"/>
      </w:pPr>
      <w:r w:rsidRPr="006903A7">
        <w:t xml:space="preserve">ISBN: </w:t>
      </w:r>
      <w:r w:rsidRPr="005B3157">
        <w:t>978-1-925</w:t>
      </w:r>
      <w:r w:rsidR="005B3157" w:rsidRPr="005B3157">
        <w:t>767-02-5</w:t>
      </w:r>
    </w:p>
    <w:p w14:paraId="45DE5830" w14:textId="77777777" w:rsidR="00792FDD" w:rsidRPr="005D114C" w:rsidRDefault="00792FDD" w:rsidP="00792FDD">
      <w:pPr>
        <w:pStyle w:val="APVMAImprintText"/>
        <w:rPr>
          <w:b/>
        </w:rPr>
      </w:pPr>
      <w:r w:rsidRPr="005D114C">
        <w:rPr>
          <w:b/>
        </w:rPr>
        <w:t>Ownership of intellectual property rights in this publication</w:t>
      </w:r>
    </w:p>
    <w:p w14:paraId="7DE9FD34" w14:textId="77777777" w:rsidR="00792FDD" w:rsidRDefault="00792FDD" w:rsidP="00792FDD">
      <w:pPr>
        <w:pStyle w:val="APVMAImprintText"/>
      </w:pPr>
      <w:r>
        <w:t>Unless otherwise noted, copyright (and any other intellectual property rights, if any) in this publication is owned by the Australian Pesticides and Veterinary Medicines Authority (APVMA).</w:t>
      </w:r>
    </w:p>
    <w:p w14:paraId="14A3B6F1" w14:textId="77777777" w:rsidR="00792FDD" w:rsidRPr="005D114C" w:rsidRDefault="00792FDD" w:rsidP="00792FDD">
      <w:pPr>
        <w:pStyle w:val="APVMAImprintText"/>
        <w:rPr>
          <w:b/>
        </w:rPr>
      </w:pPr>
      <w:r w:rsidRPr="005D114C">
        <w:rPr>
          <w:b/>
        </w:rPr>
        <w:t>Creative Commons licence</w:t>
      </w:r>
    </w:p>
    <w:p w14:paraId="67AE098D" w14:textId="77777777" w:rsidR="00792FDD" w:rsidRDefault="00792FDD" w:rsidP="00792FDD">
      <w:pPr>
        <w:pStyle w:val="APVMAImprintText"/>
      </w:pPr>
      <w: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p>
    <w:p w14:paraId="1AB14370" w14:textId="77777777" w:rsidR="00792FDD" w:rsidRDefault="00792FDD" w:rsidP="00792FDD">
      <w:pPr>
        <w:pStyle w:val="APVMAImprintText"/>
      </w:pPr>
      <w:r>
        <w:rPr>
          <w:noProof/>
          <w:szCs w:val="16"/>
          <w:lang w:eastAsia="en-AU"/>
        </w:rPr>
        <w:drawing>
          <wp:anchor distT="0" distB="0" distL="114300" distR="114300" simplePos="0" relativeHeight="251660800" behindDoc="1" locked="0" layoutInCell="1" allowOverlap="1" wp14:anchorId="12967676" wp14:editId="314B4B49">
            <wp:simplePos x="0" y="0"/>
            <wp:positionH relativeFrom="column">
              <wp:posOffset>494665</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6" name="Picture 6" descr="Creative commons attribution logo" title="crata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mchandra\Desktop\by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r>
        <w:rPr>
          <w:noProof/>
          <w:szCs w:val="16"/>
          <w:lang w:eastAsia="en-AU"/>
        </w:rPr>
        <w:drawing>
          <wp:anchor distT="0" distB="0" distL="114300" distR="114300" simplePos="0" relativeHeight="251659776" behindDoc="1" locked="0" layoutInCell="1" allowOverlap="1" wp14:anchorId="3093EEC3" wp14:editId="363B6E01">
            <wp:simplePos x="0" y="0"/>
            <wp:positionH relativeFrom="margin">
              <wp:posOffset>0</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5"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c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p>
    <w:p w14:paraId="1D74D1AB" w14:textId="77777777" w:rsidR="00792FDD" w:rsidRDefault="00792FDD" w:rsidP="00792FDD">
      <w:pPr>
        <w:pStyle w:val="APVMAImprintText"/>
      </w:pPr>
    </w:p>
    <w:p w14:paraId="259C4685" w14:textId="77777777" w:rsidR="00792FDD" w:rsidRDefault="00792FDD" w:rsidP="00792FDD">
      <w:pPr>
        <w:pStyle w:val="APVMAImprintText"/>
      </w:pPr>
      <w:r>
        <w:t xml:space="preserve">A summary of the licence terms is available from </w:t>
      </w:r>
      <w:hyperlink r:id="rId16" w:history="1">
        <w:r w:rsidRPr="00301647">
          <w:rPr>
            <w:rStyle w:val="Hyperlink"/>
          </w:rPr>
          <w:t>www.creativecommons.org/licenses/by/3.0/au/deed.en</w:t>
        </w:r>
      </w:hyperlink>
      <w:r>
        <w:t xml:space="preserve">. The full licence terms are available from </w:t>
      </w:r>
      <w:hyperlink r:id="rId17" w:history="1">
        <w:r w:rsidRPr="00301647">
          <w:rPr>
            <w:rStyle w:val="Hyperlink"/>
          </w:rPr>
          <w:t>www.creativecommons.org/licenses/by/3.0/au/legalcode</w:t>
        </w:r>
      </w:hyperlink>
      <w:r>
        <w:t>.</w:t>
      </w:r>
    </w:p>
    <w:p w14:paraId="774A1509" w14:textId="77777777" w:rsidR="00792FDD" w:rsidRDefault="00792FDD" w:rsidP="00792FDD">
      <w:pPr>
        <w:pStyle w:val="APVMAImprintText"/>
      </w:pPr>
      <w:r>
        <w:t>The APVMA’s preference is that you attribute this publication (and any approved material sourced from it) using the following wording:</w:t>
      </w:r>
    </w:p>
    <w:p w14:paraId="7015E75D" w14:textId="77777777" w:rsidR="00792FDD" w:rsidRPr="008515E2" w:rsidRDefault="00792FDD" w:rsidP="00792FDD">
      <w:pPr>
        <w:pStyle w:val="APVMAImprintText"/>
        <w:rPr>
          <w:i/>
        </w:rPr>
      </w:pPr>
      <w:r w:rsidRPr="008515E2">
        <w:rPr>
          <w:i/>
        </w:rPr>
        <w:t>Source: Licensed from the Australian Pesticides and Veterinary Medicines Authority (APVMA) under a Creative Commons Attribution 3.0 Australia Licence.</w:t>
      </w:r>
    </w:p>
    <w:p w14:paraId="1359C69C" w14:textId="77777777" w:rsidR="00792FDD" w:rsidRDefault="00792FDD" w:rsidP="00792FDD">
      <w:pPr>
        <w:pStyle w:val="APVMAImprintText"/>
      </w:pPr>
      <w:r>
        <w:t>In referencing this document the Australian Pesticides and Veterinary Medicines Authority should be cited as the author, publisher and copyright owner.</w:t>
      </w:r>
    </w:p>
    <w:p w14:paraId="762510D5" w14:textId="77777777" w:rsidR="00792FDD" w:rsidRPr="005D114C" w:rsidRDefault="00792FDD" w:rsidP="00792FDD">
      <w:pPr>
        <w:pStyle w:val="APVMAImprintText"/>
        <w:rPr>
          <w:b/>
        </w:rPr>
      </w:pPr>
      <w:r w:rsidRPr="005D114C">
        <w:rPr>
          <w:b/>
        </w:rPr>
        <w:t>Use of the Coat of Arms</w:t>
      </w:r>
    </w:p>
    <w:p w14:paraId="0703A422" w14:textId="77777777" w:rsidR="00792FDD" w:rsidRDefault="00792FDD" w:rsidP="00792FDD">
      <w:pPr>
        <w:pStyle w:val="APVMAImprintText"/>
      </w:pPr>
      <w:r>
        <w:t xml:space="preserve">The terms under which the Coat of Arms can be used are set out on the Department of the Prime Minister and Cabinet website (see </w:t>
      </w:r>
      <w:hyperlink r:id="rId18" w:history="1">
        <w:r w:rsidRPr="00301647">
          <w:rPr>
            <w:rStyle w:val="Hyperlink"/>
          </w:rPr>
          <w:t>www.dpmc.gov.au/pmc/publication/commonwealth-coat-arms-information-and-guidelines</w:t>
        </w:r>
      </w:hyperlink>
      <w:r>
        <w:t>).</w:t>
      </w:r>
    </w:p>
    <w:p w14:paraId="31BC5D6E" w14:textId="77777777" w:rsidR="00792FDD" w:rsidRPr="005D114C" w:rsidRDefault="00792FDD" w:rsidP="00792FDD">
      <w:pPr>
        <w:pStyle w:val="APVMAImprintText"/>
        <w:rPr>
          <w:b/>
        </w:rPr>
      </w:pPr>
      <w:r w:rsidRPr="005D114C">
        <w:rPr>
          <w:b/>
        </w:rPr>
        <w:t>Disclaimer</w:t>
      </w:r>
    </w:p>
    <w:p w14:paraId="22591DD4" w14:textId="77777777" w:rsidR="00792FDD" w:rsidRDefault="00792FDD" w:rsidP="00792FDD">
      <w:pPr>
        <w:pStyle w:val="APVMAImprintText"/>
      </w:pPr>
      <w:r>
        <w:t>The material in or linking from this report may contain the views or recommendations of third parties. Third party material does not necessarily reflect the views of the APVMA, or indicate a commitment to a particular course of action.</w:t>
      </w:r>
    </w:p>
    <w:p w14:paraId="4FDA11D3" w14:textId="77777777" w:rsidR="00792FDD" w:rsidRDefault="00792FDD" w:rsidP="00792FDD">
      <w:pPr>
        <w:pStyle w:val="APVMAImprintText"/>
      </w:pPr>
      <w:r>
        <w:t>There may be links in this document that will transfer you to external websites. The APVMA does not have responsibility for these websites, nor does linking to or from this document constitute any form of endorsement.</w:t>
      </w:r>
    </w:p>
    <w:p w14:paraId="7BEAB440" w14:textId="77777777" w:rsidR="00792FDD" w:rsidRDefault="00792FDD" w:rsidP="00792FDD">
      <w:pPr>
        <w:pStyle w:val="APVMAImprintText"/>
      </w:pPr>
      <w:r>
        <w:t>The APVMA is not responsible for any errors, omissions or matters of interpretation in any third-party information contained within this document.</w:t>
      </w:r>
    </w:p>
    <w:p w14:paraId="7611EAF7" w14:textId="77777777" w:rsidR="00792FDD" w:rsidRPr="005D114C" w:rsidRDefault="00792FDD" w:rsidP="00792FDD">
      <w:pPr>
        <w:pStyle w:val="APVMAImprintText"/>
        <w:rPr>
          <w:b/>
        </w:rPr>
      </w:pPr>
      <w:r w:rsidRPr="005D114C">
        <w:rPr>
          <w:b/>
        </w:rPr>
        <w:t>Comments and enquiries regarding copyright:</w:t>
      </w:r>
    </w:p>
    <w:p w14:paraId="286FFF57" w14:textId="77777777" w:rsidR="00792FDD" w:rsidRDefault="00792FDD" w:rsidP="00792FDD">
      <w:pPr>
        <w:pStyle w:val="APVMAImprintText"/>
      </w:pPr>
      <w:r>
        <w:t>Director Public Affairs and Communication</w:t>
      </w:r>
    </w:p>
    <w:p w14:paraId="6BA37EF3" w14:textId="77777777" w:rsidR="00792FDD" w:rsidRDefault="00792FDD" w:rsidP="00792FDD">
      <w:pPr>
        <w:pStyle w:val="APVMAImprintText"/>
      </w:pPr>
      <w:r>
        <w:t>Australian Pesticides and Veterinary Medicines Authority</w:t>
      </w:r>
    </w:p>
    <w:p w14:paraId="7A4A2204" w14:textId="77777777" w:rsidR="00792FDD" w:rsidRDefault="00792FDD" w:rsidP="00792FDD">
      <w:pPr>
        <w:pStyle w:val="APVMAImprintText"/>
      </w:pPr>
      <w:r>
        <w:t>PO Box 6182</w:t>
      </w:r>
    </w:p>
    <w:p w14:paraId="0907E978" w14:textId="77777777" w:rsidR="00792FDD" w:rsidRDefault="00792FDD" w:rsidP="00792FDD">
      <w:pPr>
        <w:pStyle w:val="APVMAImprintText"/>
      </w:pPr>
      <w:r>
        <w:t>KINGSTON ACT 2604 Australia</w:t>
      </w:r>
    </w:p>
    <w:p w14:paraId="0F94575F" w14:textId="77777777" w:rsidR="00792FDD" w:rsidRDefault="00792FDD" w:rsidP="00792FDD">
      <w:pPr>
        <w:pStyle w:val="APVMAImprintText"/>
      </w:pPr>
      <w:r>
        <w:t>Telephone: +61 2 6210 4988</w:t>
      </w:r>
    </w:p>
    <w:p w14:paraId="48E88285" w14:textId="77777777" w:rsidR="00792FDD" w:rsidRDefault="00792FDD" w:rsidP="00792FDD">
      <w:pPr>
        <w:pStyle w:val="APVMAImprintText"/>
      </w:pPr>
      <w:r>
        <w:t xml:space="preserve">Email: </w:t>
      </w:r>
      <w:hyperlink r:id="rId19" w:history="1">
        <w:r w:rsidRPr="00301647">
          <w:rPr>
            <w:rStyle w:val="Hyperlink"/>
          </w:rPr>
          <w:t>communications@apvma.gov.au</w:t>
        </w:r>
      </w:hyperlink>
    </w:p>
    <w:p w14:paraId="5AD4F241" w14:textId="77777777" w:rsidR="006A438E" w:rsidRDefault="00792FDD" w:rsidP="00792FDD">
      <w:pPr>
        <w:pStyle w:val="APVMAImprintText"/>
        <w:rPr>
          <w:position w:val="-4"/>
          <w:sz w:val="28"/>
          <w:szCs w:val="28"/>
        </w:rPr>
        <w:sectPr w:rsidR="006A438E">
          <w:headerReference w:type="even" r:id="rId20"/>
          <w:headerReference w:type="default" r:id="rId21"/>
          <w:pgSz w:w="11906" w:h="16838" w:code="9"/>
          <w:pgMar w:top="2835" w:right="1134" w:bottom="1134" w:left="1134" w:header="1701" w:footer="680" w:gutter="0"/>
          <w:pgNumType w:fmt="lowerRoman"/>
          <w:cols w:space="708"/>
          <w:docGrid w:linePitch="360"/>
        </w:sectPr>
      </w:pPr>
      <w:r>
        <w:t xml:space="preserve">This publication is available from the APVMA website: </w:t>
      </w:r>
      <w:hyperlink r:id="rId22" w:history="1">
        <w:r w:rsidRPr="00301647">
          <w:rPr>
            <w:rStyle w:val="Hyperlink"/>
          </w:rPr>
          <w:t>www.apvma.gov.au</w:t>
        </w:r>
      </w:hyperlink>
      <w:r>
        <w:t>.</w:t>
      </w:r>
      <w:r w:rsidDel="00067166">
        <w:rPr>
          <w:position w:val="-4"/>
          <w:sz w:val="28"/>
          <w:szCs w:val="28"/>
        </w:rPr>
        <w:t xml:space="preserve"> </w:t>
      </w:r>
    </w:p>
    <w:p w14:paraId="36FBE9E6" w14:textId="6758FA1B" w:rsidR="00F27E0D" w:rsidRDefault="006A438E">
      <w:pPr>
        <w:pStyle w:val="TOAHeading"/>
      </w:pPr>
      <w:r>
        <w:lastRenderedPageBreak/>
        <w:t>C</w:t>
      </w:r>
      <w:r w:rsidR="00F27E0D">
        <w:t>ontents</w:t>
      </w:r>
    </w:p>
    <w:p w14:paraId="678451F4" w14:textId="77777777" w:rsidR="006065E2" w:rsidRDefault="00F27E0D">
      <w:pPr>
        <w:pStyle w:val="TOC2"/>
        <w:rPr>
          <w:rFonts w:asciiTheme="minorHAnsi" w:eastAsiaTheme="minorEastAsia" w:hAnsiTheme="minorHAnsi" w:cstheme="minorBidi"/>
          <w:b w:val="0"/>
          <w:color w:val="auto"/>
          <w:sz w:val="22"/>
          <w:szCs w:val="22"/>
          <w:lang w:eastAsia="en-AU"/>
        </w:rPr>
      </w:pPr>
      <w:r>
        <w:fldChar w:fldCharType="begin"/>
      </w:r>
      <w:r>
        <w:instrText xml:space="preserve"> TOC \o "1-2" \h \z </w:instrText>
      </w:r>
      <w:r>
        <w:fldChar w:fldCharType="separate"/>
      </w:r>
      <w:hyperlink w:anchor="_Toc507406648" w:history="1">
        <w:r w:rsidR="006065E2" w:rsidRPr="002969A1">
          <w:rPr>
            <w:rStyle w:val="Hyperlink"/>
          </w:rPr>
          <w:t>About this document</w:t>
        </w:r>
        <w:r w:rsidR="006065E2">
          <w:rPr>
            <w:webHidden/>
          </w:rPr>
          <w:tab/>
        </w:r>
        <w:r w:rsidR="006065E2">
          <w:rPr>
            <w:webHidden/>
          </w:rPr>
          <w:fldChar w:fldCharType="begin"/>
        </w:r>
        <w:r w:rsidR="006065E2">
          <w:rPr>
            <w:webHidden/>
          </w:rPr>
          <w:instrText xml:space="preserve"> PAGEREF _Toc507406648 \h </w:instrText>
        </w:r>
        <w:r w:rsidR="006065E2">
          <w:rPr>
            <w:webHidden/>
          </w:rPr>
        </w:r>
        <w:r w:rsidR="006065E2">
          <w:rPr>
            <w:webHidden/>
          </w:rPr>
          <w:fldChar w:fldCharType="separate"/>
        </w:r>
        <w:r w:rsidR="006065E2">
          <w:rPr>
            <w:webHidden/>
          </w:rPr>
          <w:t>v</w:t>
        </w:r>
        <w:r w:rsidR="006065E2">
          <w:rPr>
            <w:webHidden/>
          </w:rPr>
          <w:fldChar w:fldCharType="end"/>
        </w:r>
      </w:hyperlink>
    </w:p>
    <w:p w14:paraId="5A48FBBE"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49" w:history="1">
        <w:r w:rsidR="006065E2" w:rsidRPr="002969A1">
          <w:rPr>
            <w:rStyle w:val="Hyperlink"/>
          </w:rPr>
          <w:t>Making a submission</w:t>
        </w:r>
        <w:r w:rsidR="006065E2">
          <w:rPr>
            <w:webHidden/>
          </w:rPr>
          <w:tab/>
        </w:r>
        <w:r w:rsidR="006065E2">
          <w:rPr>
            <w:webHidden/>
          </w:rPr>
          <w:fldChar w:fldCharType="begin"/>
        </w:r>
        <w:r w:rsidR="006065E2">
          <w:rPr>
            <w:webHidden/>
          </w:rPr>
          <w:instrText xml:space="preserve"> PAGEREF _Toc507406649 \h </w:instrText>
        </w:r>
        <w:r w:rsidR="006065E2">
          <w:rPr>
            <w:webHidden/>
          </w:rPr>
        </w:r>
        <w:r w:rsidR="006065E2">
          <w:rPr>
            <w:webHidden/>
          </w:rPr>
          <w:fldChar w:fldCharType="separate"/>
        </w:r>
        <w:r w:rsidR="006065E2">
          <w:rPr>
            <w:webHidden/>
          </w:rPr>
          <w:t>vi</w:t>
        </w:r>
        <w:r w:rsidR="006065E2">
          <w:rPr>
            <w:webHidden/>
          </w:rPr>
          <w:fldChar w:fldCharType="end"/>
        </w:r>
      </w:hyperlink>
    </w:p>
    <w:p w14:paraId="3CEE9CC3"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50" w:history="1">
        <w:r w:rsidR="006065E2" w:rsidRPr="002969A1">
          <w:rPr>
            <w:rStyle w:val="Hyperlink"/>
            <w:lang w:val="fr-FR"/>
          </w:rPr>
          <w:t>Further information</w:t>
        </w:r>
        <w:r w:rsidR="006065E2">
          <w:rPr>
            <w:webHidden/>
          </w:rPr>
          <w:tab/>
        </w:r>
        <w:r w:rsidR="006065E2">
          <w:rPr>
            <w:webHidden/>
          </w:rPr>
          <w:fldChar w:fldCharType="begin"/>
        </w:r>
        <w:r w:rsidR="006065E2">
          <w:rPr>
            <w:webHidden/>
          </w:rPr>
          <w:instrText xml:space="preserve"> PAGEREF _Toc507406650 \h </w:instrText>
        </w:r>
        <w:r w:rsidR="006065E2">
          <w:rPr>
            <w:webHidden/>
          </w:rPr>
        </w:r>
        <w:r w:rsidR="006065E2">
          <w:rPr>
            <w:webHidden/>
          </w:rPr>
          <w:fldChar w:fldCharType="separate"/>
        </w:r>
        <w:r w:rsidR="006065E2">
          <w:rPr>
            <w:webHidden/>
          </w:rPr>
          <w:t>vi</w:t>
        </w:r>
        <w:r w:rsidR="006065E2">
          <w:rPr>
            <w:webHidden/>
          </w:rPr>
          <w:fldChar w:fldCharType="end"/>
        </w:r>
      </w:hyperlink>
    </w:p>
    <w:p w14:paraId="2900BE88"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51" w:history="1">
        <w:r w:rsidR="006065E2" w:rsidRPr="002969A1">
          <w:rPr>
            <w:rStyle w:val="Hyperlink"/>
          </w:rPr>
          <w:t>1</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rPr>
          <w:t>Introduction</w:t>
        </w:r>
        <w:r w:rsidR="006065E2">
          <w:rPr>
            <w:webHidden/>
          </w:rPr>
          <w:tab/>
        </w:r>
        <w:r w:rsidR="006065E2">
          <w:rPr>
            <w:webHidden/>
          </w:rPr>
          <w:fldChar w:fldCharType="begin"/>
        </w:r>
        <w:r w:rsidR="006065E2">
          <w:rPr>
            <w:webHidden/>
          </w:rPr>
          <w:instrText xml:space="preserve"> PAGEREF _Toc507406651 \h </w:instrText>
        </w:r>
        <w:r w:rsidR="006065E2">
          <w:rPr>
            <w:webHidden/>
          </w:rPr>
        </w:r>
        <w:r w:rsidR="006065E2">
          <w:rPr>
            <w:webHidden/>
          </w:rPr>
          <w:fldChar w:fldCharType="separate"/>
        </w:r>
        <w:r w:rsidR="006065E2">
          <w:rPr>
            <w:webHidden/>
          </w:rPr>
          <w:t>7</w:t>
        </w:r>
        <w:r w:rsidR="006065E2">
          <w:rPr>
            <w:webHidden/>
          </w:rPr>
          <w:fldChar w:fldCharType="end"/>
        </w:r>
      </w:hyperlink>
    </w:p>
    <w:p w14:paraId="1C9A2B25"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52" w:history="1">
        <w:r w:rsidR="006065E2" w:rsidRPr="002969A1">
          <w:rPr>
            <w:rStyle w:val="Hyperlink"/>
          </w:rPr>
          <w:t>1.1</w:t>
        </w:r>
        <w:r w:rsidR="006065E2">
          <w:rPr>
            <w:rFonts w:asciiTheme="minorHAnsi" w:eastAsiaTheme="minorEastAsia" w:hAnsiTheme="minorHAnsi" w:cstheme="minorBidi"/>
            <w:b w:val="0"/>
            <w:color w:val="auto"/>
            <w:sz w:val="22"/>
            <w:szCs w:val="22"/>
            <w:lang w:eastAsia="en-AU"/>
          </w:rPr>
          <w:tab/>
        </w:r>
        <w:r w:rsidR="006065E2" w:rsidRPr="002969A1">
          <w:rPr>
            <w:rStyle w:val="Hyperlink"/>
          </w:rPr>
          <w:t>Applicant</w:t>
        </w:r>
        <w:r w:rsidR="006065E2">
          <w:rPr>
            <w:webHidden/>
          </w:rPr>
          <w:tab/>
        </w:r>
        <w:r w:rsidR="006065E2">
          <w:rPr>
            <w:webHidden/>
          </w:rPr>
          <w:fldChar w:fldCharType="begin"/>
        </w:r>
        <w:r w:rsidR="006065E2">
          <w:rPr>
            <w:webHidden/>
          </w:rPr>
          <w:instrText xml:space="preserve"> PAGEREF _Toc507406652 \h </w:instrText>
        </w:r>
        <w:r w:rsidR="006065E2">
          <w:rPr>
            <w:webHidden/>
          </w:rPr>
        </w:r>
        <w:r w:rsidR="006065E2">
          <w:rPr>
            <w:webHidden/>
          </w:rPr>
          <w:fldChar w:fldCharType="separate"/>
        </w:r>
        <w:r w:rsidR="006065E2">
          <w:rPr>
            <w:webHidden/>
          </w:rPr>
          <w:t>7</w:t>
        </w:r>
        <w:r w:rsidR="006065E2">
          <w:rPr>
            <w:webHidden/>
          </w:rPr>
          <w:fldChar w:fldCharType="end"/>
        </w:r>
      </w:hyperlink>
    </w:p>
    <w:p w14:paraId="6175E5B5"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53" w:history="1">
        <w:r w:rsidR="006065E2" w:rsidRPr="002969A1">
          <w:rPr>
            <w:rStyle w:val="Hyperlink"/>
          </w:rPr>
          <w:t>1.2</w:t>
        </w:r>
        <w:r w:rsidR="006065E2">
          <w:rPr>
            <w:rFonts w:asciiTheme="minorHAnsi" w:eastAsiaTheme="minorEastAsia" w:hAnsiTheme="minorHAnsi" w:cstheme="minorBidi"/>
            <w:b w:val="0"/>
            <w:color w:val="auto"/>
            <w:sz w:val="22"/>
            <w:szCs w:val="22"/>
            <w:lang w:eastAsia="en-AU"/>
          </w:rPr>
          <w:tab/>
        </w:r>
        <w:r w:rsidR="006065E2" w:rsidRPr="002969A1">
          <w:rPr>
            <w:rStyle w:val="Hyperlink"/>
          </w:rPr>
          <w:t>Purpose of application</w:t>
        </w:r>
        <w:r w:rsidR="006065E2">
          <w:rPr>
            <w:webHidden/>
          </w:rPr>
          <w:tab/>
        </w:r>
        <w:r w:rsidR="006065E2">
          <w:rPr>
            <w:webHidden/>
          </w:rPr>
          <w:fldChar w:fldCharType="begin"/>
        </w:r>
        <w:r w:rsidR="006065E2">
          <w:rPr>
            <w:webHidden/>
          </w:rPr>
          <w:instrText xml:space="preserve"> PAGEREF _Toc507406653 \h </w:instrText>
        </w:r>
        <w:r w:rsidR="006065E2">
          <w:rPr>
            <w:webHidden/>
          </w:rPr>
        </w:r>
        <w:r w:rsidR="006065E2">
          <w:rPr>
            <w:webHidden/>
          </w:rPr>
          <w:fldChar w:fldCharType="separate"/>
        </w:r>
        <w:r w:rsidR="006065E2">
          <w:rPr>
            <w:webHidden/>
          </w:rPr>
          <w:t>7</w:t>
        </w:r>
        <w:r w:rsidR="006065E2">
          <w:rPr>
            <w:webHidden/>
          </w:rPr>
          <w:fldChar w:fldCharType="end"/>
        </w:r>
      </w:hyperlink>
    </w:p>
    <w:p w14:paraId="02FA4499"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54" w:history="1">
        <w:r w:rsidR="006065E2" w:rsidRPr="002969A1">
          <w:rPr>
            <w:rStyle w:val="Hyperlink"/>
          </w:rPr>
          <w:t>1.3</w:t>
        </w:r>
        <w:r w:rsidR="006065E2">
          <w:rPr>
            <w:rFonts w:asciiTheme="minorHAnsi" w:eastAsiaTheme="minorEastAsia" w:hAnsiTheme="minorHAnsi" w:cstheme="minorBidi"/>
            <w:b w:val="0"/>
            <w:color w:val="auto"/>
            <w:sz w:val="22"/>
            <w:szCs w:val="22"/>
            <w:lang w:eastAsia="en-AU"/>
          </w:rPr>
          <w:tab/>
        </w:r>
        <w:r w:rsidR="006065E2" w:rsidRPr="002969A1">
          <w:rPr>
            <w:rStyle w:val="Hyperlink"/>
          </w:rPr>
          <w:t>Product claims and use pattern</w:t>
        </w:r>
        <w:r w:rsidR="006065E2">
          <w:rPr>
            <w:webHidden/>
          </w:rPr>
          <w:tab/>
        </w:r>
        <w:r w:rsidR="006065E2">
          <w:rPr>
            <w:webHidden/>
          </w:rPr>
          <w:fldChar w:fldCharType="begin"/>
        </w:r>
        <w:r w:rsidR="006065E2">
          <w:rPr>
            <w:webHidden/>
          </w:rPr>
          <w:instrText xml:space="preserve"> PAGEREF _Toc507406654 \h </w:instrText>
        </w:r>
        <w:r w:rsidR="006065E2">
          <w:rPr>
            <w:webHidden/>
          </w:rPr>
        </w:r>
        <w:r w:rsidR="006065E2">
          <w:rPr>
            <w:webHidden/>
          </w:rPr>
          <w:fldChar w:fldCharType="separate"/>
        </w:r>
        <w:r w:rsidR="006065E2">
          <w:rPr>
            <w:webHidden/>
          </w:rPr>
          <w:t>7</w:t>
        </w:r>
        <w:r w:rsidR="006065E2">
          <w:rPr>
            <w:webHidden/>
          </w:rPr>
          <w:fldChar w:fldCharType="end"/>
        </w:r>
      </w:hyperlink>
    </w:p>
    <w:p w14:paraId="56264E03"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55" w:history="1">
        <w:r w:rsidR="006065E2" w:rsidRPr="002969A1">
          <w:rPr>
            <w:rStyle w:val="Hyperlink"/>
          </w:rPr>
          <w:t>1.4</w:t>
        </w:r>
        <w:r w:rsidR="006065E2">
          <w:rPr>
            <w:rFonts w:asciiTheme="minorHAnsi" w:eastAsiaTheme="minorEastAsia" w:hAnsiTheme="minorHAnsi" w:cstheme="minorBidi"/>
            <w:b w:val="0"/>
            <w:color w:val="auto"/>
            <w:sz w:val="22"/>
            <w:szCs w:val="22"/>
            <w:lang w:eastAsia="en-AU"/>
          </w:rPr>
          <w:tab/>
        </w:r>
        <w:r w:rsidR="006065E2" w:rsidRPr="002969A1">
          <w:rPr>
            <w:rStyle w:val="Hyperlink"/>
          </w:rPr>
          <w:t>Mode of Action</w:t>
        </w:r>
        <w:r w:rsidR="006065E2">
          <w:rPr>
            <w:webHidden/>
          </w:rPr>
          <w:tab/>
        </w:r>
        <w:r w:rsidR="006065E2">
          <w:rPr>
            <w:webHidden/>
          </w:rPr>
          <w:fldChar w:fldCharType="begin"/>
        </w:r>
        <w:r w:rsidR="006065E2">
          <w:rPr>
            <w:webHidden/>
          </w:rPr>
          <w:instrText xml:space="preserve"> PAGEREF _Toc507406655 \h </w:instrText>
        </w:r>
        <w:r w:rsidR="006065E2">
          <w:rPr>
            <w:webHidden/>
          </w:rPr>
        </w:r>
        <w:r w:rsidR="006065E2">
          <w:rPr>
            <w:webHidden/>
          </w:rPr>
          <w:fldChar w:fldCharType="separate"/>
        </w:r>
        <w:r w:rsidR="006065E2">
          <w:rPr>
            <w:webHidden/>
          </w:rPr>
          <w:t>7</w:t>
        </w:r>
        <w:r w:rsidR="006065E2">
          <w:rPr>
            <w:webHidden/>
          </w:rPr>
          <w:fldChar w:fldCharType="end"/>
        </w:r>
      </w:hyperlink>
    </w:p>
    <w:p w14:paraId="168BBE48"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56" w:history="1">
        <w:r w:rsidR="006065E2" w:rsidRPr="002969A1">
          <w:rPr>
            <w:rStyle w:val="Hyperlink"/>
          </w:rPr>
          <w:t>1.5</w:t>
        </w:r>
        <w:r w:rsidR="006065E2">
          <w:rPr>
            <w:rFonts w:asciiTheme="minorHAnsi" w:eastAsiaTheme="minorEastAsia" w:hAnsiTheme="minorHAnsi" w:cstheme="minorBidi"/>
            <w:b w:val="0"/>
            <w:color w:val="auto"/>
            <w:sz w:val="22"/>
            <w:szCs w:val="22"/>
            <w:lang w:eastAsia="en-AU"/>
          </w:rPr>
          <w:tab/>
        </w:r>
        <w:r w:rsidR="006065E2" w:rsidRPr="002969A1">
          <w:rPr>
            <w:rStyle w:val="Hyperlink"/>
          </w:rPr>
          <w:t>Overseas registrations</w:t>
        </w:r>
        <w:r w:rsidR="006065E2">
          <w:rPr>
            <w:webHidden/>
          </w:rPr>
          <w:tab/>
        </w:r>
        <w:r w:rsidR="006065E2">
          <w:rPr>
            <w:webHidden/>
          </w:rPr>
          <w:fldChar w:fldCharType="begin"/>
        </w:r>
        <w:r w:rsidR="006065E2">
          <w:rPr>
            <w:webHidden/>
          </w:rPr>
          <w:instrText xml:space="preserve"> PAGEREF _Toc507406656 \h </w:instrText>
        </w:r>
        <w:r w:rsidR="006065E2">
          <w:rPr>
            <w:webHidden/>
          </w:rPr>
        </w:r>
        <w:r w:rsidR="006065E2">
          <w:rPr>
            <w:webHidden/>
          </w:rPr>
          <w:fldChar w:fldCharType="separate"/>
        </w:r>
        <w:r w:rsidR="006065E2">
          <w:rPr>
            <w:webHidden/>
          </w:rPr>
          <w:t>7</w:t>
        </w:r>
        <w:r w:rsidR="006065E2">
          <w:rPr>
            <w:webHidden/>
          </w:rPr>
          <w:fldChar w:fldCharType="end"/>
        </w:r>
      </w:hyperlink>
    </w:p>
    <w:p w14:paraId="0A0F9DEF"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57" w:history="1">
        <w:r w:rsidR="006065E2" w:rsidRPr="002969A1">
          <w:rPr>
            <w:rStyle w:val="Hyperlink"/>
            <w:lang w:val="en-GB"/>
          </w:rPr>
          <w:t>2</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lang w:val="en-GB"/>
          </w:rPr>
          <w:t>Chemistry and manufacture</w:t>
        </w:r>
        <w:r w:rsidR="006065E2">
          <w:rPr>
            <w:webHidden/>
          </w:rPr>
          <w:tab/>
        </w:r>
        <w:r w:rsidR="006065E2">
          <w:rPr>
            <w:webHidden/>
          </w:rPr>
          <w:fldChar w:fldCharType="begin"/>
        </w:r>
        <w:r w:rsidR="006065E2">
          <w:rPr>
            <w:webHidden/>
          </w:rPr>
          <w:instrText xml:space="preserve"> PAGEREF _Toc507406657 \h </w:instrText>
        </w:r>
        <w:r w:rsidR="006065E2">
          <w:rPr>
            <w:webHidden/>
          </w:rPr>
        </w:r>
        <w:r w:rsidR="006065E2">
          <w:rPr>
            <w:webHidden/>
          </w:rPr>
          <w:fldChar w:fldCharType="separate"/>
        </w:r>
        <w:r w:rsidR="006065E2">
          <w:rPr>
            <w:webHidden/>
          </w:rPr>
          <w:t>8</w:t>
        </w:r>
        <w:r w:rsidR="006065E2">
          <w:rPr>
            <w:webHidden/>
          </w:rPr>
          <w:fldChar w:fldCharType="end"/>
        </w:r>
      </w:hyperlink>
    </w:p>
    <w:p w14:paraId="142AA222"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58" w:history="1">
        <w:r w:rsidR="006065E2" w:rsidRPr="002969A1">
          <w:rPr>
            <w:rStyle w:val="Hyperlink"/>
          </w:rPr>
          <w:t>3</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rPr>
          <w:t>Toxicological assessment</w:t>
        </w:r>
        <w:r w:rsidR="006065E2">
          <w:rPr>
            <w:webHidden/>
          </w:rPr>
          <w:tab/>
        </w:r>
        <w:r w:rsidR="006065E2">
          <w:rPr>
            <w:webHidden/>
          </w:rPr>
          <w:fldChar w:fldCharType="begin"/>
        </w:r>
        <w:r w:rsidR="006065E2">
          <w:rPr>
            <w:webHidden/>
          </w:rPr>
          <w:instrText xml:space="preserve"> PAGEREF _Toc507406658 \h </w:instrText>
        </w:r>
        <w:r w:rsidR="006065E2">
          <w:rPr>
            <w:webHidden/>
          </w:rPr>
        </w:r>
        <w:r w:rsidR="006065E2">
          <w:rPr>
            <w:webHidden/>
          </w:rPr>
          <w:fldChar w:fldCharType="separate"/>
        </w:r>
        <w:r w:rsidR="006065E2">
          <w:rPr>
            <w:webHidden/>
          </w:rPr>
          <w:t>13</w:t>
        </w:r>
        <w:r w:rsidR="006065E2">
          <w:rPr>
            <w:webHidden/>
          </w:rPr>
          <w:fldChar w:fldCharType="end"/>
        </w:r>
      </w:hyperlink>
    </w:p>
    <w:p w14:paraId="429AB0B1"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59" w:history="1">
        <w:r w:rsidR="006065E2" w:rsidRPr="002969A1">
          <w:rPr>
            <w:rStyle w:val="Hyperlink"/>
          </w:rPr>
          <w:t>3.1</w:t>
        </w:r>
        <w:r w:rsidR="006065E2">
          <w:rPr>
            <w:rFonts w:asciiTheme="minorHAnsi" w:eastAsiaTheme="minorEastAsia" w:hAnsiTheme="minorHAnsi" w:cstheme="minorBidi"/>
            <w:b w:val="0"/>
            <w:color w:val="auto"/>
            <w:sz w:val="22"/>
            <w:szCs w:val="22"/>
            <w:lang w:eastAsia="en-AU"/>
          </w:rPr>
          <w:tab/>
        </w:r>
        <w:r w:rsidR="006065E2" w:rsidRPr="002969A1">
          <w:rPr>
            <w:rStyle w:val="Hyperlink"/>
          </w:rPr>
          <w:t>Evaluation of toxicology</w:t>
        </w:r>
        <w:r w:rsidR="006065E2">
          <w:rPr>
            <w:webHidden/>
          </w:rPr>
          <w:tab/>
        </w:r>
        <w:r w:rsidR="006065E2">
          <w:rPr>
            <w:webHidden/>
          </w:rPr>
          <w:fldChar w:fldCharType="begin"/>
        </w:r>
        <w:r w:rsidR="006065E2">
          <w:rPr>
            <w:webHidden/>
          </w:rPr>
          <w:instrText xml:space="preserve"> PAGEREF _Toc507406659 \h </w:instrText>
        </w:r>
        <w:r w:rsidR="006065E2">
          <w:rPr>
            <w:webHidden/>
          </w:rPr>
        </w:r>
        <w:r w:rsidR="006065E2">
          <w:rPr>
            <w:webHidden/>
          </w:rPr>
          <w:fldChar w:fldCharType="separate"/>
        </w:r>
        <w:r w:rsidR="006065E2">
          <w:rPr>
            <w:webHidden/>
          </w:rPr>
          <w:t>13</w:t>
        </w:r>
        <w:r w:rsidR="006065E2">
          <w:rPr>
            <w:webHidden/>
          </w:rPr>
          <w:fldChar w:fldCharType="end"/>
        </w:r>
      </w:hyperlink>
    </w:p>
    <w:p w14:paraId="437954EF"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0" w:history="1">
        <w:r w:rsidR="006065E2" w:rsidRPr="002969A1">
          <w:rPr>
            <w:rStyle w:val="Hyperlink"/>
          </w:rPr>
          <w:t>3.2</w:t>
        </w:r>
        <w:r w:rsidR="006065E2">
          <w:rPr>
            <w:rFonts w:asciiTheme="minorHAnsi" w:eastAsiaTheme="minorEastAsia" w:hAnsiTheme="minorHAnsi" w:cstheme="minorBidi"/>
            <w:b w:val="0"/>
            <w:color w:val="auto"/>
            <w:sz w:val="22"/>
            <w:szCs w:val="22"/>
            <w:lang w:eastAsia="en-AU"/>
          </w:rPr>
          <w:tab/>
        </w:r>
        <w:r w:rsidR="006065E2" w:rsidRPr="002969A1">
          <w:rPr>
            <w:rStyle w:val="Hyperlink"/>
          </w:rPr>
          <w:t>Public health standards</w:t>
        </w:r>
        <w:r w:rsidR="006065E2">
          <w:rPr>
            <w:webHidden/>
          </w:rPr>
          <w:tab/>
        </w:r>
        <w:r w:rsidR="006065E2">
          <w:rPr>
            <w:webHidden/>
          </w:rPr>
          <w:fldChar w:fldCharType="begin"/>
        </w:r>
        <w:r w:rsidR="006065E2">
          <w:rPr>
            <w:webHidden/>
          </w:rPr>
          <w:instrText xml:space="preserve"> PAGEREF _Toc507406660 \h </w:instrText>
        </w:r>
        <w:r w:rsidR="006065E2">
          <w:rPr>
            <w:webHidden/>
          </w:rPr>
        </w:r>
        <w:r w:rsidR="006065E2">
          <w:rPr>
            <w:webHidden/>
          </w:rPr>
          <w:fldChar w:fldCharType="separate"/>
        </w:r>
        <w:r w:rsidR="006065E2">
          <w:rPr>
            <w:webHidden/>
          </w:rPr>
          <w:t>15</w:t>
        </w:r>
        <w:r w:rsidR="006065E2">
          <w:rPr>
            <w:webHidden/>
          </w:rPr>
          <w:fldChar w:fldCharType="end"/>
        </w:r>
      </w:hyperlink>
    </w:p>
    <w:p w14:paraId="20BC3E7A"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61" w:history="1">
        <w:r w:rsidR="006065E2" w:rsidRPr="002969A1">
          <w:rPr>
            <w:rStyle w:val="Hyperlink"/>
            <w:lang w:val="en-GB"/>
          </w:rPr>
          <w:t>4</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lang w:val="en-GB"/>
          </w:rPr>
          <w:t>Residues assessment</w:t>
        </w:r>
        <w:r w:rsidR="006065E2">
          <w:rPr>
            <w:webHidden/>
          </w:rPr>
          <w:tab/>
        </w:r>
        <w:r w:rsidR="006065E2">
          <w:rPr>
            <w:webHidden/>
          </w:rPr>
          <w:fldChar w:fldCharType="begin"/>
        </w:r>
        <w:r w:rsidR="006065E2">
          <w:rPr>
            <w:webHidden/>
          </w:rPr>
          <w:instrText xml:space="preserve"> PAGEREF _Toc507406661 \h </w:instrText>
        </w:r>
        <w:r w:rsidR="006065E2">
          <w:rPr>
            <w:webHidden/>
          </w:rPr>
        </w:r>
        <w:r w:rsidR="006065E2">
          <w:rPr>
            <w:webHidden/>
          </w:rPr>
          <w:fldChar w:fldCharType="separate"/>
        </w:r>
        <w:r w:rsidR="006065E2">
          <w:rPr>
            <w:webHidden/>
          </w:rPr>
          <w:t>16</w:t>
        </w:r>
        <w:r w:rsidR="006065E2">
          <w:rPr>
            <w:webHidden/>
          </w:rPr>
          <w:fldChar w:fldCharType="end"/>
        </w:r>
      </w:hyperlink>
    </w:p>
    <w:p w14:paraId="70B58624"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2" w:history="1">
        <w:r w:rsidR="006065E2" w:rsidRPr="002969A1">
          <w:rPr>
            <w:rStyle w:val="Hyperlink"/>
            <w:lang w:val="en-GB"/>
          </w:rPr>
          <w:t>4.1</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Introduction</w:t>
        </w:r>
        <w:r w:rsidR="006065E2">
          <w:rPr>
            <w:webHidden/>
          </w:rPr>
          <w:tab/>
        </w:r>
        <w:r w:rsidR="006065E2">
          <w:rPr>
            <w:webHidden/>
          </w:rPr>
          <w:fldChar w:fldCharType="begin"/>
        </w:r>
        <w:r w:rsidR="006065E2">
          <w:rPr>
            <w:webHidden/>
          </w:rPr>
          <w:instrText xml:space="preserve"> PAGEREF _Toc507406662 \h </w:instrText>
        </w:r>
        <w:r w:rsidR="006065E2">
          <w:rPr>
            <w:webHidden/>
          </w:rPr>
        </w:r>
        <w:r w:rsidR="006065E2">
          <w:rPr>
            <w:webHidden/>
          </w:rPr>
          <w:fldChar w:fldCharType="separate"/>
        </w:r>
        <w:r w:rsidR="006065E2">
          <w:rPr>
            <w:webHidden/>
          </w:rPr>
          <w:t>16</w:t>
        </w:r>
        <w:r w:rsidR="006065E2">
          <w:rPr>
            <w:webHidden/>
          </w:rPr>
          <w:fldChar w:fldCharType="end"/>
        </w:r>
      </w:hyperlink>
    </w:p>
    <w:p w14:paraId="7EE7F947"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3" w:history="1">
        <w:r w:rsidR="006065E2" w:rsidRPr="002969A1">
          <w:rPr>
            <w:rStyle w:val="Hyperlink"/>
            <w:lang w:val="en-GB"/>
          </w:rPr>
          <w:t>4.2</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Metabolism</w:t>
        </w:r>
        <w:r w:rsidR="006065E2">
          <w:rPr>
            <w:webHidden/>
          </w:rPr>
          <w:tab/>
        </w:r>
        <w:r w:rsidR="006065E2">
          <w:rPr>
            <w:webHidden/>
          </w:rPr>
          <w:fldChar w:fldCharType="begin"/>
        </w:r>
        <w:r w:rsidR="006065E2">
          <w:rPr>
            <w:webHidden/>
          </w:rPr>
          <w:instrText xml:space="preserve"> PAGEREF _Toc507406663 \h </w:instrText>
        </w:r>
        <w:r w:rsidR="006065E2">
          <w:rPr>
            <w:webHidden/>
          </w:rPr>
        </w:r>
        <w:r w:rsidR="006065E2">
          <w:rPr>
            <w:webHidden/>
          </w:rPr>
          <w:fldChar w:fldCharType="separate"/>
        </w:r>
        <w:r w:rsidR="006065E2">
          <w:rPr>
            <w:webHidden/>
          </w:rPr>
          <w:t>16</w:t>
        </w:r>
        <w:r w:rsidR="006065E2">
          <w:rPr>
            <w:webHidden/>
          </w:rPr>
          <w:fldChar w:fldCharType="end"/>
        </w:r>
      </w:hyperlink>
    </w:p>
    <w:p w14:paraId="24530FB5"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4" w:history="1">
        <w:r w:rsidR="006065E2" w:rsidRPr="002969A1">
          <w:rPr>
            <w:rStyle w:val="Hyperlink"/>
            <w:lang w:val="en-GB"/>
          </w:rPr>
          <w:t>4.3</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Analytical methods</w:t>
        </w:r>
        <w:r w:rsidR="006065E2">
          <w:rPr>
            <w:webHidden/>
          </w:rPr>
          <w:tab/>
        </w:r>
        <w:r w:rsidR="006065E2">
          <w:rPr>
            <w:webHidden/>
          </w:rPr>
          <w:fldChar w:fldCharType="begin"/>
        </w:r>
        <w:r w:rsidR="006065E2">
          <w:rPr>
            <w:webHidden/>
          </w:rPr>
          <w:instrText xml:space="preserve"> PAGEREF _Toc507406664 \h </w:instrText>
        </w:r>
        <w:r w:rsidR="006065E2">
          <w:rPr>
            <w:webHidden/>
          </w:rPr>
        </w:r>
        <w:r w:rsidR="006065E2">
          <w:rPr>
            <w:webHidden/>
          </w:rPr>
          <w:fldChar w:fldCharType="separate"/>
        </w:r>
        <w:r w:rsidR="006065E2">
          <w:rPr>
            <w:webHidden/>
          </w:rPr>
          <w:t>23</w:t>
        </w:r>
        <w:r w:rsidR="006065E2">
          <w:rPr>
            <w:webHidden/>
          </w:rPr>
          <w:fldChar w:fldCharType="end"/>
        </w:r>
      </w:hyperlink>
    </w:p>
    <w:p w14:paraId="218E506C"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5" w:history="1">
        <w:r w:rsidR="006065E2" w:rsidRPr="002969A1">
          <w:rPr>
            <w:rStyle w:val="Hyperlink"/>
            <w:lang w:val="en-GB"/>
          </w:rPr>
          <w:t>4.4</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Stability of residues in stored analytical samples</w:t>
        </w:r>
        <w:r w:rsidR="006065E2">
          <w:rPr>
            <w:webHidden/>
          </w:rPr>
          <w:tab/>
        </w:r>
        <w:r w:rsidR="006065E2">
          <w:rPr>
            <w:webHidden/>
          </w:rPr>
          <w:fldChar w:fldCharType="begin"/>
        </w:r>
        <w:r w:rsidR="006065E2">
          <w:rPr>
            <w:webHidden/>
          </w:rPr>
          <w:instrText xml:space="preserve"> PAGEREF _Toc507406665 \h </w:instrText>
        </w:r>
        <w:r w:rsidR="006065E2">
          <w:rPr>
            <w:webHidden/>
          </w:rPr>
        </w:r>
        <w:r w:rsidR="006065E2">
          <w:rPr>
            <w:webHidden/>
          </w:rPr>
          <w:fldChar w:fldCharType="separate"/>
        </w:r>
        <w:r w:rsidR="006065E2">
          <w:rPr>
            <w:webHidden/>
          </w:rPr>
          <w:t>24</w:t>
        </w:r>
        <w:r w:rsidR="006065E2">
          <w:rPr>
            <w:webHidden/>
          </w:rPr>
          <w:fldChar w:fldCharType="end"/>
        </w:r>
      </w:hyperlink>
    </w:p>
    <w:p w14:paraId="6BB00584"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6" w:history="1">
        <w:r w:rsidR="006065E2" w:rsidRPr="002969A1">
          <w:rPr>
            <w:rStyle w:val="Hyperlink"/>
            <w:lang w:val="en-GB"/>
          </w:rPr>
          <w:t>4.5</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Residue definition</w:t>
        </w:r>
        <w:r w:rsidR="006065E2">
          <w:rPr>
            <w:webHidden/>
          </w:rPr>
          <w:tab/>
        </w:r>
        <w:r w:rsidR="006065E2">
          <w:rPr>
            <w:webHidden/>
          </w:rPr>
          <w:fldChar w:fldCharType="begin"/>
        </w:r>
        <w:r w:rsidR="006065E2">
          <w:rPr>
            <w:webHidden/>
          </w:rPr>
          <w:instrText xml:space="preserve"> PAGEREF _Toc507406666 \h </w:instrText>
        </w:r>
        <w:r w:rsidR="006065E2">
          <w:rPr>
            <w:webHidden/>
          </w:rPr>
        </w:r>
        <w:r w:rsidR="006065E2">
          <w:rPr>
            <w:webHidden/>
          </w:rPr>
          <w:fldChar w:fldCharType="separate"/>
        </w:r>
        <w:r w:rsidR="006065E2">
          <w:rPr>
            <w:webHidden/>
          </w:rPr>
          <w:t>25</w:t>
        </w:r>
        <w:r w:rsidR="006065E2">
          <w:rPr>
            <w:webHidden/>
          </w:rPr>
          <w:fldChar w:fldCharType="end"/>
        </w:r>
      </w:hyperlink>
    </w:p>
    <w:p w14:paraId="5AD08154"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7" w:history="1">
        <w:r w:rsidR="006065E2" w:rsidRPr="002969A1">
          <w:rPr>
            <w:rStyle w:val="Hyperlink"/>
            <w:lang w:val="en-GB"/>
          </w:rPr>
          <w:t>4.6</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Residue trials</w:t>
        </w:r>
        <w:r w:rsidR="006065E2">
          <w:rPr>
            <w:webHidden/>
          </w:rPr>
          <w:tab/>
        </w:r>
        <w:r w:rsidR="006065E2">
          <w:rPr>
            <w:webHidden/>
          </w:rPr>
          <w:fldChar w:fldCharType="begin"/>
        </w:r>
        <w:r w:rsidR="006065E2">
          <w:rPr>
            <w:webHidden/>
          </w:rPr>
          <w:instrText xml:space="preserve"> PAGEREF _Toc507406667 \h </w:instrText>
        </w:r>
        <w:r w:rsidR="006065E2">
          <w:rPr>
            <w:webHidden/>
          </w:rPr>
        </w:r>
        <w:r w:rsidR="006065E2">
          <w:rPr>
            <w:webHidden/>
          </w:rPr>
          <w:fldChar w:fldCharType="separate"/>
        </w:r>
        <w:r w:rsidR="006065E2">
          <w:rPr>
            <w:webHidden/>
          </w:rPr>
          <w:t>26</w:t>
        </w:r>
        <w:r w:rsidR="006065E2">
          <w:rPr>
            <w:webHidden/>
          </w:rPr>
          <w:fldChar w:fldCharType="end"/>
        </w:r>
      </w:hyperlink>
    </w:p>
    <w:p w14:paraId="0BFE4E68"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8" w:history="1">
        <w:r w:rsidR="006065E2" w:rsidRPr="002969A1">
          <w:rPr>
            <w:rStyle w:val="Hyperlink"/>
            <w:lang w:val="en-GB"/>
          </w:rPr>
          <w:t>4.7</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Animal commodity MRLs</w:t>
        </w:r>
        <w:r w:rsidR="006065E2">
          <w:rPr>
            <w:webHidden/>
          </w:rPr>
          <w:tab/>
        </w:r>
        <w:r w:rsidR="006065E2">
          <w:rPr>
            <w:webHidden/>
          </w:rPr>
          <w:fldChar w:fldCharType="begin"/>
        </w:r>
        <w:r w:rsidR="006065E2">
          <w:rPr>
            <w:webHidden/>
          </w:rPr>
          <w:instrText xml:space="preserve"> PAGEREF _Toc507406668 \h </w:instrText>
        </w:r>
        <w:r w:rsidR="006065E2">
          <w:rPr>
            <w:webHidden/>
          </w:rPr>
        </w:r>
        <w:r w:rsidR="006065E2">
          <w:rPr>
            <w:webHidden/>
          </w:rPr>
          <w:fldChar w:fldCharType="separate"/>
        </w:r>
        <w:r w:rsidR="006065E2">
          <w:rPr>
            <w:webHidden/>
          </w:rPr>
          <w:t>29</w:t>
        </w:r>
        <w:r w:rsidR="006065E2">
          <w:rPr>
            <w:webHidden/>
          </w:rPr>
          <w:fldChar w:fldCharType="end"/>
        </w:r>
      </w:hyperlink>
    </w:p>
    <w:p w14:paraId="3612ABEC"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69" w:history="1">
        <w:r w:rsidR="006065E2" w:rsidRPr="002969A1">
          <w:rPr>
            <w:rStyle w:val="Hyperlink"/>
            <w:lang w:val="en-GB"/>
          </w:rPr>
          <w:t>4.8</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Estimated dietary intake</w:t>
        </w:r>
        <w:r w:rsidR="006065E2">
          <w:rPr>
            <w:webHidden/>
          </w:rPr>
          <w:tab/>
        </w:r>
        <w:r w:rsidR="006065E2">
          <w:rPr>
            <w:webHidden/>
          </w:rPr>
          <w:fldChar w:fldCharType="begin"/>
        </w:r>
        <w:r w:rsidR="006065E2">
          <w:rPr>
            <w:webHidden/>
          </w:rPr>
          <w:instrText xml:space="preserve"> PAGEREF _Toc507406669 \h </w:instrText>
        </w:r>
        <w:r w:rsidR="006065E2">
          <w:rPr>
            <w:webHidden/>
          </w:rPr>
        </w:r>
        <w:r w:rsidR="006065E2">
          <w:rPr>
            <w:webHidden/>
          </w:rPr>
          <w:fldChar w:fldCharType="separate"/>
        </w:r>
        <w:r w:rsidR="006065E2">
          <w:rPr>
            <w:webHidden/>
          </w:rPr>
          <w:t>30</w:t>
        </w:r>
        <w:r w:rsidR="006065E2">
          <w:rPr>
            <w:webHidden/>
          </w:rPr>
          <w:fldChar w:fldCharType="end"/>
        </w:r>
      </w:hyperlink>
    </w:p>
    <w:p w14:paraId="055A42CC"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0" w:history="1">
        <w:r w:rsidR="006065E2" w:rsidRPr="002969A1">
          <w:rPr>
            <w:rStyle w:val="Hyperlink"/>
          </w:rPr>
          <w:t>4.9</w:t>
        </w:r>
        <w:r w:rsidR="006065E2">
          <w:rPr>
            <w:rFonts w:asciiTheme="minorHAnsi" w:eastAsiaTheme="minorEastAsia" w:hAnsiTheme="minorHAnsi" w:cstheme="minorBidi"/>
            <w:b w:val="0"/>
            <w:color w:val="auto"/>
            <w:sz w:val="22"/>
            <w:szCs w:val="22"/>
            <w:lang w:eastAsia="en-AU"/>
          </w:rPr>
          <w:tab/>
        </w:r>
        <w:r w:rsidR="006065E2" w:rsidRPr="002969A1">
          <w:rPr>
            <w:rStyle w:val="Hyperlink"/>
          </w:rPr>
          <w:t>Bioaccumulation potential</w:t>
        </w:r>
        <w:r w:rsidR="006065E2">
          <w:rPr>
            <w:webHidden/>
          </w:rPr>
          <w:tab/>
        </w:r>
        <w:r w:rsidR="006065E2">
          <w:rPr>
            <w:webHidden/>
          </w:rPr>
          <w:fldChar w:fldCharType="begin"/>
        </w:r>
        <w:r w:rsidR="006065E2">
          <w:rPr>
            <w:webHidden/>
          </w:rPr>
          <w:instrText xml:space="preserve"> PAGEREF _Toc507406670 \h </w:instrText>
        </w:r>
        <w:r w:rsidR="006065E2">
          <w:rPr>
            <w:webHidden/>
          </w:rPr>
        </w:r>
        <w:r w:rsidR="006065E2">
          <w:rPr>
            <w:webHidden/>
          </w:rPr>
          <w:fldChar w:fldCharType="separate"/>
        </w:r>
        <w:r w:rsidR="006065E2">
          <w:rPr>
            <w:webHidden/>
          </w:rPr>
          <w:t>30</w:t>
        </w:r>
        <w:r w:rsidR="006065E2">
          <w:rPr>
            <w:webHidden/>
          </w:rPr>
          <w:fldChar w:fldCharType="end"/>
        </w:r>
      </w:hyperlink>
    </w:p>
    <w:p w14:paraId="72C13937"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1" w:history="1">
        <w:r w:rsidR="006065E2" w:rsidRPr="002969A1">
          <w:rPr>
            <w:rStyle w:val="Hyperlink"/>
          </w:rPr>
          <w:t>4.10</w:t>
        </w:r>
        <w:r w:rsidR="006065E2">
          <w:rPr>
            <w:rFonts w:asciiTheme="minorHAnsi" w:eastAsiaTheme="minorEastAsia" w:hAnsiTheme="minorHAnsi" w:cstheme="minorBidi"/>
            <w:b w:val="0"/>
            <w:color w:val="auto"/>
            <w:sz w:val="22"/>
            <w:szCs w:val="22"/>
            <w:lang w:eastAsia="en-AU"/>
          </w:rPr>
          <w:tab/>
        </w:r>
        <w:r w:rsidR="006065E2" w:rsidRPr="002969A1">
          <w:rPr>
            <w:rStyle w:val="Hyperlink"/>
          </w:rPr>
          <w:t>Spray drift</w:t>
        </w:r>
        <w:r w:rsidR="006065E2">
          <w:rPr>
            <w:webHidden/>
          </w:rPr>
          <w:tab/>
        </w:r>
        <w:r w:rsidR="006065E2">
          <w:rPr>
            <w:webHidden/>
          </w:rPr>
          <w:fldChar w:fldCharType="begin"/>
        </w:r>
        <w:r w:rsidR="006065E2">
          <w:rPr>
            <w:webHidden/>
          </w:rPr>
          <w:instrText xml:space="preserve"> PAGEREF _Toc507406671 \h </w:instrText>
        </w:r>
        <w:r w:rsidR="006065E2">
          <w:rPr>
            <w:webHidden/>
          </w:rPr>
        </w:r>
        <w:r w:rsidR="006065E2">
          <w:rPr>
            <w:webHidden/>
          </w:rPr>
          <w:fldChar w:fldCharType="separate"/>
        </w:r>
        <w:r w:rsidR="006065E2">
          <w:rPr>
            <w:webHidden/>
          </w:rPr>
          <w:t>31</w:t>
        </w:r>
        <w:r w:rsidR="006065E2">
          <w:rPr>
            <w:webHidden/>
          </w:rPr>
          <w:fldChar w:fldCharType="end"/>
        </w:r>
      </w:hyperlink>
    </w:p>
    <w:p w14:paraId="79BCDA27"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2" w:history="1">
        <w:r w:rsidR="006065E2" w:rsidRPr="002969A1">
          <w:rPr>
            <w:rStyle w:val="Hyperlink"/>
            <w:lang w:val="en-GB"/>
          </w:rPr>
          <w:t>4.11</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Recommendations</w:t>
        </w:r>
        <w:r w:rsidR="006065E2">
          <w:rPr>
            <w:webHidden/>
          </w:rPr>
          <w:tab/>
        </w:r>
        <w:r w:rsidR="006065E2">
          <w:rPr>
            <w:webHidden/>
          </w:rPr>
          <w:fldChar w:fldCharType="begin"/>
        </w:r>
        <w:r w:rsidR="006065E2">
          <w:rPr>
            <w:webHidden/>
          </w:rPr>
          <w:instrText xml:space="preserve"> PAGEREF _Toc507406672 \h </w:instrText>
        </w:r>
        <w:r w:rsidR="006065E2">
          <w:rPr>
            <w:webHidden/>
          </w:rPr>
        </w:r>
        <w:r w:rsidR="006065E2">
          <w:rPr>
            <w:webHidden/>
          </w:rPr>
          <w:fldChar w:fldCharType="separate"/>
        </w:r>
        <w:r w:rsidR="006065E2">
          <w:rPr>
            <w:webHidden/>
          </w:rPr>
          <w:t>32</w:t>
        </w:r>
        <w:r w:rsidR="006065E2">
          <w:rPr>
            <w:webHidden/>
          </w:rPr>
          <w:fldChar w:fldCharType="end"/>
        </w:r>
      </w:hyperlink>
    </w:p>
    <w:p w14:paraId="5D0A0F04"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73" w:history="1">
        <w:r w:rsidR="006065E2" w:rsidRPr="002969A1">
          <w:rPr>
            <w:rStyle w:val="Hyperlink"/>
          </w:rPr>
          <w:t>5</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rPr>
          <w:t>Assessment of overseas trade aspects of residues in food</w:t>
        </w:r>
        <w:r w:rsidR="006065E2">
          <w:rPr>
            <w:webHidden/>
          </w:rPr>
          <w:tab/>
        </w:r>
        <w:r w:rsidR="006065E2">
          <w:rPr>
            <w:webHidden/>
          </w:rPr>
          <w:fldChar w:fldCharType="begin"/>
        </w:r>
        <w:r w:rsidR="006065E2">
          <w:rPr>
            <w:webHidden/>
          </w:rPr>
          <w:instrText xml:space="preserve"> PAGEREF _Toc507406673 \h </w:instrText>
        </w:r>
        <w:r w:rsidR="006065E2">
          <w:rPr>
            <w:webHidden/>
          </w:rPr>
        </w:r>
        <w:r w:rsidR="006065E2">
          <w:rPr>
            <w:webHidden/>
          </w:rPr>
          <w:fldChar w:fldCharType="separate"/>
        </w:r>
        <w:r w:rsidR="006065E2">
          <w:rPr>
            <w:webHidden/>
          </w:rPr>
          <w:t>34</w:t>
        </w:r>
        <w:r w:rsidR="006065E2">
          <w:rPr>
            <w:webHidden/>
          </w:rPr>
          <w:fldChar w:fldCharType="end"/>
        </w:r>
      </w:hyperlink>
    </w:p>
    <w:p w14:paraId="65EEE83D"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4" w:history="1">
        <w:r w:rsidR="006065E2" w:rsidRPr="002969A1">
          <w:rPr>
            <w:rStyle w:val="Hyperlink"/>
          </w:rPr>
          <w:t>5.1</w:t>
        </w:r>
        <w:r w:rsidR="006065E2">
          <w:rPr>
            <w:rFonts w:asciiTheme="minorHAnsi" w:eastAsiaTheme="minorEastAsia" w:hAnsiTheme="minorHAnsi" w:cstheme="minorBidi"/>
            <w:b w:val="0"/>
            <w:color w:val="auto"/>
            <w:sz w:val="22"/>
            <w:szCs w:val="22"/>
            <w:lang w:eastAsia="en-AU"/>
          </w:rPr>
          <w:tab/>
        </w:r>
        <w:r w:rsidR="006065E2" w:rsidRPr="002969A1">
          <w:rPr>
            <w:rStyle w:val="Hyperlink"/>
          </w:rPr>
          <w:t>Commodities exported</w:t>
        </w:r>
        <w:r w:rsidR="006065E2">
          <w:rPr>
            <w:webHidden/>
          </w:rPr>
          <w:tab/>
        </w:r>
        <w:r w:rsidR="006065E2">
          <w:rPr>
            <w:webHidden/>
          </w:rPr>
          <w:fldChar w:fldCharType="begin"/>
        </w:r>
        <w:r w:rsidR="006065E2">
          <w:rPr>
            <w:webHidden/>
          </w:rPr>
          <w:instrText xml:space="preserve"> PAGEREF _Toc507406674 \h </w:instrText>
        </w:r>
        <w:r w:rsidR="006065E2">
          <w:rPr>
            <w:webHidden/>
          </w:rPr>
        </w:r>
        <w:r w:rsidR="006065E2">
          <w:rPr>
            <w:webHidden/>
          </w:rPr>
          <w:fldChar w:fldCharType="separate"/>
        </w:r>
        <w:r w:rsidR="006065E2">
          <w:rPr>
            <w:webHidden/>
          </w:rPr>
          <w:t>34</w:t>
        </w:r>
        <w:r w:rsidR="006065E2">
          <w:rPr>
            <w:webHidden/>
          </w:rPr>
          <w:fldChar w:fldCharType="end"/>
        </w:r>
      </w:hyperlink>
    </w:p>
    <w:p w14:paraId="1950598F"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5" w:history="1">
        <w:r w:rsidR="006065E2" w:rsidRPr="002969A1">
          <w:rPr>
            <w:rStyle w:val="Hyperlink"/>
          </w:rPr>
          <w:t>5.2</w:t>
        </w:r>
        <w:r w:rsidR="006065E2">
          <w:rPr>
            <w:rFonts w:asciiTheme="minorHAnsi" w:eastAsiaTheme="minorEastAsia" w:hAnsiTheme="minorHAnsi" w:cstheme="minorBidi"/>
            <w:b w:val="0"/>
            <w:color w:val="auto"/>
            <w:sz w:val="22"/>
            <w:szCs w:val="22"/>
            <w:lang w:eastAsia="en-AU"/>
          </w:rPr>
          <w:tab/>
        </w:r>
        <w:r w:rsidR="006065E2" w:rsidRPr="002969A1">
          <w:rPr>
            <w:rStyle w:val="Hyperlink"/>
          </w:rPr>
          <w:t>Destination and value of exports</w:t>
        </w:r>
        <w:r w:rsidR="006065E2">
          <w:rPr>
            <w:webHidden/>
          </w:rPr>
          <w:tab/>
        </w:r>
        <w:r w:rsidR="006065E2">
          <w:rPr>
            <w:webHidden/>
          </w:rPr>
          <w:fldChar w:fldCharType="begin"/>
        </w:r>
        <w:r w:rsidR="006065E2">
          <w:rPr>
            <w:webHidden/>
          </w:rPr>
          <w:instrText xml:space="preserve"> PAGEREF _Toc507406675 \h </w:instrText>
        </w:r>
        <w:r w:rsidR="006065E2">
          <w:rPr>
            <w:webHidden/>
          </w:rPr>
        </w:r>
        <w:r w:rsidR="006065E2">
          <w:rPr>
            <w:webHidden/>
          </w:rPr>
          <w:fldChar w:fldCharType="separate"/>
        </w:r>
        <w:r w:rsidR="006065E2">
          <w:rPr>
            <w:webHidden/>
          </w:rPr>
          <w:t>34</w:t>
        </w:r>
        <w:r w:rsidR="006065E2">
          <w:rPr>
            <w:webHidden/>
          </w:rPr>
          <w:fldChar w:fldCharType="end"/>
        </w:r>
      </w:hyperlink>
    </w:p>
    <w:p w14:paraId="3A887DEB"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6" w:history="1">
        <w:r w:rsidR="006065E2" w:rsidRPr="002969A1">
          <w:rPr>
            <w:rStyle w:val="Hyperlink"/>
          </w:rPr>
          <w:t>5.3</w:t>
        </w:r>
        <w:r w:rsidR="006065E2">
          <w:rPr>
            <w:rFonts w:asciiTheme="minorHAnsi" w:eastAsiaTheme="minorEastAsia" w:hAnsiTheme="minorHAnsi" w:cstheme="minorBidi"/>
            <w:b w:val="0"/>
            <w:color w:val="auto"/>
            <w:sz w:val="22"/>
            <w:szCs w:val="22"/>
            <w:lang w:eastAsia="en-AU"/>
          </w:rPr>
          <w:tab/>
        </w:r>
        <w:r w:rsidR="006065E2" w:rsidRPr="002969A1">
          <w:rPr>
            <w:rStyle w:val="Hyperlink"/>
          </w:rPr>
          <w:t>Overseas registrations</w:t>
        </w:r>
        <w:r w:rsidR="006065E2">
          <w:rPr>
            <w:webHidden/>
          </w:rPr>
          <w:tab/>
        </w:r>
        <w:r w:rsidR="006065E2">
          <w:rPr>
            <w:webHidden/>
          </w:rPr>
          <w:fldChar w:fldCharType="begin"/>
        </w:r>
        <w:r w:rsidR="006065E2">
          <w:rPr>
            <w:webHidden/>
          </w:rPr>
          <w:instrText xml:space="preserve"> PAGEREF _Toc507406676 \h </w:instrText>
        </w:r>
        <w:r w:rsidR="006065E2">
          <w:rPr>
            <w:webHidden/>
          </w:rPr>
        </w:r>
        <w:r w:rsidR="006065E2">
          <w:rPr>
            <w:webHidden/>
          </w:rPr>
          <w:fldChar w:fldCharType="separate"/>
        </w:r>
        <w:r w:rsidR="006065E2">
          <w:rPr>
            <w:webHidden/>
          </w:rPr>
          <w:t>35</w:t>
        </w:r>
        <w:r w:rsidR="006065E2">
          <w:rPr>
            <w:webHidden/>
          </w:rPr>
          <w:fldChar w:fldCharType="end"/>
        </w:r>
      </w:hyperlink>
    </w:p>
    <w:p w14:paraId="21537857"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7" w:history="1">
        <w:r w:rsidR="006065E2" w:rsidRPr="002969A1">
          <w:rPr>
            <w:rStyle w:val="Hyperlink"/>
          </w:rPr>
          <w:t>5.4</w:t>
        </w:r>
        <w:r w:rsidR="006065E2">
          <w:rPr>
            <w:rFonts w:asciiTheme="minorHAnsi" w:eastAsiaTheme="minorEastAsia" w:hAnsiTheme="minorHAnsi" w:cstheme="minorBidi"/>
            <w:b w:val="0"/>
            <w:color w:val="auto"/>
            <w:sz w:val="22"/>
            <w:szCs w:val="22"/>
            <w:lang w:eastAsia="en-AU"/>
          </w:rPr>
          <w:tab/>
        </w:r>
        <w:r w:rsidR="006065E2" w:rsidRPr="002969A1">
          <w:rPr>
            <w:rStyle w:val="Hyperlink"/>
          </w:rPr>
          <w:t>Comparison of Australian MRLs with Codex and overseas MRLs</w:t>
        </w:r>
        <w:r w:rsidR="006065E2">
          <w:rPr>
            <w:webHidden/>
          </w:rPr>
          <w:tab/>
        </w:r>
        <w:r w:rsidR="006065E2">
          <w:rPr>
            <w:webHidden/>
          </w:rPr>
          <w:fldChar w:fldCharType="begin"/>
        </w:r>
        <w:r w:rsidR="006065E2">
          <w:rPr>
            <w:webHidden/>
          </w:rPr>
          <w:instrText xml:space="preserve"> PAGEREF _Toc507406677 \h </w:instrText>
        </w:r>
        <w:r w:rsidR="006065E2">
          <w:rPr>
            <w:webHidden/>
          </w:rPr>
        </w:r>
        <w:r w:rsidR="006065E2">
          <w:rPr>
            <w:webHidden/>
          </w:rPr>
          <w:fldChar w:fldCharType="separate"/>
        </w:r>
        <w:r w:rsidR="006065E2">
          <w:rPr>
            <w:webHidden/>
          </w:rPr>
          <w:t>35</w:t>
        </w:r>
        <w:r w:rsidR="006065E2">
          <w:rPr>
            <w:webHidden/>
          </w:rPr>
          <w:fldChar w:fldCharType="end"/>
        </w:r>
      </w:hyperlink>
    </w:p>
    <w:p w14:paraId="1A3C5E86"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78" w:history="1">
        <w:r w:rsidR="006065E2" w:rsidRPr="002969A1">
          <w:rPr>
            <w:rStyle w:val="Hyperlink"/>
          </w:rPr>
          <w:t>5.5</w:t>
        </w:r>
        <w:r w:rsidR="006065E2">
          <w:rPr>
            <w:rFonts w:asciiTheme="minorHAnsi" w:eastAsiaTheme="minorEastAsia" w:hAnsiTheme="minorHAnsi" w:cstheme="minorBidi"/>
            <w:b w:val="0"/>
            <w:color w:val="auto"/>
            <w:sz w:val="22"/>
            <w:szCs w:val="22"/>
            <w:lang w:eastAsia="en-AU"/>
          </w:rPr>
          <w:tab/>
        </w:r>
        <w:r w:rsidR="006065E2" w:rsidRPr="002969A1">
          <w:rPr>
            <w:rStyle w:val="Hyperlink"/>
          </w:rPr>
          <w:t>Potential risk to trade</w:t>
        </w:r>
        <w:r w:rsidR="006065E2">
          <w:rPr>
            <w:webHidden/>
          </w:rPr>
          <w:tab/>
        </w:r>
        <w:r w:rsidR="006065E2">
          <w:rPr>
            <w:webHidden/>
          </w:rPr>
          <w:fldChar w:fldCharType="begin"/>
        </w:r>
        <w:r w:rsidR="006065E2">
          <w:rPr>
            <w:webHidden/>
          </w:rPr>
          <w:instrText xml:space="preserve"> PAGEREF _Toc507406678 \h </w:instrText>
        </w:r>
        <w:r w:rsidR="006065E2">
          <w:rPr>
            <w:webHidden/>
          </w:rPr>
        </w:r>
        <w:r w:rsidR="006065E2">
          <w:rPr>
            <w:webHidden/>
          </w:rPr>
          <w:fldChar w:fldCharType="separate"/>
        </w:r>
        <w:r w:rsidR="006065E2">
          <w:rPr>
            <w:webHidden/>
          </w:rPr>
          <w:t>35</w:t>
        </w:r>
        <w:r w:rsidR="006065E2">
          <w:rPr>
            <w:webHidden/>
          </w:rPr>
          <w:fldChar w:fldCharType="end"/>
        </w:r>
      </w:hyperlink>
    </w:p>
    <w:p w14:paraId="19030802"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79" w:history="1">
        <w:r w:rsidR="006065E2" w:rsidRPr="002969A1">
          <w:rPr>
            <w:rStyle w:val="Hyperlink"/>
          </w:rPr>
          <w:t>6</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rPr>
          <w:t>Occupational Health and Safety assessment</w:t>
        </w:r>
        <w:r w:rsidR="006065E2">
          <w:rPr>
            <w:webHidden/>
          </w:rPr>
          <w:tab/>
        </w:r>
        <w:r w:rsidR="006065E2">
          <w:rPr>
            <w:webHidden/>
          </w:rPr>
          <w:fldChar w:fldCharType="begin"/>
        </w:r>
        <w:r w:rsidR="006065E2">
          <w:rPr>
            <w:webHidden/>
          </w:rPr>
          <w:instrText xml:space="preserve"> PAGEREF _Toc507406679 \h </w:instrText>
        </w:r>
        <w:r w:rsidR="006065E2">
          <w:rPr>
            <w:webHidden/>
          </w:rPr>
        </w:r>
        <w:r w:rsidR="006065E2">
          <w:rPr>
            <w:webHidden/>
          </w:rPr>
          <w:fldChar w:fldCharType="separate"/>
        </w:r>
        <w:r w:rsidR="006065E2">
          <w:rPr>
            <w:webHidden/>
          </w:rPr>
          <w:t>37</w:t>
        </w:r>
        <w:r w:rsidR="006065E2">
          <w:rPr>
            <w:webHidden/>
          </w:rPr>
          <w:fldChar w:fldCharType="end"/>
        </w:r>
      </w:hyperlink>
    </w:p>
    <w:p w14:paraId="2456F996"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0" w:history="1">
        <w:r w:rsidR="006065E2" w:rsidRPr="002969A1">
          <w:rPr>
            <w:rStyle w:val="Hyperlink"/>
          </w:rPr>
          <w:t>6.1</w:t>
        </w:r>
        <w:r w:rsidR="006065E2">
          <w:rPr>
            <w:rFonts w:asciiTheme="minorHAnsi" w:eastAsiaTheme="minorEastAsia" w:hAnsiTheme="minorHAnsi" w:cstheme="minorBidi"/>
            <w:b w:val="0"/>
            <w:color w:val="auto"/>
            <w:sz w:val="22"/>
            <w:szCs w:val="22"/>
            <w:lang w:eastAsia="en-AU"/>
          </w:rPr>
          <w:tab/>
        </w:r>
        <w:r w:rsidR="006065E2" w:rsidRPr="002969A1">
          <w:rPr>
            <w:rStyle w:val="Hyperlink"/>
          </w:rPr>
          <w:t>Use pattern</w:t>
        </w:r>
        <w:r w:rsidR="006065E2">
          <w:rPr>
            <w:webHidden/>
          </w:rPr>
          <w:tab/>
        </w:r>
        <w:r w:rsidR="006065E2">
          <w:rPr>
            <w:webHidden/>
          </w:rPr>
          <w:fldChar w:fldCharType="begin"/>
        </w:r>
        <w:r w:rsidR="006065E2">
          <w:rPr>
            <w:webHidden/>
          </w:rPr>
          <w:instrText xml:space="preserve"> PAGEREF _Toc507406680 \h </w:instrText>
        </w:r>
        <w:r w:rsidR="006065E2">
          <w:rPr>
            <w:webHidden/>
          </w:rPr>
        </w:r>
        <w:r w:rsidR="006065E2">
          <w:rPr>
            <w:webHidden/>
          </w:rPr>
          <w:fldChar w:fldCharType="separate"/>
        </w:r>
        <w:r w:rsidR="006065E2">
          <w:rPr>
            <w:webHidden/>
          </w:rPr>
          <w:t>37</w:t>
        </w:r>
        <w:r w:rsidR="006065E2">
          <w:rPr>
            <w:webHidden/>
          </w:rPr>
          <w:fldChar w:fldCharType="end"/>
        </w:r>
      </w:hyperlink>
    </w:p>
    <w:p w14:paraId="37B1C68F"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1" w:history="1">
        <w:r w:rsidR="006065E2" w:rsidRPr="002969A1">
          <w:rPr>
            <w:rStyle w:val="Hyperlink"/>
          </w:rPr>
          <w:t>6.2</w:t>
        </w:r>
        <w:r w:rsidR="006065E2">
          <w:rPr>
            <w:rFonts w:asciiTheme="minorHAnsi" w:eastAsiaTheme="minorEastAsia" w:hAnsiTheme="minorHAnsi" w:cstheme="minorBidi"/>
            <w:b w:val="0"/>
            <w:color w:val="auto"/>
            <w:sz w:val="22"/>
            <w:szCs w:val="22"/>
            <w:lang w:eastAsia="en-AU"/>
          </w:rPr>
          <w:tab/>
        </w:r>
        <w:r w:rsidR="006065E2" w:rsidRPr="002969A1">
          <w:rPr>
            <w:rStyle w:val="Hyperlink"/>
          </w:rPr>
          <w:t>Exposure during use</w:t>
        </w:r>
        <w:r w:rsidR="006065E2">
          <w:rPr>
            <w:webHidden/>
          </w:rPr>
          <w:tab/>
        </w:r>
        <w:r w:rsidR="006065E2">
          <w:rPr>
            <w:webHidden/>
          </w:rPr>
          <w:fldChar w:fldCharType="begin"/>
        </w:r>
        <w:r w:rsidR="006065E2">
          <w:rPr>
            <w:webHidden/>
          </w:rPr>
          <w:instrText xml:space="preserve"> PAGEREF _Toc507406681 \h </w:instrText>
        </w:r>
        <w:r w:rsidR="006065E2">
          <w:rPr>
            <w:webHidden/>
          </w:rPr>
        </w:r>
        <w:r w:rsidR="006065E2">
          <w:rPr>
            <w:webHidden/>
          </w:rPr>
          <w:fldChar w:fldCharType="separate"/>
        </w:r>
        <w:r w:rsidR="006065E2">
          <w:rPr>
            <w:webHidden/>
          </w:rPr>
          <w:t>37</w:t>
        </w:r>
        <w:r w:rsidR="006065E2">
          <w:rPr>
            <w:webHidden/>
          </w:rPr>
          <w:fldChar w:fldCharType="end"/>
        </w:r>
      </w:hyperlink>
    </w:p>
    <w:p w14:paraId="3A1B3856"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2" w:history="1">
        <w:r w:rsidR="006065E2" w:rsidRPr="002969A1">
          <w:rPr>
            <w:rStyle w:val="Hyperlink"/>
          </w:rPr>
          <w:t>6.3</w:t>
        </w:r>
        <w:r w:rsidR="006065E2">
          <w:rPr>
            <w:rFonts w:asciiTheme="minorHAnsi" w:eastAsiaTheme="minorEastAsia" w:hAnsiTheme="minorHAnsi" w:cstheme="minorBidi"/>
            <w:b w:val="0"/>
            <w:color w:val="auto"/>
            <w:sz w:val="22"/>
            <w:szCs w:val="22"/>
            <w:lang w:eastAsia="en-AU"/>
          </w:rPr>
          <w:tab/>
        </w:r>
        <w:r w:rsidR="006065E2" w:rsidRPr="002969A1">
          <w:rPr>
            <w:rStyle w:val="Hyperlink"/>
          </w:rPr>
          <w:t>Exposure during re-entry</w:t>
        </w:r>
        <w:r w:rsidR="006065E2">
          <w:rPr>
            <w:webHidden/>
          </w:rPr>
          <w:tab/>
        </w:r>
        <w:r w:rsidR="006065E2">
          <w:rPr>
            <w:webHidden/>
          </w:rPr>
          <w:fldChar w:fldCharType="begin"/>
        </w:r>
        <w:r w:rsidR="006065E2">
          <w:rPr>
            <w:webHidden/>
          </w:rPr>
          <w:instrText xml:space="preserve"> PAGEREF _Toc507406682 \h </w:instrText>
        </w:r>
        <w:r w:rsidR="006065E2">
          <w:rPr>
            <w:webHidden/>
          </w:rPr>
        </w:r>
        <w:r w:rsidR="006065E2">
          <w:rPr>
            <w:webHidden/>
          </w:rPr>
          <w:fldChar w:fldCharType="separate"/>
        </w:r>
        <w:r w:rsidR="006065E2">
          <w:rPr>
            <w:webHidden/>
          </w:rPr>
          <w:t>38</w:t>
        </w:r>
        <w:r w:rsidR="006065E2">
          <w:rPr>
            <w:webHidden/>
          </w:rPr>
          <w:fldChar w:fldCharType="end"/>
        </w:r>
      </w:hyperlink>
    </w:p>
    <w:p w14:paraId="414D13A8"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3" w:history="1">
        <w:r w:rsidR="006065E2" w:rsidRPr="002969A1">
          <w:rPr>
            <w:rStyle w:val="Hyperlink"/>
          </w:rPr>
          <w:t>6.4</w:t>
        </w:r>
        <w:r w:rsidR="006065E2">
          <w:rPr>
            <w:rFonts w:asciiTheme="minorHAnsi" w:eastAsiaTheme="minorEastAsia" w:hAnsiTheme="minorHAnsi" w:cstheme="minorBidi"/>
            <w:b w:val="0"/>
            <w:color w:val="auto"/>
            <w:sz w:val="22"/>
            <w:szCs w:val="22"/>
            <w:lang w:eastAsia="en-AU"/>
          </w:rPr>
          <w:tab/>
        </w:r>
        <w:r w:rsidR="006065E2" w:rsidRPr="002969A1">
          <w:rPr>
            <w:rStyle w:val="Hyperlink"/>
          </w:rPr>
          <w:t>Recommendations for safe use</w:t>
        </w:r>
        <w:r w:rsidR="006065E2">
          <w:rPr>
            <w:webHidden/>
          </w:rPr>
          <w:tab/>
        </w:r>
        <w:r w:rsidR="006065E2">
          <w:rPr>
            <w:webHidden/>
          </w:rPr>
          <w:fldChar w:fldCharType="begin"/>
        </w:r>
        <w:r w:rsidR="006065E2">
          <w:rPr>
            <w:webHidden/>
          </w:rPr>
          <w:instrText xml:space="preserve"> PAGEREF _Toc507406683 \h </w:instrText>
        </w:r>
        <w:r w:rsidR="006065E2">
          <w:rPr>
            <w:webHidden/>
          </w:rPr>
        </w:r>
        <w:r w:rsidR="006065E2">
          <w:rPr>
            <w:webHidden/>
          </w:rPr>
          <w:fldChar w:fldCharType="separate"/>
        </w:r>
        <w:r w:rsidR="006065E2">
          <w:rPr>
            <w:webHidden/>
          </w:rPr>
          <w:t>38</w:t>
        </w:r>
        <w:r w:rsidR="006065E2">
          <w:rPr>
            <w:webHidden/>
          </w:rPr>
          <w:fldChar w:fldCharType="end"/>
        </w:r>
      </w:hyperlink>
    </w:p>
    <w:p w14:paraId="44F7FAC2"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4" w:history="1">
        <w:r w:rsidR="006065E2" w:rsidRPr="002969A1">
          <w:rPr>
            <w:rStyle w:val="Hyperlink"/>
          </w:rPr>
          <w:t>6.5</w:t>
        </w:r>
        <w:r w:rsidR="006065E2">
          <w:rPr>
            <w:rFonts w:asciiTheme="minorHAnsi" w:eastAsiaTheme="minorEastAsia" w:hAnsiTheme="minorHAnsi" w:cstheme="minorBidi"/>
            <w:b w:val="0"/>
            <w:color w:val="auto"/>
            <w:sz w:val="22"/>
            <w:szCs w:val="22"/>
            <w:lang w:eastAsia="en-AU"/>
          </w:rPr>
          <w:tab/>
        </w:r>
        <w:r w:rsidR="006065E2" w:rsidRPr="002969A1">
          <w:rPr>
            <w:rStyle w:val="Hyperlink"/>
          </w:rPr>
          <w:t>Conclusion</w:t>
        </w:r>
        <w:r w:rsidR="006065E2">
          <w:rPr>
            <w:webHidden/>
          </w:rPr>
          <w:tab/>
        </w:r>
        <w:r w:rsidR="006065E2">
          <w:rPr>
            <w:webHidden/>
          </w:rPr>
          <w:fldChar w:fldCharType="begin"/>
        </w:r>
        <w:r w:rsidR="006065E2">
          <w:rPr>
            <w:webHidden/>
          </w:rPr>
          <w:instrText xml:space="preserve"> PAGEREF _Toc507406684 \h </w:instrText>
        </w:r>
        <w:r w:rsidR="006065E2">
          <w:rPr>
            <w:webHidden/>
          </w:rPr>
        </w:r>
        <w:r w:rsidR="006065E2">
          <w:rPr>
            <w:webHidden/>
          </w:rPr>
          <w:fldChar w:fldCharType="separate"/>
        </w:r>
        <w:r w:rsidR="006065E2">
          <w:rPr>
            <w:webHidden/>
          </w:rPr>
          <w:t>38</w:t>
        </w:r>
        <w:r w:rsidR="006065E2">
          <w:rPr>
            <w:webHidden/>
          </w:rPr>
          <w:fldChar w:fldCharType="end"/>
        </w:r>
      </w:hyperlink>
    </w:p>
    <w:p w14:paraId="785BBF70"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85" w:history="1">
        <w:r w:rsidR="006065E2" w:rsidRPr="002969A1">
          <w:rPr>
            <w:rStyle w:val="Hyperlink"/>
          </w:rPr>
          <w:t>7</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rPr>
          <w:t>Environmental assessment</w:t>
        </w:r>
        <w:r w:rsidR="006065E2">
          <w:rPr>
            <w:webHidden/>
          </w:rPr>
          <w:tab/>
        </w:r>
        <w:r w:rsidR="006065E2">
          <w:rPr>
            <w:webHidden/>
          </w:rPr>
          <w:fldChar w:fldCharType="begin"/>
        </w:r>
        <w:r w:rsidR="006065E2">
          <w:rPr>
            <w:webHidden/>
          </w:rPr>
          <w:instrText xml:space="preserve"> PAGEREF _Toc507406685 \h </w:instrText>
        </w:r>
        <w:r w:rsidR="006065E2">
          <w:rPr>
            <w:webHidden/>
          </w:rPr>
        </w:r>
        <w:r w:rsidR="006065E2">
          <w:rPr>
            <w:webHidden/>
          </w:rPr>
          <w:fldChar w:fldCharType="separate"/>
        </w:r>
        <w:r w:rsidR="006065E2">
          <w:rPr>
            <w:webHidden/>
          </w:rPr>
          <w:t>39</w:t>
        </w:r>
        <w:r w:rsidR="006065E2">
          <w:rPr>
            <w:webHidden/>
          </w:rPr>
          <w:fldChar w:fldCharType="end"/>
        </w:r>
      </w:hyperlink>
    </w:p>
    <w:p w14:paraId="72CC1928"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6" w:history="1">
        <w:r w:rsidR="006065E2" w:rsidRPr="002969A1">
          <w:rPr>
            <w:rStyle w:val="Hyperlink"/>
            <w:lang w:val="en-GB"/>
          </w:rPr>
          <w:t>7.1</w:t>
        </w:r>
        <w:r w:rsidR="006065E2">
          <w:rPr>
            <w:rFonts w:asciiTheme="minorHAnsi" w:eastAsiaTheme="minorEastAsia" w:hAnsiTheme="minorHAnsi" w:cstheme="minorBidi"/>
            <w:b w:val="0"/>
            <w:color w:val="auto"/>
            <w:sz w:val="22"/>
            <w:szCs w:val="22"/>
            <w:lang w:eastAsia="en-AU"/>
          </w:rPr>
          <w:tab/>
        </w:r>
        <w:r w:rsidR="006065E2" w:rsidRPr="002969A1">
          <w:rPr>
            <w:rStyle w:val="Hyperlink"/>
            <w:lang w:val="en-GB"/>
          </w:rPr>
          <w:t>Introduction</w:t>
        </w:r>
        <w:r w:rsidR="006065E2">
          <w:rPr>
            <w:webHidden/>
          </w:rPr>
          <w:tab/>
        </w:r>
        <w:r w:rsidR="006065E2">
          <w:rPr>
            <w:webHidden/>
          </w:rPr>
          <w:fldChar w:fldCharType="begin"/>
        </w:r>
        <w:r w:rsidR="006065E2">
          <w:rPr>
            <w:webHidden/>
          </w:rPr>
          <w:instrText xml:space="preserve"> PAGEREF _Toc507406686 \h </w:instrText>
        </w:r>
        <w:r w:rsidR="006065E2">
          <w:rPr>
            <w:webHidden/>
          </w:rPr>
        </w:r>
        <w:r w:rsidR="006065E2">
          <w:rPr>
            <w:webHidden/>
          </w:rPr>
          <w:fldChar w:fldCharType="separate"/>
        </w:r>
        <w:r w:rsidR="006065E2">
          <w:rPr>
            <w:webHidden/>
          </w:rPr>
          <w:t>39</w:t>
        </w:r>
        <w:r w:rsidR="006065E2">
          <w:rPr>
            <w:webHidden/>
          </w:rPr>
          <w:fldChar w:fldCharType="end"/>
        </w:r>
      </w:hyperlink>
    </w:p>
    <w:p w14:paraId="1AEDFBE9"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7" w:history="1">
        <w:r w:rsidR="006065E2" w:rsidRPr="002969A1">
          <w:rPr>
            <w:rStyle w:val="Hyperlink"/>
          </w:rPr>
          <w:t>7.2</w:t>
        </w:r>
        <w:r w:rsidR="006065E2">
          <w:rPr>
            <w:rFonts w:asciiTheme="minorHAnsi" w:eastAsiaTheme="minorEastAsia" w:hAnsiTheme="minorHAnsi" w:cstheme="minorBidi"/>
            <w:b w:val="0"/>
            <w:color w:val="auto"/>
            <w:sz w:val="22"/>
            <w:szCs w:val="22"/>
            <w:lang w:eastAsia="en-AU"/>
          </w:rPr>
          <w:tab/>
        </w:r>
        <w:r w:rsidR="006065E2" w:rsidRPr="002969A1">
          <w:rPr>
            <w:rStyle w:val="Hyperlink"/>
          </w:rPr>
          <w:t>Environmental fate and behaviour</w:t>
        </w:r>
        <w:r w:rsidR="006065E2">
          <w:rPr>
            <w:webHidden/>
          </w:rPr>
          <w:tab/>
        </w:r>
        <w:r w:rsidR="006065E2">
          <w:rPr>
            <w:webHidden/>
          </w:rPr>
          <w:fldChar w:fldCharType="begin"/>
        </w:r>
        <w:r w:rsidR="006065E2">
          <w:rPr>
            <w:webHidden/>
          </w:rPr>
          <w:instrText xml:space="preserve"> PAGEREF _Toc507406687 \h </w:instrText>
        </w:r>
        <w:r w:rsidR="006065E2">
          <w:rPr>
            <w:webHidden/>
          </w:rPr>
        </w:r>
        <w:r w:rsidR="006065E2">
          <w:rPr>
            <w:webHidden/>
          </w:rPr>
          <w:fldChar w:fldCharType="separate"/>
        </w:r>
        <w:r w:rsidR="006065E2">
          <w:rPr>
            <w:webHidden/>
          </w:rPr>
          <w:t>39</w:t>
        </w:r>
        <w:r w:rsidR="006065E2">
          <w:rPr>
            <w:webHidden/>
          </w:rPr>
          <w:fldChar w:fldCharType="end"/>
        </w:r>
      </w:hyperlink>
    </w:p>
    <w:p w14:paraId="36E5CE2C"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8" w:history="1">
        <w:r w:rsidR="006065E2" w:rsidRPr="002969A1">
          <w:rPr>
            <w:rStyle w:val="Hyperlink"/>
          </w:rPr>
          <w:t>7.3</w:t>
        </w:r>
        <w:r w:rsidR="006065E2">
          <w:rPr>
            <w:rFonts w:asciiTheme="minorHAnsi" w:eastAsiaTheme="minorEastAsia" w:hAnsiTheme="minorHAnsi" w:cstheme="minorBidi"/>
            <w:b w:val="0"/>
            <w:color w:val="auto"/>
            <w:sz w:val="22"/>
            <w:szCs w:val="22"/>
            <w:lang w:eastAsia="en-AU"/>
          </w:rPr>
          <w:tab/>
        </w:r>
        <w:r w:rsidR="006065E2" w:rsidRPr="002969A1">
          <w:rPr>
            <w:rStyle w:val="Hyperlink"/>
          </w:rPr>
          <w:t>Environmental Effects</w:t>
        </w:r>
        <w:r w:rsidR="006065E2">
          <w:rPr>
            <w:webHidden/>
          </w:rPr>
          <w:tab/>
        </w:r>
        <w:r w:rsidR="006065E2">
          <w:rPr>
            <w:webHidden/>
          </w:rPr>
          <w:fldChar w:fldCharType="begin"/>
        </w:r>
        <w:r w:rsidR="006065E2">
          <w:rPr>
            <w:webHidden/>
          </w:rPr>
          <w:instrText xml:space="preserve"> PAGEREF _Toc507406688 \h </w:instrText>
        </w:r>
        <w:r w:rsidR="006065E2">
          <w:rPr>
            <w:webHidden/>
          </w:rPr>
        </w:r>
        <w:r w:rsidR="006065E2">
          <w:rPr>
            <w:webHidden/>
          </w:rPr>
          <w:fldChar w:fldCharType="separate"/>
        </w:r>
        <w:r w:rsidR="006065E2">
          <w:rPr>
            <w:webHidden/>
          </w:rPr>
          <w:t>41</w:t>
        </w:r>
        <w:r w:rsidR="006065E2">
          <w:rPr>
            <w:webHidden/>
          </w:rPr>
          <w:fldChar w:fldCharType="end"/>
        </w:r>
      </w:hyperlink>
    </w:p>
    <w:p w14:paraId="29232E20"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89" w:history="1">
        <w:r w:rsidR="006065E2" w:rsidRPr="002969A1">
          <w:rPr>
            <w:rStyle w:val="Hyperlink"/>
          </w:rPr>
          <w:t>7.4</w:t>
        </w:r>
        <w:r w:rsidR="006065E2">
          <w:rPr>
            <w:rFonts w:asciiTheme="minorHAnsi" w:eastAsiaTheme="minorEastAsia" w:hAnsiTheme="minorHAnsi" w:cstheme="minorBidi"/>
            <w:b w:val="0"/>
            <w:color w:val="auto"/>
            <w:sz w:val="22"/>
            <w:szCs w:val="22"/>
            <w:lang w:eastAsia="en-AU"/>
          </w:rPr>
          <w:tab/>
        </w:r>
        <w:r w:rsidR="006065E2" w:rsidRPr="002969A1">
          <w:rPr>
            <w:rStyle w:val="Hyperlink"/>
          </w:rPr>
          <w:t>Risk assessment</w:t>
        </w:r>
        <w:r w:rsidR="006065E2">
          <w:rPr>
            <w:webHidden/>
          </w:rPr>
          <w:tab/>
        </w:r>
        <w:r w:rsidR="006065E2">
          <w:rPr>
            <w:webHidden/>
          </w:rPr>
          <w:fldChar w:fldCharType="begin"/>
        </w:r>
        <w:r w:rsidR="006065E2">
          <w:rPr>
            <w:webHidden/>
          </w:rPr>
          <w:instrText xml:space="preserve"> PAGEREF _Toc507406689 \h </w:instrText>
        </w:r>
        <w:r w:rsidR="006065E2">
          <w:rPr>
            <w:webHidden/>
          </w:rPr>
        </w:r>
        <w:r w:rsidR="006065E2">
          <w:rPr>
            <w:webHidden/>
          </w:rPr>
          <w:fldChar w:fldCharType="separate"/>
        </w:r>
        <w:r w:rsidR="006065E2">
          <w:rPr>
            <w:webHidden/>
          </w:rPr>
          <w:t>42</w:t>
        </w:r>
        <w:r w:rsidR="006065E2">
          <w:rPr>
            <w:webHidden/>
          </w:rPr>
          <w:fldChar w:fldCharType="end"/>
        </w:r>
      </w:hyperlink>
    </w:p>
    <w:p w14:paraId="45AD47AF"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90" w:history="1">
        <w:r w:rsidR="006065E2" w:rsidRPr="002969A1">
          <w:rPr>
            <w:rStyle w:val="Hyperlink"/>
          </w:rPr>
          <w:t>8</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rPr>
          <w:t>Efficacy and safety assessment</w:t>
        </w:r>
        <w:r w:rsidR="006065E2">
          <w:rPr>
            <w:webHidden/>
          </w:rPr>
          <w:tab/>
        </w:r>
        <w:r w:rsidR="006065E2">
          <w:rPr>
            <w:webHidden/>
          </w:rPr>
          <w:fldChar w:fldCharType="begin"/>
        </w:r>
        <w:r w:rsidR="006065E2">
          <w:rPr>
            <w:webHidden/>
          </w:rPr>
          <w:instrText xml:space="preserve"> PAGEREF _Toc507406690 \h </w:instrText>
        </w:r>
        <w:r w:rsidR="006065E2">
          <w:rPr>
            <w:webHidden/>
          </w:rPr>
        </w:r>
        <w:r w:rsidR="006065E2">
          <w:rPr>
            <w:webHidden/>
          </w:rPr>
          <w:fldChar w:fldCharType="separate"/>
        </w:r>
        <w:r w:rsidR="006065E2">
          <w:rPr>
            <w:webHidden/>
          </w:rPr>
          <w:t>44</w:t>
        </w:r>
        <w:r w:rsidR="006065E2">
          <w:rPr>
            <w:webHidden/>
          </w:rPr>
          <w:fldChar w:fldCharType="end"/>
        </w:r>
      </w:hyperlink>
    </w:p>
    <w:p w14:paraId="23A3D80C"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91" w:history="1">
        <w:r w:rsidR="006065E2" w:rsidRPr="002969A1">
          <w:rPr>
            <w:rStyle w:val="Hyperlink"/>
          </w:rPr>
          <w:t>8.1</w:t>
        </w:r>
        <w:r w:rsidR="006065E2">
          <w:rPr>
            <w:rFonts w:asciiTheme="minorHAnsi" w:eastAsiaTheme="minorEastAsia" w:hAnsiTheme="minorHAnsi" w:cstheme="minorBidi"/>
            <w:b w:val="0"/>
            <w:color w:val="auto"/>
            <w:sz w:val="22"/>
            <w:szCs w:val="22"/>
            <w:lang w:eastAsia="en-AU"/>
          </w:rPr>
          <w:tab/>
        </w:r>
        <w:r w:rsidR="006065E2" w:rsidRPr="002969A1">
          <w:rPr>
            <w:rStyle w:val="Hyperlink"/>
          </w:rPr>
          <w:t>Proposed product use pattern</w:t>
        </w:r>
        <w:r w:rsidR="006065E2">
          <w:rPr>
            <w:webHidden/>
          </w:rPr>
          <w:tab/>
        </w:r>
        <w:r w:rsidR="006065E2">
          <w:rPr>
            <w:webHidden/>
          </w:rPr>
          <w:fldChar w:fldCharType="begin"/>
        </w:r>
        <w:r w:rsidR="006065E2">
          <w:rPr>
            <w:webHidden/>
          </w:rPr>
          <w:instrText xml:space="preserve"> PAGEREF _Toc507406691 \h </w:instrText>
        </w:r>
        <w:r w:rsidR="006065E2">
          <w:rPr>
            <w:webHidden/>
          </w:rPr>
        </w:r>
        <w:r w:rsidR="006065E2">
          <w:rPr>
            <w:webHidden/>
          </w:rPr>
          <w:fldChar w:fldCharType="separate"/>
        </w:r>
        <w:r w:rsidR="006065E2">
          <w:rPr>
            <w:webHidden/>
          </w:rPr>
          <w:t>44</w:t>
        </w:r>
        <w:r w:rsidR="006065E2">
          <w:rPr>
            <w:webHidden/>
          </w:rPr>
          <w:fldChar w:fldCharType="end"/>
        </w:r>
      </w:hyperlink>
    </w:p>
    <w:p w14:paraId="5FA4052C"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92" w:history="1">
        <w:r w:rsidR="006065E2" w:rsidRPr="002969A1">
          <w:rPr>
            <w:rStyle w:val="Hyperlink"/>
          </w:rPr>
          <w:t>8.2</w:t>
        </w:r>
        <w:r w:rsidR="006065E2">
          <w:rPr>
            <w:rFonts w:asciiTheme="minorHAnsi" w:eastAsiaTheme="minorEastAsia" w:hAnsiTheme="minorHAnsi" w:cstheme="minorBidi"/>
            <w:b w:val="0"/>
            <w:color w:val="auto"/>
            <w:sz w:val="22"/>
            <w:szCs w:val="22"/>
            <w:lang w:eastAsia="en-AU"/>
          </w:rPr>
          <w:tab/>
        </w:r>
        <w:r w:rsidR="006065E2" w:rsidRPr="002969A1">
          <w:rPr>
            <w:rStyle w:val="Hyperlink"/>
          </w:rPr>
          <w:t>Assessment of study/trial data</w:t>
        </w:r>
        <w:r w:rsidR="006065E2">
          <w:rPr>
            <w:webHidden/>
          </w:rPr>
          <w:tab/>
        </w:r>
        <w:r w:rsidR="006065E2">
          <w:rPr>
            <w:webHidden/>
          </w:rPr>
          <w:fldChar w:fldCharType="begin"/>
        </w:r>
        <w:r w:rsidR="006065E2">
          <w:rPr>
            <w:webHidden/>
          </w:rPr>
          <w:instrText xml:space="preserve"> PAGEREF _Toc507406692 \h </w:instrText>
        </w:r>
        <w:r w:rsidR="006065E2">
          <w:rPr>
            <w:webHidden/>
          </w:rPr>
        </w:r>
        <w:r w:rsidR="006065E2">
          <w:rPr>
            <w:webHidden/>
          </w:rPr>
          <w:fldChar w:fldCharType="separate"/>
        </w:r>
        <w:r w:rsidR="006065E2">
          <w:rPr>
            <w:webHidden/>
          </w:rPr>
          <w:t>44</w:t>
        </w:r>
        <w:r w:rsidR="006065E2">
          <w:rPr>
            <w:webHidden/>
          </w:rPr>
          <w:fldChar w:fldCharType="end"/>
        </w:r>
      </w:hyperlink>
    </w:p>
    <w:p w14:paraId="32674765" w14:textId="77777777" w:rsidR="006065E2" w:rsidRDefault="00066006">
      <w:pPr>
        <w:pStyle w:val="TOC2"/>
        <w:rPr>
          <w:rFonts w:asciiTheme="minorHAnsi" w:eastAsiaTheme="minorEastAsia" w:hAnsiTheme="minorHAnsi" w:cstheme="minorBidi"/>
          <w:b w:val="0"/>
          <w:color w:val="auto"/>
          <w:sz w:val="22"/>
          <w:szCs w:val="22"/>
          <w:lang w:eastAsia="en-AU"/>
        </w:rPr>
      </w:pPr>
      <w:hyperlink w:anchor="_Toc507406693" w:history="1">
        <w:r w:rsidR="006065E2" w:rsidRPr="002969A1">
          <w:rPr>
            <w:rStyle w:val="Hyperlink"/>
          </w:rPr>
          <w:t>8.3</w:t>
        </w:r>
        <w:r w:rsidR="006065E2">
          <w:rPr>
            <w:rFonts w:asciiTheme="minorHAnsi" w:eastAsiaTheme="minorEastAsia" w:hAnsiTheme="minorHAnsi" w:cstheme="minorBidi"/>
            <w:b w:val="0"/>
            <w:color w:val="auto"/>
            <w:sz w:val="22"/>
            <w:szCs w:val="22"/>
            <w:lang w:eastAsia="en-AU"/>
          </w:rPr>
          <w:tab/>
        </w:r>
        <w:r w:rsidR="006065E2" w:rsidRPr="002969A1">
          <w:rPr>
            <w:rStyle w:val="Hyperlink"/>
          </w:rPr>
          <w:t>Conclusions</w:t>
        </w:r>
        <w:r w:rsidR="006065E2">
          <w:rPr>
            <w:webHidden/>
          </w:rPr>
          <w:tab/>
        </w:r>
        <w:r w:rsidR="006065E2">
          <w:rPr>
            <w:webHidden/>
          </w:rPr>
          <w:fldChar w:fldCharType="begin"/>
        </w:r>
        <w:r w:rsidR="006065E2">
          <w:rPr>
            <w:webHidden/>
          </w:rPr>
          <w:instrText xml:space="preserve"> PAGEREF _Toc507406693 \h </w:instrText>
        </w:r>
        <w:r w:rsidR="006065E2">
          <w:rPr>
            <w:webHidden/>
          </w:rPr>
        </w:r>
        <w:r w:rsidR="006065E2">
          <w:rPr>
            <w:webHidden/>
          </w:rPr>
          <w:fldChar w:fldCharType="separate"/>
        </w:r>
        <w:r w:rsidR="006065E2">
          <w:rPr>
            <w:webHidden/>
          </w:rPr>
          <w:t>45</w:t>
        </w:r>
        <w:r w:rsidR="006065E2">
          <w:rPr>
            <w:webHidden/>
          </w:rPr>
          <w:fldChar w:fldCharType="end"/>
        </w:r>
      </w:hyperlink>
    </w:p>
    <w:p w14:paraId="3F2AC270"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94" w:history="1">
        <w:r w:rsidR="006065E2" w:rsidRPr="002969A1">
          <w:rPr>
            <w:rStyle w:val="Hyperlink"/>
          </w:rPr>
          <w:t>9</w:t>
        </w:r>
        <w:r w:rsidR="006065E2">
          <w:rPr>
            <w:rFonts w:asciiTheme="minorHAnsi" w:eastAsiaTheme="minorEastAsia" w:hAnsiTheme="minorHAnsi" w:cstheme="minorBidi"/>
            <w:b w:val="0"/>
            <w:bCs w:val="0"/>
            <w:caps w:val="0"/>
            <w:color w:val="auto"/>
            <w:sz w:val="22"/>
            <w:szCs w:val="22"/>
            <w:lang w:eastAsia="en-AU"/>
          </w:rPr>
          <w:tab/>
        </w:r>
        <w:r w:rsidR="006065E2" w:rsidRPr="002969A1">
          <w:rPr>
            <w:rStyle w:val="Hyperlink"/>
          </w:rPr>
          <w:t>Labelling requirements</w:t>
        </w:r>
        <w:r w:rsidR="006065E2">
          <w:rPr>
            <w:webHidden/>
          </w:rPr>
          <w:tab/>
        </w:r>
        <w:r w:rsidR="006065E2">
          <w:rPr>
            <w:webHidden/>
          </w:rPr>
          <w:fldChar w:fldCharType="begin"/>
        </w:r>
        <w:r w:rsidR="006065E2">
          <w:rPr>
            <w:webHidden/>
          </w:rPr>
          <w:instrText xml:space="preserve"> PAGEREF _Toc507406694 \h </w:instrText>
        </w:r>
        <w:r w:rsidR="006065E2">
          <w:rPr>
            <w:webHidden/>
          </w:rPr>
        </w:r>
        <w:r w:rsidR="006065E2">
          <w:rPr>
            <w:webHidden/>
          </w:rPr>
          <w:fldChar w:fldCharType="separate"/>
        </w:r>
        <w:r w:rsidR="006065E2">
          <w:rPr>
            <w:webHidden/>
          </w:rPr>
          <w:t>46</w:t>
        </w:r>
        <w:r w:rsidR="006065E2">
          <w:rPr>
            <w:webHidden/>
          </w:rPr>
          <w:fldChar w:fldCharType="end"/>
        </w:r>
      </w:hyperlink>
    </w:p>
    <w:p w14:paraId="667206DF"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95" w:history="1">
        <w:r w:rsidR="006065E2" w:rsidRPr="002969A1">
          <w:rPr>
            <w:rStyle w:val="Hyperlink"/>
          </w:rPr>
          <w:t>abbreviations</w:t>
        </w:r>
        <w:r w:rsidR="006065E2">
          <w:rPr>
            <w:webHidden/>
          </w:rPr>
          <w:tab/>
        </w:r>
        <w:r w:rsidR="006065E2">
          <w:rPr>
            <w:webHidden/>
          </w:rPr>
          <w:fldChar w:fldCharType="begin"/>
        </w:r>
        <w:r w:rsidR="006065E2">
          <w:rPr>
            <w:webHidden/>
          </w:rPr>
          <w:instrText xml:space="preserve"> PAGEREF _Toc507406695 \h </w:instrText>
        </w:r>
        <w:r w:rsidR="006065E2">
          <w:rPr>
            <w:webHidden/>
          </w:rPr>
        </w:r>
        <w:r w:rsidR="006065E2">
          <w:rPr>
            <w:webHidden/>
          </w:rPr>
          <w:fldChar w:fldCharType="separate"/>
        </w:r>
        <w:r w:rsidR="006065E2">
          <w:rPr>
            <w:webHidden/>
          </w:rPr>
          <w:t>51</w:t>
        </w:r>
        <w:r w:rsidR="006065E2">
          <w:rPr>
            <w:webHidden/>
          </w:rPr>
          <w:fldChar w:fldCharType="end"/>
        </w:r>
      </w:hyperlink>
    </w:p>
    <w:p w14:paraId="3F7E7E17"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96" w:history="1">
        <w:r w:rsidR="006065E2" w:rsidRPr="002969A1">
          <w:rPr>
            <w:rStyle w:val="Hyperlink"/>
            <w:lang w:val="en-GB"/>
          </w:rPr>
          <w:t>Glossary</w:t>
        </w:r>
        <w:r w:rsidR="006065E2">
          <w:rPr>
            <w:webHidden/>
          </w:rPr>
          <w:tab/>
        </w:r>
        <w:r w:rsidR="006065E2">
          <w:rPr>
            <w:webHidden/>
          </w:rPr>
          <w:fldChar w:fldCharType="begin"/>
        </w:r>
        <w:r w:rsidR="006065E2">
          <w:rPr>
            <w:webHidden/>
          </w:rPr>
          <w:instrText xml:space="preserve"> PAGEREF _Toc507406696 \h </w:instrText>
        </w:r>
        <w:r w:rsidR="006065E2">
          <w:rPr>
            <w:webHidden/>
          </w:rPr>
        </w:r>
        <w:r w:rsidR="006065E2">
          <w:rPr>
            <w:webHidden/>
          </w:rPr>
          <w:fldChar w:fldCharType="separate"/>
        </w:r>
        <w:r w:rsidR="006065E2">
          <w:rPr>
            <w:webHidden/>
          </w:rPr>
          <w:t>56</w:t>
        </w:r>
        <w:r w:rsidR="006065E2">
          <w:rPr>
            <w:webHidden/>
          </w:rPr>
          <w:fldChar w:fldCharType="end"/>
        </w:r>
      </w:hyperlink>
    </w:p>
    <w:p w14:paraId="72B81377" w14:textId="77777777" w:rsidR="006065E2" w:rsidRDefault="00066006">
      <w:pPr>
        <w:pStyle w:val="TOC1"/>
        <w:rPr>
          <w:rFonts w:asciiTheme="minorHAnsi" w:eastAsiaTheme="minorEastAsia" w:hAnsiTheme="minorHAnsi" w:cstheme="minorBidi"/>
          <w:b w:val="0"/>
          <w:bCs w:val="0"/>
          <w:caps w:val="0"/>
          <w:color w:val="auto"/>
          <w:sz w:val="22"/>
          <w:szCs w:val="22"/>
          <w:lang w:eastAsia="en-AU"/>
        </w:rPr>
      </w:pPr>
      <w:hyperlink w:anchor="_Toc507406697" w:history="1">
        <w:r w:rsidR="006065E2" w:rsidRPr="002969A1">
          <w:rPr>
            <w:rStyle w:val="Hyperlink"/>
          </w:rPr>
          <w:t>References</w:t>
        </w:r>
        <w:r w:rsidR="006065E2">
          <w:rPr>
            <w:webHidden/>
          </w:rPr>
          <w:tab/>
        </w:r>
        <w:r w:rsidR="006065E2">
          <w:rPr>
            <w:webHidden/>
          </w:rPr>
          <w:fldChar w:fldCharType="begin"/>
        </w:r>
        <w:r w:rsidR="006065E2">
          <w:rPr>
            <w:webHidden/>
          </w:rPr>
          <w:instrText xml:space="preserve"> PAGEREF _Toc507406697 \h </w:instrText>
        </w:r>
        <w:r w:rsidR="006065E2">
          <w:rPr>
            <w:webHidden/>
          </w:rPr>
        </w:r>
        <w:r w:rsidR="006065E2">
          <w:rPr>
            <w:webHidden/>
          </w:rPr>
          <w:fldChar w:fldCharType="separate"/>
        </w:r>
        <w:r w:rsidR="006065E2">
          <w:rPr>
            <w:webHidden/>
          </w:rPr>
          <w:t>57</w:t>
        </w:r>
        <w:r w:rsidR="006065E2">
          <w:rPr>
            <w:webHidden/>
          </w:rPr>
          <w:fldChar w:fldCharType="end"/>
        </w:r>
      </w:hyperlink>
    </w:p>
    <w:p w14:paraId="5DBADF27" w14:textId="77777777" w:rsidR="006719DB" w:rsidRDefault="00F27E0D" w:rsidP="006A438E">
      <w:pPr>
        <w:pStyle w:val="TOAHeading"/>
        <w:rPr>
          <w:noProof/>
          <w:sz w:val="20"/>
          <w:szCs w:val="30"/>
        </w:rPr>
        <w:sectPr w:rsidR="006719DB">
          <w:headerReference w:type="default" r:id="rId23"/>
          <w:footerReference w:type="default" r:id="rId24"/>
          <w:pgSz w:w="11906" w:h="16838" w:code="9"/>
          <w:pgMar w:top="2835" w:right="1134" w:bottom="1134" w:left="1134" w:header="1701" w:footer="680" w:gutter="0"/>
          <w:pgNumType w:fmt="lowerRoman"/>
          <w:cols w:space="708"/>
          <w:docGrid w:linePitch="360"/>
        </w:sectPr>
      </w:pPr>
      <w:r>
        <w:rPr>
          <w:noProof/>
          <w:sz w:val="20"/>
          <w:szCs w:val="30"/>
        </w:rPr>
        <w:fldChar w:fldCharType="end"/>
      </w:r>
    </w:p>
    <w:p w14:paraId="0E34DCBF" w14:textId="02BB1254" w:rsidR="00F27E0D" w:rsidRDefault="00F27E0D" w:rsidP="006A438E">
      <w:pPr>
        <w:pStyle w:val="TOAHeading"/>
      </w:pPr>
      <w:r>
        <w:lastRenderedPageBreak/>
        <w:t>Preface</w:t>
      </w:r>
    </w:p>
    <w:p w14:paraId="1D053CB1" w14:textId="77777777" w:rsidR="00F27E0D" w:rsidRDefault="00F27E0D">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14:paraId="6CF619B4" w14:textId="77777777" w:rsidR="00F27E0D" w:rsidRDefault="00F27E0D">
      <w:pPr>
        <w:pStyle w:val="APVMAText"/>
      </w:pPr>
      <w:r>
        <w:t xml:space="preserve">In undertaking this task, the APVMA works in close cooperation with advisory agencies, including the Department of Health and Ageing, Office of Chemical Safety </w:t>
      </w:r>
      <w:r w:rsidR="00CD1AC0">
        <w:t>(OCS)</w:t>
      </w:r>
      <w:r>
        <w:t xml:space="preserve">, Department of Sustainability, Environment, Water, Population and Communities (DSEWPaC), and State Departments of Primary Industries. </w:t>
      </w:r>
    </w:p>
    <w:p w14:paraId="38451291" w14:textId="77777777" w:rsidR="00F27E0D" w:rsidRDefault="00F27E0D">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14:paraId="4CE60809" w14:textId="77777777" w:rsidR="00F27E0D" w:rsidRDefault="00F27E0D">
      <w:pPr>
        <w:pStyle w:val="APVMAText"/>
      </w:pPr>
      <w:r>
        <w:t xml:space="preserve">The information and technical data required by the APVMA to assess the safety of new chemical products, and the methods of assessment, must be consistent with accepted scientific principles and processes. Details are outlined in the APVMA’s publications </w:t>
      </w:r>
      <w:r>
        <w:rPr>
          <w:i/>
        </w:rPr>
        <w:t>Ag</w:t>
      </w:r>
      <w:r>
        <w:t xml:space="preserve"> </w:t>
      </w:r>
      <w:r>
        <w:rPr>
          <w:i/>
        </w:rPr>
        <w:t>MORAG: Manual of Requirements and Guidelines</w:t>
      </w:r>
      <w:r>
        <w:t xml:space="preserve"> and </w:t>
      </w:r>
      <w:r>
        <w:rPr>
          <w:i/>
        </w:rPr>
        <w:t>Vet</w:t>
      </w:r>
      <w:r>
        <w:t xml:space="preserve"> </w:t>
      </w:r>
      <w:r>
        <w:rPr>
          <w:i/>
        </w:rPr>
        <w:t>MORAG: Manual of Requirements and Guidelines</w:t>
      </w:r>
      <w:r>
        <w:t xml:space="preserve">. </w:t>
      </w:r>
    </w:p>
    <w:p w14:paraId="2FCF266D" w14:textId="77777777" w:rsidR="00F27E0D" w:rsidRDefault="00F27E0D">
      <w:pPr>
        <w:pStyle w:val="APVMAText"/>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14:paraId="3901DF51" w14:textId="77777777" w:rsidR="00F27E0D" w:rsidRDefault="00F27E0D">
      <w:pPr>
        <w:pStyle w:val="APVMAPreliminariesH2"/>
      </w:pPr>
      <w:bookmarkStart w:id="0" w:name="_Toc507406648"/>
      <w:r>
        <w:t>About this document</w:t>
      </w:r>
      <w:bookmarkEnd w:id="0"/>
    </w:p>
    <w:p w14:paraId="17E0F75A" w14:textId="77777777" w:rsidR="00F27E0D" w:rsidRDefault="00F27E0D">
      <w:pPr>
        <w:pStyle w:val="APVMAText"/>
        <w:tabs>
          <w:tab w:val="left" w:pos="1361"/>
        </w:tabs>
      </w:pPr>
      <w:r>
        <w:t xml:space="preserve">This is a </w:t>
      </w:r>
      <w:r>
        <w:rPr>
          <w:lang w:val="en-GB"/>
        </w:rPr>
        <w:t>Public Release Summary.</w:t>
      </w:r>
    </w:p>
    <w:p w14:paraId="2C7DF1C4" w14:textId="77777777"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14:paraId="76B0BD46" w14:textId="77777777" w:rsidR="00F27E0D" w:rsidRDefault="00F27E0D">
      <w:pPr>
        <w:pStyle w:val="APVMABullet1"/>
      </w:pPr>
      <w:r>
        <w:t>the toxicology of both the active constituent and product</w:t>
      </w:r>
    </w:p>
    <w:p w14:paraId="755A14CC" w14:textId="77777777" w:rsidR="00F27E0D" w:rsidRDefault="00F27E0D">
      <w:pPr>
        <w:pStyle w:val="APVMABullet1"/>
      </w:pPr>
      <w:r>
        <w:t>the residues and trade assessment</w:t>
      </w:r>
    </w:p>
    <w:p w14:paraId="1BDCC561" w14:textId="77777777" w:rsidR="00F27E0D" w:rsidRDefault="00F27E0D">
      <w:pPr>
        <w:pStyle w:val="APVMABullet1"/>
      </w:pPr>
      <w:r>
        <w:t>occupational exposure aspects</w:t>
      </w:r>
    </w:p>
    <w:p w14:paraId="7F8CEA09" w14:textId="77777777" w:rsidR="00F27E0D" w:rsidRDefault="00F27E0D">
      <w:pPr>
        <w:pStyle w:val="APVMABullet1"/>
      </w:pPr>
      <w:r>
        <w:t>environmental fate, toxicity, potential exposure and hazard</w:t>
      </w:r>
    </w:p>
    <w:p w14:paraId="5BFB4644" w14:textId="77777777" w:rsidR="00F27E0D" w:rsidRDefault="00F27E0D">
      <w:pPr>
        <w:pStyle w:val="APVMABullet1"/>
      </w:pPr>
      <w:r>
        <w:t>efficacy and target crop or animal safety.</w:t>
      </w:r>
    </w:p>
    <w:p w14:paraId="51C3873A" w14:textId="77777777" w:rsidR="00F27E0D" w:rsidRDefault="00F27E0D">
      <w:pPr>
        <w:pStyle w:val="APVMAText"/>
        <w:tabs>
          <w:tab w:val="left" w:pos="1361"/>
        </w:tabs>
      </w:pPr>
      <w:r>
        <w:t>Comment is sought from interested stakeholders on the information contained within this document.</w:t>
      </w:r>
    </w:p>
    <w:p w14:paraId="5527A4D2" w14:textId="77777777" w:rsidR="00F27E0D" w:rsidRDefault="00F27E0D">
      <w:pPr>
        <w:pStyle w:val="APVMAPreliminariesH2"/>
      </w:pPr>
      <w:bookmarkStart w:id="1" w:name="_Toc507406649"/>
      <w:r>
        <w:lastRenderedPageBreak/>
        <w:t>Making a submission</w:t>
      </w:r>
      <w:bookmarkEnd w:id="1"/>
    </w:p>
    <w:p w14:paraId="6CEAE394" w14:textId="5D811423" w:rsidR="00563319" w:rsidRDefault="00F27E0D" w:rsidP="006A438E">
      <w:pPr>
        <w:pStyle w:val="APVMAText"/>
        <w:spacing w:before="120" w:after="120"/>
      </w:pPr>
      <w:r>
        <w:t>In accordance with sections 12 and 13 of the Agvet Code, the APVMA invites any person to submit a relevant written submission as to whether the application for</w:t>
      </w:r>
      <w:r w:rsidR="006065E2">
        <w:t xml:space="preserve"> approval of the active pydiflumetofen and</w:t>
      </w:r>
      <w:r>
        <w:t xml:space="preserve"> registration of</w:t>
      </w:r>
      <w:r w:rsidR="006065E2">
        <w:t xml:space="preserve"> the product</w:t>
      </w:r>
      <w:r>
        <w:t xml:space="preserve"> </w:t>
      </w:r>
      <w:r w:rsidR="00C011F9" w:rsidRPr="00792FDD">
        <w:t>Miravis Fungicide</w:t>
      </w:r>
      <w:r w:rsidRPr="00792FDD">
        <w:rPr>
          <w:rFonts w:ascii="Arial Bold" w:hAnsi="Arial Bold"/>
        </w:rPr>
        <w:t xml:space="preserve"> </w:t>
      </w:r>
      <w:r w:rsidRPr="00792FDD">
        <w:t>should be granted</w:t>
      </w:r>
      <w:r w:rsidR="007114A9">
        <w:t xml:space="preserve">. </w:t>
      </w:r>
      <w:r w:rsidRPr="00792FDD">
        <w:t xml:space="preserve">Submissions should relate only to matters that the APVMA is required, by legislation, to take into account in deciding whether to grant the application. These matters include aspects of </w:t>
      </w:r>
      <w:r w:rsidRPr="00792FDD">
        <w:rPr>
          <w:bCs/>
        </w:rPr>
        <w:t>public health, occupational health and safety, chemistry and manufacture, residues in food, environmental safety, trade, and efficacy and target crop or animal safety</w:t>
      </w:r>
      <w:r w:rsidRPr="00792FDD">
        <w:t>. Submissions should state the grounds on which</w:t>
      </w:r>
      <w:r>
        <w:t xml:space="preserve"> they are based</w:t>
      </w:r>
      <w:r w:rsidR="00563319">
        <w:t>. Comments received that address issues outside the relevant matters cannot be considered by the APVMA.</w:t>
      </w:r>
    </w:p>
    <w:p w14:paraId="786E8980" w14:textId="709B584C" w:rsidR="00F27E0D" w:rsidRDefault="00F27E0D" w:rsidP="006A438E">
      <w:pPr>
        <w:pStyle w:val="APVMAText"/>
        <w:spacing w:before="120" w:after="120"/>
      </w:pPr>
      <w:r>
        <w:t>Submissions must be received by the APVMA by close of business on</w:t>
      </w:r>
      <w:r w:rsidR="00792FDD">
        <w:t xml:space="preserve"> 27 March 2018</w:t>
      </w:r>
      <w:r>
        <w:t xml:space="preserve"> and be directed to the contact listed below. All submissions to the APVMA will be acknowledged in writing via email or by post.</w:t>
      </w:r>
    </w:p>
    <w:p w14:paraId="439DDB5A" w14:textId="77777777" w:rsidR="00F27E0D" w:rsidRDefault="00F27E0D" w:rsidP="006A438E">
      <w:pPr>
        <w:pStyle w:val="APVMAText"/>
        <w:spacing w:before="120" w:after="120"/>
      </w:pPr>
      <w:r>
        <w:t>Relevant comments will be taken into account by the APVMA in deciding whether the product should be registered and in determining appropriate conditions of registration and product labelling.</w:t>
      </w:r>
    </w:p>
    <w:p w14:paraId="19F4DC3F" w14:textId="77777777" w:rsidR="00F27E0D" w:rsidRDefault="00F27E0D" w:rsidP="00792FDD">
      <w:pPr>
        <w:pStyle w:val="APVMAText"/>
        <w:spacing w:after="120"/>
      </w:pPr>
      <w:r>
        <w:t>When making a submission please include:</w:t>
      </w:r>
    </w:p>
    <w:p w14:paraId="61B21A7A" w14:textId="53622F9E" w:rsidR="00F27E0D" w:rsidRDefault="00792FDD" w:rsidP="00792FDD">
      <w:pPr>
        <w:pStyle w:val="APVMAText"/>
        <w:numPr>
          <w:ilvl w:val="0"/>
          <w:numId w:val="1"/>
        </w:numPr>
        <w:spacing w:before="120" w:after="120" w:line="240" w:lineRule="exact"/>
      </w:pPr>
      <w:r>
        <w:t>c</w:t>
      </w:r>
      <w:r w:rsidR="00F27E0D">
        <w:t xml:space="preserve">ontact name         </w:t>
      </w:r>
    </w:p>
    <w:p w14:paraId="08AEA000" w14:textId="6965855F" w:rsidR="00F27E0D" w:rsidRDefault="00792FDD" w:rsidP="00792FDD">
      <w:pPr>
        <w:pStyle w:val="APVMAText"/>
        <w:numPr>
          <w:ilvl w:val="0"/>
          <w:numId w:val="1"/>
        </w:numPr>
        <w:spacing w:before="120" w:after="120" w:line="240" w:lineRule="exact"/>
      </w:pPr>
      <w:r>
        <w:t>c</w:t>
      </w:r>
      <w:r w:rsidR="00F27E0D">
        <w:t>ompany or group name (if relevant)</w:t>
      </w:r>
    </w:p>
    <w:p w14:paraId="2E3CE622" w14:textId="6D90BA83" w:rsidR="00F27E0D" w:rsidRDefault="00792FDD" w:rsidP="00792FDD">
      <w:pPr>
        <w:pStyle w:val="APVMAText"/>
        <w:numPr>
          <w:ilvl w:val="0"/>
          <w:numId w:val="1"/>
        </w:numPr>
        <w:spacing w:before="120" w:after="120" w:line="240" w:lineRule="exact"/>
      </w:pPr>
      <w:r>
        <w:t>e</w:t>
      </w:r>
      <w:r w:rsidR="00F27E0D">
        <w:t>mail or postal address (if available)</w:t>
      </w:r>
    </w:p>
    <w:p w14:paraId="715580CA" w14:textId="729DD2F9" w:rsidR="00F27E0D" w:rsidRDefault="00792FDD" w:rsidP="00792FDD">
      <w:pPr>
        <w:pStyle w:val="APVMAText"/>
        <w:numPr>
          <w:ilvl w:val="0"/>
          <w:numId w:val="1"/>
        </w:numPr>
        <w:spacing w:before="120" w:after="120" w:line="240" w:lineRule="exact"/>
      </w:pPr>
      <w:r>
        <w:t>t</w:t>
      </w:r>
      <w:r w:rsidR="00F27E0D">
        <w:t>he date you made the submission.</w:t>
      </w:r>
    </w:p>
    <w:p w14:paraId="783AA86F" w14:textId="77777777" w:rsidR="00F27E0D" w:rsidRDefault="00F27E0D" w:rsidP="00792FDD">
      <w:pPr>
        <w:pStyle w:val="APVMAText"/>
        <w:spacing w:before="120"/>
      </w:pPr>
      <w:r>
        <w:t xml:space="preserve">All personal information, and confidential information judged by the APVMA to be </w:t>
      </w:r>
      <w:r w:rsidRPr="00792FDD">
        <w:rPr>
          <w:bCs/>
          <w:iCs/>
        </w:rPr>
        <w:t xml:space="preserve">confidential commercial information </w:t>
      </w:r>
      <w:r w:rsidRPr="00792FDD">
        <w:t>(CCI)</w:t>
      </w:r>
      <w:r w:rsidRPr="00792FDD">
        <w:rPr>
          <w:rStyle w:val="FootnoteReference"/>
        </w:rPr>
        <w:footnoteReference w:id="2"/>
      </w:r>
      <w:r>
        <w:t xml:space="preserve"> contained in submissions will be treated confidentially.</w:t>
      </w:r>
    </w:p>
    <w:p w14:paraId="7D5CAF9E" w14:textId="77777777" w:rsidR="00F27E0D" w:rsidRPr="00792FDD" w:rsidRDefault="00F27E0D">
      <w:pPr>
        <w:pStyle w:val="APVMAText"/>
      </w:pPr>
      <w:r>
        <w:t xml:space="preserve">Written submissions on the APVMA’s proposal to grant the application for registration that relate to the </w:t>
      </w:r>
      <w:r w:rsidRPr="00792FDD">
        <w:t xml:space="preserve">grounds for registration should be addressed in writing to: </w:t>
      </w:r>
    </w:p>
    <w:p w14:paraId="3243C719" w14:textId="1822EBD5" w:rsidR="00F27E0D" w:rsidRDefault="00C011F9" w:rsidP="00792FDD">
      <w:pPr>
        <w:pStyle w:val="APVMAAddress"/>
        <w:spacing w:after="40" w:line="240" w:lineRule="exact"/>
        <w:ind w:left="0"/>
      </w:pPr>
      <w:r w:rsidRPr="00C011F9">
        <w:t>Case Management and Administration Unit</w:t>
      </w:r>
      <w:r w:rsidR="00F27E0D">
        <w:t xml:space="preserve"> </w:t>
      </w:r>
    </w:p>
    <w:p w14:paraId="6D39E531" w14:textId="77777777" w:rsidR="00F27E0D" w:rsidRDefault="00F27E0D" w:rsidP="00792FDD">
      <w:pPr>
        <w:pStyle w:val="APVMAAddress"/>
        <w:spacing w:after="40" w:line="240" w:lineRule="exact"/>
        <w:ind w:left="0"/>
      </w:pPr>
      <w:r>
        <w:t>Australian Pesticides and Veterinary Medicines Authority</w:t>
      </w:r>
    </w:p>
    <w:p w14:paraId="611A8435" w14:textId="77777777" w:rsidR="00F27E0D" w:rsidRDefault="00F27E0D" w:rsidP="00792FDD">
      <w:pPr>
        <w:pStyle w:val="APVMAAddress"/>
        <w:spacing w:after="40" w:line="240" w:lineRule="exact"/>
        <w:ind w:left="0"/>
      </w:pPr>
      <w:r>
        <w:t>PO Box 6182</w:t>
      </w:r>
    </w:p>
    <w:p w14:paraId="514EC563" w14:textId="77777777" w:rsidR="00F27E0D" w:rsidRDefault="00F27E0D" w:rsidP="00792FDD">
      <w:pPr>
        <w:pStyle w:val="APVMAAddress"/>
        <w:spacing w:after="40" w:line="240" w:lineRule="exact"/>
        <w:ind w:left="0"/>
      </w:pPr>
      <w:r>
        <w:t>Kingston ACT 2604</w:t>
      </w:r>
    </w:p>
    <w:p w14:paraId="09C00D89" w14:textId="56999D0E" w:rsidR="00F27E0D" w:rsidRDefault="00F27E0D" w:rsidP="00792FDD">
      <w:pPr>
        <w:pStyle w:val="APVMAAddress"/>
        <w:tabs>
          <w:tab w:val="clear" w:pos="1361"/>
          <w:tab w:val="left" w:pos="851"/>
        </w:tabs>
        <w:spacing w:after="40" w:line="240" w:lineRule="exact"/>
        <w:ind w:left="0"/>
      </w:pPr>
      <w:r>
        <w:rPr>
          <w:b/>
        </w:rPr>
        <w:t>Phone:</w:t>
      </w:r>
      <w:r>
        <w:tab/>
      </w:r>
      <w:r w:rsidR="00792FDD">
        <w:t>+61 2</w:t>
      </w:r>
      <w:r>
        <w:t xml:space="preserve"> 6210 </w:t>
      </w:r>
      <w:r w:rsidR="00C011F9">
        <w:t>4701</w:t>
      </w:r>
    </w:p>
    <w:p w14:paraId="27D4081A" w14:textId="0B2BA3B6" w:rsidR="00F27E0D" w:rsidRPr="001C70F6" w:rsidRDefault="00F27E0D" w:rsidP="00792FDD">
      <w:pPr>
        <w:pStyle w:val="APVMAAddress"/>
        <w:tabs>
          <w:tab w:val="clear" w:pos="1361"/>
          <w:tab w:val="left" w:pos="851"/>
        </w:tabs>
        <w:spacing w:after="40" w:line="240" w:lineRule="exact"/>
        <w:ind w:left="0"/>
        <w:rPr>
          <w:lang w:val="fr-FR"/>
        </w:rPr>
      </w:pPr>
      <w:r w:rsidRPr="001C70F6">
        <w:rPr>
          <w:b/>
          <w:lang w:val="fr-FR"/>
        </w:rPr>
        <w:t>Fax:</w:t>
      </w:r>
      <w:r w:rsidRPr="001C70F6">
        <w:rPr>
          <w:lang w:val="fr-FR"/>
        </w:rPr>
        <w:tab/>
      </w:r>
      <w:r w:rsidR="00792FDD">
        <w:rPr>
          <w:lang w:val="fr-FR"/>
        </w:rPr>
        <w:t>+61 2</w:t>
      </w:r>
      <w:r w:rsidRPr="001C70F6">
        <w:rPr>
          <w:lang w:val="fr-FR"/>
        </w:rPr>
        <w:t xml:space="preserve"> 6210 </w:t>
      </w:r>
      <w:r w:rsidR="00C011F9">
        <w:t>4721</w:t>
      </w:r>
    </w:p>
    <w:p w14:paraId="0C47A44A" w14:textId="3F3712C9" w:rsidR="00F27E0D" w:rsidRDefault="00F27E0D" w:rsidP="00792FDD">
      <w:pPr>
        <w:pStyle w:val="APVMAAddress"/>
        <w:tabs>
          <w:tab w:val="clear" w:pos="1361"/>
          <w:tab w:val="left" w:pos="851"/>
        </w:tabs>
        <w:spacing w:after="40" w:line="240" w:lineRule="exact"/>
        <w:ind w:left="0"/>
        <w:rPr>
          <w:lang w:val="fr-FR"/>
        </w:rPr>
      </w:pPr>
      <w:r w:rsidRPr="001C70F6">
        <w:rPr>
          <w:b/>
          <w:lang w:val="fr-FR"/>
        </w:rPr>
        <w:t>Email:</w:t>
      </w:r>
      <w:r w:rsidRPr="001C70F6">
        <w:rPr>
          <w:lang w:val="fr-FR"/>
        </w:rPr>
        <w:tab/>
      </w:r>
      <w:hyperlink r:id="rId25" w:history="1">
        <w:r w:rsidR="00792FDD" w:rsidRPr="006B16AF">
          <w:rPr>
            <w:rStyle w:val="Hyperlink"/>
          </w:rPr>
          <w:t>enquiries</w:t>
        </w:r>
        <w:r w:rsidR="00792FDD" w:rsidRPr="006B16AF">
          <w:rPr>
            <w:rStyle w:val="Hyperlink"/>
            <w:lang w:val="fr-FR"/>
          </w:rPr>
          <w:t>@apvma.gov.au</w:t>
        </w:r>
      </w:hyperlink>
    </w:p>
    <w:p w14:paraId="3376725E" w14:textId="77777777" w:rsidR="00F27E0D" w:rsidRPr="001C70F6" w:rsidRDefault="00F27E0D" w:rsidP="006A438E">
      <w:pPr>
        <w:pStyle w:val="APVMAPreliminariesH2"/>
        <w:spacing w:before="360"/>
        <w:rPr>
          <w:lang w:val="fr-FR"/>
        </w:rPr>
      </w:pPr>
      <w:bookmarkStart w:id="2" w:name="_Toc507406650"/>
      <w:r w:rsidRPr="001C70F6">
        <w:rPr>
          <w:lang w:val="fr-FR"/>
        </w:rPr>
        <w:t>Further information</w:t>
      </w:r>
      <w:bookmarkEnd w:id="2"/>
    </w:p>
    <w:p w14:paraId="620E3E90" w14:textId="77777777" w:rsidR="00F27E0D" w:rsidRDefault="00F27E0D" w:rsidP="00792FDD">
      <w:pPr>
        <w:pStyle w:val="APVMAText"/>
        <w:spacing w:before="120" w:after="120"/>
      </w:pPr>
      <w:r>
        <w:t xml:space="preserve">Further information can be obtained via the contact details provided above. </w:t>
      </w:r>
    </w:p>
    <w:p w14:paraId="5782FFEA" w14:textId="77777777" w:rsidR="00F27E0D" w:rsidRDefault="00F27E0D" w:rsidP="00792FDD">
      <w:pPr>
        <w:pStyle w:val="APVMAText"/>
        <w:spacing w:before="120" w:after="120"/>
      </w:pPr>
      <w:r>
        <w:t>Copies of full technical evaluation reports covering toxicology, occupational health and safety aspects, residues in food and environmental aspects are available from the APVMA on request.</w:t>
      </w:r>
    </w:p>
    <w:p w14:paraId="30B32C18" w14:textId="77777777" w:rsidR="006A438E" w:rsidRDefault="00F27E0D" w:rsidP="006A438E">
      <w:pPr>
        <w:pStyle w:val="APVMAText"/>
        <w:spacing w:before="120" w:after="120"/>
        <w:rPr>
          <w:rStyle w:val="Hyperlink"/>
        </w:rPr>
        <w:sectPr w:rsidR="006A438E">
          <w:pgSz w:w="11906" w:h="16838" w:code="9"/>
          <w:pgMar w:top="2835" w:right="1134" w:bottom="1134" w:left="1134" w:header="1701" w:footer="680" w:gutter="0"/>
          <w:pgNumType w:fmt="lowerRoman"/>
          <w:cols w:space="708"/>
          <w:docGrid w:linePitch="360"/>
        </w:sectPr>
      </w:pPr>
      <w:r>
        <w:t>Further information on public release summaries can be found on the APVMA website:</w:t>
      </w:r>
      <w:r>
        <w:rPr>
          <w:color w:val="0000FF"/>
        </w:rPr>
        <w:t xml:space="preserve"> </w:t>
      </w:r>
      <w:hyperlink r:id="rId26" w:history="1">
        <w:r w:rsidR="006A438E" w:rsidRPr="006B16AF">
          <w:rPr>
            <w:rStyle w:val="Hyperlink"/>
          </w:rPr>
          <w:t>www.apvma.gov.au</w:t>
        </w:r>
      </w:hyperlink>
      <w:r w:rsidR="006A438E">
        <w:rPr>
          <w:rStyle w:val="Hyperlink"/>
        </w:rPr>
        <w:t>.</w:t>
      </w:r>
    </w:p>
    <w:p w14:paraId="4D1DA96C" w14:textId="77777777" w:rsidR="00F27E0D" w:rsidRDefault="00F27E0D">
      <w:pPr>
        <w:pStyle w:val="Heading1"/>
      </w:pPr>
      <w:bookmarkStart w:id="3" w:name="_Toc507406651"/>
      <w:r>
        <w:lastRenderedPageBreak/>
        <w:t>Introduction</w:t>
      </w:r>
      <w:bookmarkEnd w:id="3"/>
    </w:p>
    <w:p w14:paraId="26469C6D" w14:textId="55F9FBBD" w:rsidR="00CA62DB" w:rsidRDefault="00CA62DB" w:rsidP="00CA62DB">
      <w:pPr>
        <w:pStyle w:val="Heading2"/>
      </w:pPr>
      <w:bookmarkStart w:id="4" w:name="_Toc507406652"/>
      <w:r>
        <w:t>Applicant</w:t>
      </w:r>
      <w:bookmarkEnd w:id="4"/>
    </w:p>
    <w:p w14:paraId="7DEBD2E4" w14:textId="01D4C9E4" w:rsidR="00CA62DB" w:rsidRDefault="00CA62DB">
      <w:pPr>
        <w:pStyle w:val="APVMAText"/>
      </w:pPr>
      <w:r w:rsidRPr="00CA62DB">
        <w:t>Syngenta Australia Pty Ltd</w:t>
      </w:r>
    </w:p>
    <w:p w14:paraId="26D1CC71" w14:textId="599CDB73" w:rsidR="00CA62DB" w:rsidRDefault="00CA62DB" w:rsidP="00CA62DB">
      <w:pPr>
        <w:pStyle w:val="Heading2"/>
      </w:pPr>
      <w:bookmarkStart w:id="5" w:name="_Toc507406653"/>
      <w:r>
        <w:t>Purpose of application</w:t>
      </w:r>
      <w:bookmarkEnd w:id="5"/>
    </w:p>
    <w:p w14:paraId="616C5A94" w14:textId="7E44BBCC" w:rsidR="00CA62DB" w:rsidRDefault="00CA62DB">
      <w:pPr>
        <w:pStyle w:val="APVMAText"/>
      </w:pPr>
      <w:r w:rsidRPr="00CA62DB">
        <w:t xml:space="preserve">Syngenta Australia Pty Ltd has applied to the APVMA for registration of the new product </w:t>
      </w:r>
      <w:r w:rsidR="006A438E" w:rsidRPr="00D00A9C">
        <w:t xml:space="preserve">Miravis Fungicide </w:t>
      </w:r>
      <w:r w:rsidRPr="00CA62DB">
        <w:t xml:space="preserve">containing </w:t>
      </w:r>
      <w:r>
        <w:t>200</w:t>
      </w:r>
      <w:r w:rsidRPr="00CA62DB">
        <w:t xml:space="preserve"> g/L </w:t>
      </w:r>
      <w:r>
        <w:t>pydiflumetofen</w:t>
      </w:r>
      <w:r w:rsidR="00794D83">
        <w:t xml:space="preserve"> in a</w:t>
      </w:r>
      <w:r w:rsidRPr="00CA62DB">
        <w:t xml:space="preserve"> </w:t>
      </w:r>
      <w:r w:rsidR="00794D83">
        <w:t>suspension concentrate (S</w:t>
      </w:r>
      <w:r w:rsidRPr="00CA62DB">
        <w:t>C) formulation.</w:t>
      </w:r>
    </w:p>
    <w:p w14:paraId="3AFA185E" w14:textId="35AFAB18" w:rsidR="00F27E0D" w:rsidRDefault="00F27E0D">
      <w:pPr>
        <w:pStyle w:val="APVMAText"/>
      </w:pPr>
      <w:r>
        <w:t xml:space="preserve">This publication provides a summary of the data reviewed and an outline of the regulatory considerations for the proposed registration </w:t>
      </w:r>
      <w:r w:rsidRPr="00804345">
        <w:t xml:space="preserve">of </w:t>
      </w:r>
      <w:r w:rsidR="00D00A9C" w:rsidRPr="00D00A9C">
        <w:t>MIRAVIS FUNGICIDE</w:t>
      </w:r>
      <w:r w:rsidRPr="00804345">
        <w:t>,</w:t>
      </w:r>
      <w:r>
        <w:t xml:space="preserve"> and approva</w:t>
      </w:r>
      <w:r w:rsidR="006A438E">
        <w:t xml:space="preserve">l of the new active constituent </w:t>
      </w:r>
      <w:r w:rsidR="00CA62DB">
        <w:t>pydiflumetofen</w:t>
      </w:r>
      <w:r>
        <w:t>.</w:t>
      </w:r>
    </w:p>
    <w:p w14:paraId="5B8D2444" w14:textId="7A54B961" w:rsidR="00F27E0D" w:rsidRDefault="00804345">
      <w:r w:rsidRPr="00804345">
        <w:t xml:space="preserve">The active </w:t>
      </w:r>
      <w:r>
        <w:t>pydiflumetofen</w:t>
      </w:r>
      <w:r w:rsidRPr="00804345">
        <w:t xml:space="preserve"> as well as the end-use product will be manufactured overseas and imported into Australia.</w:t>
      </w:r>
    </w:p>
    <w:p w14:paraId="50B51B52" w14:textId="77777777" w:rsidR="00F27E0D" w:rsidRDefault="00F27E0D"/>
    <w:p w14:paraId="4EE5F1BA" w14:textId="27C6FBA5" w:rsidR="00F27E0D" w:rsidRDefault="00804345" w:rsidP="00804345">
      <w:pPr>
        <w:pStyle w:val="Heading2"/>
      </w:pPr>
      <w:bookmarkStart w:id="6" w:name="_Toc507406654"/>
      <w:r>
        <w:t>Product claims and use pattern</w:t>
      </w:r>
      <w:bookmarkEnd w:id="6"/>
    </w:p>
    <w:p w14:paraId="2DAC723D" w14:textId="518C9B8B" w:rsidR="00794D83" w:rsidRDefault="006A438E" w:rsidP="00794D83">
      <w:pPr>
        <w:pStyle w:val="APVMAText"/>
      </w:pPr>
      <w:r w:rsidRPr="005F3696">
        <w:t>Miravis Fungicide</w:t>
      </w:r>
      <w:r>
        <w:t xml:space="preserve"> </w:t>
      </w:r>
      <w:r w:rsidR="00794D83">
        <w:t xml:space="preserve">is </w:t>
      </w:r>
      <w:r w:rsidR="00034505">
        <w:t>proposed</w:t>
      </w:r>
      <w:r w:rsidR="00794D83">
        <w:t xml:space="preserve"> for use as a </w:t>
      </w:r>
      <w:r w:rsidR="00034505">
        <w:t xml:space="preserve">broad-spectrum </w:t>
      </w:r>
      <w:r w:rsidR="00794D83">
        <w:t>fungicide in canola, grapes and potatoes.</w:t>
      </w:r>
    </w:p>
    <w:p w14:paraId="5AC08BFB" w14:textId="75CDE07D" w:rsidR="00804345" w:rsidRDefault="00794D83" w:rsidP="00794D83">
      <w:pPr>
        <w:pStyle w:val="APVMAText"/>
      </w:pPr>
      <w:r>
        <w:t>The proposed product use pattern is for control of Black leg (</w:t>
      </w:r>
      <w:r w:rsidRPr="00873317">
        <w:rPr>
          <w:i/>
        </w:rPr>
        <w:t>Leptosphaeria maculans</w:t>
      </w:r>
      <w:r>
        <w:t>) and White leaf spot (</w:t>
      </w:r>
      <w:r w:rsidRPr="00873317">
        <w:rPr>
          <w:i/>
        </w:rPr>
        <w:t>Mycosphaerella capsellae</w:t>
      </w:r>
      <w:r>
        <w:t>) of canola, applied at a rate of 300 to 450 mL/ha when combined with use of a seed treatment or in-furrow treatment, or at a rate of 450 to 600 mL/ha without prior use of seed treatment or in-furrow treatment. The product is also proposed for control of Powdery mildew (</w:t>
      </w:r>
      <w:r w:rsidRPr="00873317">
        <w:rPr>
          <w:i/>
        </w:rPr>
        <w:t>Uncinular necator</w:t>
      </w:r>
      <w:r>
        <w:t>) of grapes (wine, table and dried fruit production) applied at a rate of 20 mL/100L using either dilute or concentrate methods, and applied as part of a regular spray program for powdery mildew control until pre-flowering, and for control of Target spot/early blight (</w:t>
      </w:r>
      <w:r w:rsidRPr="005F3696">
        <w:rPr>
          <w:i/>
        </w:rPr>
        <w:t>Alternaria solani</w:t>
      </w:r>
      <w:r>
        <w:t>) of potatoes, applied at a rate of 250 to 375 mL/ha when used in a protectant program.</w:t>
      </w:r>
    </w:p>
    <w:p w14:paraId="17B0AC28" w14:textId="6B9EAC58" w:rsidR="00804345" w:rsidRDefault="00804345" w:rsidP="00804345">
      <w:pPr>
        <w:pStyle w:val="Heading2"/>
      </w:pPr>
      <w:bookmarkStart w:id="7" w:name="_Toc507406655"/>
      <w:r>
        <w:t>Mode of Action</w:t>
      </w:r>
      <w:bookmarkEnd w:id="7"/>
    </w:p>
    <w:p w14:paraId="0E59CF63" w14:textId="574C8660" w:rsidR="00A828BE" w:rsidRPr="00A828BE" w:rsidRDefault="00A828BE" w:rsidP="00A828BE">
      <w:pPr>
        <w:pStyle w:val="APVMAText"/>
      </w:pPr>
      <w:r w:rsidRPr="00A828BE">
        <w:t>Pydiflumetofen is a new broad-spectrum fungicide of the chemical group of N-methoxy-(phenyl-ethyl)-pyrazole-carboxamide</w:t>
      </w:r>
      <w:r w:rsidR="00790235">
        <w:t>s</w:t>
      </w:r>
      <w:r w:rsidR="00694383">
        <w:t xml:space="preserve">. </w:t>
      </w:r>
      <w:r w:rsidRPr="00A828BE">
        <w:t xml:space="preserve">The mode of action of the active substance is respiration inhibition at complex II (Succinate-Dehydrogenase) in mitochondria of phytopathogenic fungi, thus pydiflumetofen belongs to the </w:t>
      </w:r>
      <w:r w:rsidRPr="00694383">
        <w:t>SDHI</w:t>
      </w:r>
      <w:r w:rsidRPr="00A828BE">
        <w:t xml:space="preserve"> fungicide group</w:t>
      </w:r>
      <w:r w:rsidR="00D00A9C">
        <w:t xml:space="preserve"> (Group 7)</w:t>
      </w:r>
      <w:r w:rsidRPr="00A828BE">
        <w:t xml:space="preserve">. </w:t>
      </w:r>
    </w:p>
    <w:p w14:paraId="66775DB6" w14:textId="7D17EF12" w:rsidR="00F27E0D" w:rsidRDefault="00804345" w:rsidP="00804345">
      <w:pPr>
        <w:pStyle w:val="Heading2"/>
      </w:pPr>
      <w:bookmarkStart w:id="8" w:name="_Toc507406656"/>
      <w:r>
        <w:t>Overseas registrations</w:t>
      </w:r>
      <w:bookmarkEnd w:id="8"/>
    </w:p>
    <w:p w14:paraId="43F02B46" w14:textId="77777777" w:rsidR="006A438E" w:rsidRDefault="006A438E" w:rsidP="00794D83">
      <w:pPr>
        <w:pStyle w:val="APVMAText"/>
        <w:sectPr w:rsidR="006A438E" w:rsidSect="006A438E">
          <w:headerReference w:type="default" r:id="rId27"/>
          <w:pgSz w:w="11906" w:h="16838" w:code="9"/>
          <w:pgMar w:top="2835" w:right="991" w:bottom="1134" w:left="1134" w:header="1701" w:footer="680" w:gutter="0"/>
          <w:cols w:space="708"/>
          <w:docGrid w:linePitch="360"/>
        </w:sectPr>
      </w:pPr>
      <w:r w:rsidRPr="005F3696">
        <w:t>Miravis Fungicide</w:t>
      </w:r>
      <w:r w:rsidRPr="00794D83">
        <w:t xml:space="preserve"> </w:t>
      </w:r>
      <w:r w:rsidR="00794D83" w:rsidRPr="00794D83">
        <w:t>is registered for use in potatoes and grapes in New Zealand</w:t>
      </w:r>
      <w:r w:rsidR="00794D83">
        <w:t>,</w:t>
      </w:r>
      <w:r w:rsidR="00794D83" w:rsidRPr="00794D83">
        <w:t xml:space="preserve"> and products containing pydiflumetofen in combination with difenoconazole are approved for use in soybean, peanuts, tomatoes, pe</w:t>
      </w:r>
      <w:r w:rsidR="00790235">
        <w:t xml:space="preserve">ppers and grapes in Argentina. </w:t>
      </w:r>
      <w:r w:rsidR="00794D83" w:rsidRPr="00794D83">
        <w:t>Submissions for registration of products containing pydiflumetofen have also been made in a number of other overseas countries.</w:t>
      </w:r>
    </w:p>
    <w:p w14:paraId="0C52F399" w14:textId="2FB3DC6C" w:rsidR="00F27E0D" w:rsidRDefault="00F27E0D">
      <w:pPr>
        <w:pStyle w:val="Heading1"/>
        <w:rPr>
          <w:lang w:val="en-GB"/>
        </w:rPr>
      </w:pPr>
      <w:bookmarkStart w:id="9" w:name="_Toc507406657"/>
      <w:r>
        <w:rPr>
          <w:lang w:val="en-GB"/>
        </w:rPr>
        <w:lastRenderedPageBreak/>
        <w:t>Chemistry and manufacture</w:t>
      </w:r>
      <w:bookmarkEnd w:id="9"/>
    </w:p>
    <w:p w14:paraId="43CB19CB" w14:textId="77777777" w:rsidR="00566EA6" w:rsidRPr="005A3E0B" w:rsidRDefault="00566EA6" w:rsidP="00566EA6">
      <w:pPr>
        <w:keepNext/>
        <w:keepLines/>
        <w:numPr>
          <w:ilvl w:val="1"/>
          <w:numId w:val="2"/>
        </w:numPr>
        <w:tabs>
          <w:tab w:val="clear" w:pos="680"/>
          <w:tab w:val="num" w:pos="907"/>
        </w:tabs>
        <w:suppressAutoHyphens/>
        <w:spacing w:before="400" w:after="240" w:line="320" w:lineRule="exact"/>
        <w:ind w:left="907" w:hanging="907"/>
        <w:outlineLvl w:val="1"/>
        <w:rPr>
          <w:rFonts w:ascii="Trebuchet MS" w:hAnsi="Trebuchet MS" w:cs="Arial"/>
          <w:b/>
          <w:color w:val="365860"/>
          <w:sz w:val="28"/>
          <w:szCs w:val="28"/>
          <w:u w:color="000000"/>
        </w:rPr>
      </w:pPr>
      <w:r w:rsidRPr="005A3E0B">
        <w:rPr>
          <w:rFonts w:ascii="Trebuchet MS" w:hAnsi="Trebuchet MS" w:cs="Arial"/>
          <w:b/>
          <w:color w:val="365860"/>
          <w:sz w:val="28"/>
          <w:szCs w:val="28"/>
          <w:u w:color="000000"/>
        </w:rPr>
        <w:t>Active constituent</w:t>
      </w:r>
    </w:p>
    <w:p w14:paraId="714E4C88" w14:textId="77777777" w:rsidR="00566EA6" w:rsidRDefault="00566EA6" w:rsidP="00566EA6">
      <w:pPr>
        <w:pStyle w:val="APVMAText"/>
        <w:rPr>
          <w:lang w:val="en-GB"/>
        </w:rPr>
      </w:pPr>
      <w:r w:rsidRPr="00BA061B">
        <w:rPr>
          <w:lang w:val="en-GB"/>
        </w:rPr>
        <w:t xml:space="preserve">The active constituent </w:t>
      </w:r>
      <w:r>
        <w:rPr>
          <w:lang w:val="en-GB"/>
        </w:rPr>
        <w:t>p</w:t>
      </w:r>
      <w:r w:rsidRPr="00BA061B">
        <w:rPr>
          <w:lang w:val="en-GB"/>
        </w:rPr>
        <w:t xml:space="preserve">ydiflumetofen will be manufactured overseas, and imported into Australia as the fully formulated end use product. </w:t>
      </w:r>
    </w:p>
    <w:p w14:paraId="38E83F75" w14:textId="63DAF870" w:rsidR="00566EA6" w:rsidRDefault="00566EA6" w:rsidP="00566EA6">
      <w:pPr>
        <w:pStyle w:val="APVMAText"/>
      </w:pPr>
      <w:r w:rsidRPr="00BA061B">
        <w:rPr>
          <w:lang w:val="en-GB"/>
        </w:rPr>
        <w:t xml:space="preserve">Pydiflumetofen is a white powder at room temperatures, with low volatility. It has very low </w:t>
      </w:r>
      <w:r>
        <w:rPr>
          <w:lang w:val="en-GB"/>
        </w:rPr>
        <w:t>solubility in water,</w:t>
      </w:r>
      <w:r w:rsidRPr="00BA061B">
        <w:rPr>
          <w:lang w:val="en-GB"/>
        </w:rPr>
        <w:t xml:space="preserve"> while being </w:t>
      </w:r>
      <w:r>
        <w:rPr>
          <w:lang w:val="en-GB"/>
        </w:rPr>
        <w:t xml:space="preserve">slightly soluble in aliphatic </w:t>
      </w:r>
      <w:r w:rsidRPr="00BA061B">
        <w:rPr>
          <w:lang w:val="en-GB"/>
        </w:rPr>
        <w:t>hydrocarbon solvent</w:t>
      </w:r>
      <w:r>
        <w:rPr>
          <w:lang w:val="en-GB"/>
        </w:rPr>
        <w:t>s, and very</w:t>
      </w:r>
      <w:r w:rsidRPr="00BA061B">
        <w:rPr>
          <w:lang w:val="en-GB"/>
        </w:rPr>
        <w:t xml:space="preserve"> soluble in polar organic solvents. It is not explosive, flammable or oxidising, and is stable on storage.</w:t>
      </w:r>
    </w:p>
    <w:tbl>
      <w:tblPr>
        <w:tblW w:w="0" w:type="auto"/>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Caption w:val="Active constituent pydiflumetofen"/>
        <w:tblDescription w:val="Table lists key identifying information of pydiflumetofen active constituent, including its chemical (IUPAC) name, CAS registry number, empirical formula, molecular weight, structural formula and chemical family."/>
      </w:tblPr>
      <w:tblGrid>
        <w:gridCol w:w="2586"/>
        <w:gridCol w:w="6944"/>
      </w:tblGrid>
      <w:tr w:rsidR="00566EA6" w14:paraId="6A813377" w14:textId="77777777" w:rsidTr="00F85012">
        <w:tc>
          <w:tcPr>
            <w:tcW w:w="2586" w:type="dxa"/>
            <w:shd w:val="clear" w:color="auto" w:fill="E6E6E6"/>
          </w:tcPr>
          <w:p w14:paraId="40D747BE" w14:textId="77777777" w:rsidR="00566EA6" w:rsidRDefault="00566EA6" w:rsidP="00F85012">
            <w:pPr>
              <w:pStyle w:val="APVMATableHead"/>
              <w:spacing w:before="120"/>
            </w:pPr>
            <w:r>
              <w:lastRenderedPageBreak/>
              <w:t>Common Name (ISO):</w:t>
            </w:r>
          </w:p>
        </w:tc>
        <w:tc>
          <w:tcPr>
            <w:tcW w:w="6944" w:type="dxa"/>
          </w:tcPr>
          <w:p w14:paraId="1DE80E81" w14:textId="77777777" w:rsidR="00566EA6" w:rsidRDefault="00566EA6" w:rsidP="00F85012">
            <w:pPr>
              <w:pStyle w:val="APVMATableText"/>
            </w:pPr>
            <w:r w:rsidRPr="00BA061B">
              <w:t>Pydiflumetofen</w:t>
            </w:r>
          </w:p>
        </w:tc>
      </w:tr>
      <w:tr w:rsidR="00566EA6" w14:paraId="022C248F" w14:textId="77777777" w:rsidTr="00F85012">
        <w:tc>
          <w:tcPr>
            <w:tcW w:w="2586" w:type="dxa"/>
            <w:shd w:val="clear" w:color="auto" w:fill="E6E6E6"/>
          </w:tcPr>
          <w:p w14:paraId="79A05CCE" w14:textId="77777777" w:rsidR="00566EA6" w:rsidRDefault="00566EA6" w:rsidP="00F85012">
            <w:pPr>
              <w:pStyle w:val="APVMATableHead"/>
              <w:spacing w:before="120"/>
            </w:pPr>
            <w:r>
              <w:t>Chemical Name (IUPAC):</w:t>
            </w:r>
          </w:p>
        </w:tc>
        <w:tc>
          <w:tcPr>
            <w:tcW w:w="6944" w:type="dxa"/>
          </w:tcPr>
          <w:p w14:paraId="18153F5A" w14:textId="77777777" w:rsidR="00566EA6" w:rsidRDefault="00566EA6" w:rsidP="00F85012">
            <w:pPr>
              <w:pStyle w:val="APVMATableText"/>
            </w:pPr>
            <w:r w:rsidRPr="00436D5F">
              <w:t>3-(Difluoromethyl)-</w:t>
            </w:r>
            <w:r w:rsidRPr="00436D5F">
              <w:rPr>
                <w:i/>
              </w:rPr>
              <w:t>N</w:t>
            </w:r>
            <w:r w:rsidRPr="00436D5F">
              <w:t>-methoxy-1-methyl</w:t>
            </w:r>
            <w:r w:rsidRPr="00436D5F">
              <w:rPr>
                <w:i/>
              </w:rPr>
              <w:t>-N</w:t>
            </w:r>
            <w:r w:rsidRPr="00436D5F">
              <w:t>-[(</w:t>
            </w:r>
            <w:r w:rsidRPr="00436D5F">
              <w:rPr>
                <w:i/>
              </w:rPr>
              <w:t>RS</w:t>
            </w:r>
            <w:r w:rsidRPr="00436D5F">
              <w:t>)-1-methyl-2-(2,4,6-trichlorophenyl)ethyl]pyrazole-4-carboxamide</w:t>
            </w:r>
          </w:p>
        </w:tc>
      </w:tr>
      <w:tr w:rsidR="00973F25" w14:paraId="653636C2" w14:textId="77777777" w:rsidTr="00F85012">
        <w:tc>
          <w:tcPr>
            <w:tcW w:w="2586" w:type="dxa"/>
            <w:shd w:val="clear" w:color="auto" w:fill="E6E6E6"/>
          </w:tcPr>
          <w:p w14:paraId="7229AA51" w14:textId="19163F2F" w:rsidR="00973F25" w:rsidRDefault="00973F25" w:rsidP="00F85012">
            <w:pPr>
              <w:pStyle w:val="APVMATableHead"/>
              <w:spacing w:before="120"/>
            </w:pPr>
            <w:r>
              <w:t>manufacturer’s codes:</w:t>
            </w:r>
          </w:p>
        </w:tc>
        <w:tc>
          <w:tcPr>
            <w:tcW w:w="6944" w:type="dxa"/>
          </w:tcPr>
          <w:p w14:paraId="52EC8B3E" w14:textId="77777777" w:rsidR="00973F25" w:rsidRDefault="00973F25" w:rsidP="00F85012">
            <w:pPr>
              <w:pStyle w:val="APVMATableText"/>
            </w:pPr>
            <w:r>
              <w:t>Pydiflumetofen: SYN545974</w:t>
            </w:r>
          </w:p>
          <w:p w14:paraId="0A2ACEAA" w14:textId="77777777" w:rsidR="00973F25" w:rsidRDefault="00973F25" w:rsidP="00F85012">
            <w:pPr>
              <w:pStyle w:val="APVMATableText"/>
            </w:pPr>
            <w:r>
              <w:t>S-enantiomer: SYN546968</w:t>
            </w:r>
          </w:p>
          <w:p w14:paraId="4377C7BB" w14:textId="1DE53939" w:rsidR="00973F25" w:rsidRPr="00436D5F" w:rsidRDefault="00973F25" w:rsidP="00F85012">
            <w:pPr>
              <w:pStyle w:val="APVMATableText"/>
            </w:pPr>
            <w:r>
              <w:t>R-enantiomer: SYN546969</w:t>
            </w:r>
          </w:p>
        </w:tc>
      </w:tr>
      <w:tr w:rsidR="00566EA6" w14:paraId="2A70C182" w14:textId="77777777" w:rsidTr="00F85012">
        <w:tc>
          <w:tcPr>
            <w:tcW w:w="2586" w:type="dxa"/>
            <w:shd w:val="clear" w:color="auto" w:fill="E6E6E6"/>
          </w:tcPr>
          <w:p w14:paraId="728332A6" w14:textId="57A6A4DC" w:rsidR="00566EA6" w:rsidRDefault="00566EA6" w:rsidP="00F85012">
            <w:pPr>
              <w:pStyle w:val="APVMATableHead"/>
              <w:spacing w:before="120"/>
            </w:pPr>
            <w:r>
              <w:t>CAS Registry Number:</w:t>
            </w:r>
          </w:p>
        </w:tc>
        <w:tc>
          <w:tcPr>
            <w:tcW w:w="6944" w:type="dxa"/>
          </w:tcPr>
          <w:p w14:paraId="2E3B0D0F" w14:textId="77777777" w:rsidR="00566EA6" w:rsidRDefault="00566EA6" w:rsidP="00F85012">
            <w:pPr>
              <w:pStyle w:val="APVMATableText"/>
            </w:pPr>
            <w:r w:rsidRPr="00436D5F">
              <w:t>1228284-64-7</w:t>
            </w:r>
          </w:p>
        </w:tc>
      </w:tr>
      <w:tr w:rsidR="00566EA6" w14:paraId="36E2F9A0" w14:textId="77777777" w:rsidTr="00F85012">
        <w:tc>
          <w:tcPr>
            <w:tcW w:w="2586" w:type="dxa"/>
            <w:shd w:val="clear" w:color="auto" w:fill="E6E6E6"/>
          </w:tcPr>
          <w:p w14:paraId="42BC4F86" w14:textId="77777777" w:rsidR="00566EA6" w:rsidRDefault="00566EA6" w:rsidP="00F85012">
            <w:pPr>
              <w:pStyle w:val="APVMATableHead"/>
              <w:spacing w:before="120"/>
            </w:pPr>
            <w:r>
              <w:t>Empirical Formula:</w:t>
            </w:r>
          </w:p>
        </w:tc>
        <w:tc>
          <w:tcPr>
            <w:tcW w:w="6944" w:type="dxa"/>
          </w:tcPr>
          <w:p w14:paraId="4D43A377" w14:textId="77777777" w:rsidR="00566EA6" w:rsidRDefault="00566EA6" w:rsidP="00F85012">
            <w:pPr>
              <w:pStyle w:val="APVMATableText"/>
            </w:pPr>
            <w:r w:rsidRPr="00436D5F">
              <w:t>C</w:t>
            </w:r>
            <w:r w:rsidRPr="00436D5F">
              <w:rPr>
                <w:vertAlign w:val="subscript"/>
              </w:rPr>
              <w:t>16</w:t>
            </w:r>
            <w:r w:rsidRPr="00436D5F">
              <w:t>H</w:t>
            </w:r>
            <w:r w:rsidRPr="00436D5F">
              <w:rPr>
                <w:vertAlign w:val="subscript"/>
              </w:rPr>
              <w:t>16</w:t>
            </w:r>
            <w:r w:rsidRPr="00436D5F">
              <w:t>Cl</w:t>
            </w:r>
            <w:r w:rsidRPr="00436D5F">
              <w:rPr>
                <w:vertAlign w:val="subscript"/>
              </w:rPr>
              <w:t>3</w:t>
            </w:r>
            <w:r w:rsidRPr="00436D5F">
              <w:t>F</w:t>
            </w:r>
            <w:r w:rsidRPr="00436D5F">
              <w:rPr>
                <w:vertAlign w:val="subscript"/>
              </w:rPr>
              <w:t>2</w:t>
            </w:r>
            <w:r w:rsidRPr="00436D5F">
              <w:t>N</w:t>
            </w:r>
            <w:r w:rsidRPr="00436D5F">
              <w:rPr>
                <w:vertAlign w:val="subscript"/>
              </w:rPr>
              <w:t>3</w:t>
            </w:r>
            <w:r w:rsidRPr="00436D5F">
              <w:t>O</w:t>
            </w:r>
            <w:r w:rsidRPr="00436D5F">
              <w:rPr>
                <w:vertAlign w:val="subscript"/>
              </w:rPr>
              <w:t>2</w:t>
            </w:r>
          </w:p>
        </w:tc>
      </w:tr>
      <w:tr w:rsidR="00566EA6" w14:paraId="01FD8EE1" w14:textId="77777777" w:rsidTr="00F85012">
        <w:tc>
          <w:tcPr>
            <w:tcW w:w="2586" w:type="dxa"/>
            <w:shd w:val="clear" w:color="auto" w:fill="E6E6E6"/>
          </w:tcPr>
          <w:p w14:paraId="3C8F5075" w14:textId="77777777" w:rsidR="00566EA6" w:rsidRDefault="00566EA6" w:rsidP="00F85012">
            <w:pPr>
              <w:pStyle w:val="APVMATableHead"/>
              <w:spacing w:before="120"/>
            </w:pPr>
            <w:r>
              <w:t>Molecular Weight:</w:t>
            </w:r>
          </w:p>
        </w:tc>
        <w:tc>
          <w:tcPr>
            <w:tcW w:w="6944" w:type="dxa"/>
          </w:tcPr>
          <w:p w14:paraId="610E7078" w14:textId="77777777" w:rsidR="00566EA6" w:rsidRDefault="00566EA6" w:rsidP="00F85012">
            <w:pPr>
              <w:pStyle w:val="APVMATableText"/>
            </w:pPr>
            <w:r w:rsidRPr="00436D5F">
              <w:t>426.7</w:t>
            </w:r>
          </w:p>
        </w:tc>
      </w:tr>
      <w:tr w:rsidR="00566EA6" w14:paraId="3E6C1F52" w14:textId="77777777" w:rsidTr="007B23AC">
        <w:trPr>
          <w:trHeight w:val="5429"/>
        </w:trPr>
        <w:tc>
          <w:tcPr>
            <w:tcW w:w="2586" w:type="dxa"/>
            <w:shd w:val="clear" w:color="auto" w:fill="E6E6E6"/>
          </w:tcPr>
          <w:p w14:paraId="775EF4B3" w14:textId="77777777" w:rsidR="00566EA6" w:rsidRDefault="00566EA6" w:rsidP="00F85012">
            <w:pPr>
              <w:pStyle w:val="APVMATableHead"/>
              <w:spacing w:before="120"/>
            </w:pPr>
            <w:r w:rsidRPr="00436D5F">
              <w:t>STRUCTURAL FORMULA:</w:t>
            </w:r>
          </w:p>
        </w:tc>
        <w:tc>
          <w:tcPr>
            <w:tcW w:w="6944" w:type="dxa"/>
          </w:tcPr>
          <w:p w14:paraId="10DE6241" w14:textId="77777777" w:rsidR="00566EA6" w:rsidRDefault="00566EA6" w:rsidP="00F85012">
            <w:pPr>
              <w:pStyle w:val="APVMATableText"/>
            </w:pPr>
            <w:r>
              <w:rPr>
                <w:noProof/>
                <w:lang w:eastAsia="en-AU"/>
              </w:rPr>
              <mc:AlternateContent>
                <mc:Choice Requires="wps">
                  <w:drawing>
                    <wp:anchor distT="45720" distB="45720" distL="114300" distR="114300" simplePos="0" relativeHeight="251656704" behindDoc="0" locked="0" layoutInCell="1" allowOverlap="1" wp14:anchorId="660FE805" wp14:editId="5814C000">
                      <wp:simplePos x="0" y="0"/>
                      <wp:positionH relativeFrom="column">
                        <wp:posOffset>-68580</wp:posOffset>
                      </wp:positionH>
                      <wp:positionV relativeFrom="paragraph">
                        <wp:posOffset>0</wp:posOffset>
                      </wp:positionV>
                      <wp:extent cx="4486275" cy="3629025"/>
                      <wp:effectExtent l="0" t="0" r="9525"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629025"/>
                              </a:xfrm>
                              <a:prstGeom prst="rect">
                                <a:avLst/>
                              </a:prstGeom>
                              <a:solidFill>
                                <a:srgbClr val="FFFFFF"/>
                              </a:solidFill>
                              <a:ln w="9525">
                                <a:noFill/>
                                <a:miter lim="800000"/>
                                <a:headEnd/>
                                <a:tailEnd/>
                              </a:ln>
                            </wps:spPr>
                            <wps:txbx>
                              <w:txbxContent>
                                <w:p w14:paraId="7FE1CF66" w14:textId="77777777" w:rsidR="006719DB" w:rsidRDefault="006719DB" w:rsidP="00566EA6">
                                  <w:pPr>
                                    <w:jc w:val="center"/>
                                  </w:pPr>
                                  <w:r w:rsidRPr="00496DBC">
                                    <w:rPr>
                                      <w:noProof/>
                                      <w:lang w:eastAsia="en-AU"/>
                                    </w:rPr>
                                    <w:drawing>
                                      <wp:inline distT="0" distB="0" distL="0" distR="0" wp14:anchorId="64EB90D3" wp14:editId="343FE14B">
                                        <wp:extent cx="1206921" cy="1143000"/>
                                        <wp:effectExtent l="0" t="0" r="0" b="0"/>
                                        <wp:docPr id="25" name="Picture 25" descr="Structural formula of pydiflumetofen" title="Pydiflumetofen 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4204" cy="1149897"/>
                                                </a:xfrm>
                                                <a:prstGeom prst="rect">
                                                  <a:avLst/>
                                                </a:prstGeom>
                                                <a:noFill/>
                                                <a:ln>
                                                  <a:noFill/>
                                                </a:ln>
                                              </pic:spPr>
                                            </pic:pic>
                                          </a:graphicData>
                                        </a:graphic>
                                      </wp:inline>
                                    </w:drawing>
                                  </w:r>
                                </w:p>
                                <w:p w14:paraId="14DE80C1" w14:textId="77777777" w:rsidR="006719DB" w:rsidRDefault="006719DB" w:rsidP="00566EA6"/>
                                <w:p w14:paraId="36FE39F7" w14:textId="09F5B5F3" w:rsidR="006719DB" w:rsidRPr="00496DBC" w:rsidRDefault="006719DB" w:rsidP="00566EA6">
                                  <w:pPr>
                                    <w:pStyle w:val="APVMATableText"/>
                                    <w:jc w:val="center"/>
                                  </w:pPr>
                                  <w:r w:rsidRPr="00496DBC">
                                    <w:t xml:space="preserve">Pydiflumetofen consists of two enantiomers: </w:t>
                                  </w:r>
                                  <w:r w:rsidRPr="005A3E0B">
                                    <w:rPr>
                                      <w:i/>
                                    </w:rPr>
                                    <w:t>S</w:t>
                                  </w:r>
                                  <w:r w:rsidRPr="00496DBC">
                                    <w:t xml:space="preserve">-isomer and </w:t>
                                  </w:r>
                                  <w:r w:rsidRPr="005A3E0B">
                                    <w:rPr>
                                      <w:i/>
                                    </w:rPr>
                                    <w:t>R</w:t>
                                  </w:r>
                                  <w:r w:rsidRPr="00496DBC">
                                    <w:t>-isomer</w:t>
                                  </w:r>
                                  <w:r>
                                    <w:t>, present in a 1:1 ratio</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ydiflumetofen enantiomers"/>
                                    <w:tblDescription w:val="S-isomer and R-isomer of pydiflumetofen"/>
                                  </w:tblPr>
                                  <w:tblGrid>
                                    <w:gridCol w:w="2671"/>
                                    <w:gridCol w:w="2790"/>
                                  </w:tblGrid>
                                  <w:tr w:rsidR="006719DB" w:rsidRPr="00496DBC" w14:paraId="183518ED" w14:textId="77777777" w:rsidTr="007B23AC">
                                    <w:trPr>
                                      <w:trHeight w:val="210"/>
                                    </w:trPr>
                                    <w:tc>
                                      <w:tcPr>
                                        <w:tcW w:w="2671" w:type="dxa"/>
                                        <w:shd w:val="clear" w:color="auto" w:fill="auto"/>
                                      </w:tcPr>
                                      <w:p w14:paraId="52028801" w14:textId="77777777" w:rsidR="006719DB" w:rsidRPr="00496DBC" w:rsidRDefault="006719DB" w:rsidP="00F85012">
                                        <w:pPr>
                                          <w:jc w:val="center"/>
                                          <w:rPr>
                                            <w:rFonts w:ascii="Times New Roman" w:hAnsi="Times New Roman"/>
                                            <w:sz w:val="24"/>
                                          </w:rPr>
                                        </w:pPr>
                                        <w:r w:rsidRPr="00496DBC">
                                          <w:rPr>
                                            <w:rFonts w:ascii="Times New Roman" w:hAnsi="Times New Roman"/>
                                            <w:i/>
                                            <w:sz w:val="24"/>
                                          </w:rPr>
                                          <w:t>S</w:t>
                                        </w:r>
                                        <w:r w:rsidRPr="00496DBC">
                                          <w:rPr>
                                            <w:rFonts w:ascii="Times New Roman" w:hAnsi="Times New Roman"/>
                                            <w:sz w:val="24"/>
                                          </w:rPr>
                                          <w:t>-isomer</w:t>
                                        </w:r>
                                      </w:p>
                                    </w:tc>
                                    <w:tc>
                                      <w:tcPr>
                                        <w:tcW w:w="2790" w:type="dxa"/>
                                        <w:shd w:val="clear" w:color="auto" w:fill="auto"/>
                                      </w:tcPr>
                                      <w:p w14:paraId="46286EF2" w14:textId="77777777" w:rsidR="006719DB" w:rsidRPr="00496DBC" w:rsidRDefault="006719DB" w:rsidP="00F85012">
                                        <w:pPr>
                                          <w:jc w:val="center"/>
                                          <w:rPr>
                                            <w:rFonts w:ascii="Times New Roman" w:hAnsi="Times New Roman"/>
                                            <w:sz w:val="24"/>
                                          </w:rPr>
                                        </w:pPr>
                                        <w:r w:rsidRPr="00496DBC">
                                          <w:rPr>
                                            <w:rFonts w:ascii="Times New Roman" w:hAnsi="Times New Roman"/>
                                            <w:i/>
                                            <w:sz w:val="24"/>
                                          </w:rPr>
                                          <w:t>R</w:t>
                                        </w:r>
                                        <w:r w:rsidRPr="00496DBC">
                                          <w:rPr>
                                            <w:rFonts w:ascii="Times New Roman" w:hAnsi="Times New Roman"/>
                                            <w:sz w:val="24"/>
                                          </w:rPr>
                                          <w:t>-isomer</w:t>
                                        </w:r>
                                      </w:p>
                                    </w:tc>
                                  </w:tr>
                                  <w:tr w:rsidR="006719DB" w:rsidRPr="00496DBC" w14:paraId="7E4A045B" w14:textId="77777777" w:rsidTr="007B23AC">
                                    <w:trPr>
                                      <w:trHeight w:val="1836"/>
                                    </w:trPr>
                                    <w:tc>
                                      <w:tcPr>
                                        <w:tcW w:w="2671" w:type="dxa"/>
                                        <w:shd w:val="clear" w:color="auto" w:fill="auto"/>
                                      </w:tcPr>
                                      <w:p w14:paraId="4809FBDD" w14:textId="77777777" w:rsidR="006719DB" w:rsidRPr="00496DBC" w:rsidRDefault="006719DB" w:rsidP="00F85012">
                                        <w:pPr>
                                          <w:jc w:val="center"/>
                                          <w:rPr>
                                            <w:rFonts w:ascii="Times New Roman" w:hAnsi="Times New Roman"/>
                                            <w:sz w:val="24"/>
                                          </w:rPr>
                                        </w:pPr>
                                        <w:r w:rsidRPr="00496DBC">
                                          <w:rPr>
                                            <w:rFonts w:ascii="Times New Roman" w:hAnsi="Times New Roman"/>
                                            <w:noProof/>
                                            <w:sz w:val="24"/>
                                            <w:lang w:eastAsia="en-AU"/>
                                          </w:rPr>
                                          <w:drawing>
                                            <wp:inline distT="0" distB="0" distL="0" distR="0" wp14:anchorId="2C8062BF" wp14:editId="3EC55EA1">
                                              <wp:extent cx="1352550" cy="1388909"/>
                                              <wp:effectExtent l="0" t="0" r="0" b="0"/>
                                              <wp:docPr id="26" name="Picture 26" descr="Structure of S-isomer of pydiflumetofen" title="Enantiomer of pydiflumet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t="-4712" b="-4578"/>
                                                      <a:stretch>
                                                        <a:fillRect/>
                                                      </a:stretch>
                                                    </pic:blipFill>
                                                    <pic:spPr bwMode="auto">
                                                      <a:xfrm>
                                                        <a:off x="0" y="0"/>
                                                        <a:ext cx="1358381" cy="1394897"/>
                                                      </a:xfrm>
                                                      <a:prstGeom prst="rect">
                                                        <a:avLst/>
                                                      </a:prstGeom>
                                                      <a:noFill/>
                                                      <a:ln>
                                                        <a:noFill/>
                                                      </a:ln>
                                                    </pic:spPr>
                                                  </pic:pic>
                                                </a:graphicData>
                                              </a:graphic>
                                            </wp:inline>
                                          </w:drawing>
                                        </w:r>
                                      </w:p>
                                    </w:tc>
                                    <w:tc>
                                      <w:tcPr>
                                        <w:tcW w:w="2790" w:type="dxa"/>
                                        <w:shd w:val="clear" w:color="auto" w:fill="auto"/>
                                      </w:tcPr>
                                      <w:p w14:paraId="421016DD" w14:textId="77777777" w:rsidR="006719DB" w:rsidRPr="00496DBC" w:rsidRDefault="006719DB" w:rsidP="00F85012">
                                        <w:pPr>
                                          <w:rPr>
                                            <w:rFonts w:ascii="Times New Roman" w:hAnsi="Times New Roman"/>
                                            <w:sz w:val="24"/>
                                          </w:rPr>
                                        </w:pPr>
                                        <w:r w:rsidRPr="00496DBC">
                                          <w:rPr>
                                            <w:rFonts w:ascii="Times New Roman" w:hAnsi="Times New Roman"/>
                                            <w:noProof/>
                                            <w:sz w:val="24"/>
                                            <w:lang w:eastAsia="en-AU"/>
                                          </w:rPr>
                                          <w:drawing>
                                            <wp:inline distT="0" distB="0" distL="0" distR="0" wp14:anchorId="75386CC9" wp14:editId="33CEED82">
                                              <wp:extent cx="1524000" cy="1500433"/>
                                              <wp:effectExtent l="0" t="0" r="0" b="5080"/>
                                              <wp:docPr id="27" name="Picture 27" descr="Structure of R-isomer of pydiflumetofen" title="Enantiomer of pydiflumet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t="-6471" b="-3453"/>
                                                      <a:stretch>
                                                        <a:fillRect/>
                                                      </a:stretch>
                                                    </pic:blipFill>
                                                    <pic:spPr bwMode="auto">
                                                      <a:xfrm>
                                                        <a:off x="0" y="0"/>
                                                        <a:ext cx="1527661" cy="1504037"/>
                                                      </a:xfrm>
                                                      <a:prstGeom prst="rect">
                                                        <a:avLst/>
                                                      </a:prstGeom>
                                                      <a:noFill/>
                                                      <a:ln>
                                                        <a:noFill/>
                                                      </a:ln>
                                                    </pic:spPr>
                                                  </pic:pic>
                                                </a:graphicData>
                                              </a:graphic>
                                            </wp:inline>
                                          </w:drawing>
                                        </w:r>
                                      </w:p>
                                    </w:tc>
                                  </w:tr>
                                </w:tbl>
                                <w:p w14:paraId="789622B9" w14:textId="77777777" w:rsidR="006719DB" w:rsidRDefault="006719DB" w:rsidP="00566E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FE805" id="_x0000_t202" coordsize="21600,21600" o:spt="202" path="m,l,21600r21600,l21600,xe">
                      <v:stroke joinstyle="miter"/>
                      <v:path gradientshapeok="t" o:connecttype="rect"/>
                    </v:shapetype>
                    <v:shape id="Text Box 2" o:spid="_x0000_s1026" type="#_x0000_t202" style="position:absolute;margin-left:-5.4pt;margin-top:0;width:353.25pt;height:285.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2y5IgIAAB4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" stroked="f">
                      <v:textbox>
                        <w:txbxContent>
                          <w:p w14:paraId="7FE1CF66" w14:textId="77777777" w:rsidR="006719DB" w:rsidRDefault="006719DB" w:rsidP="00566EA6">
                            <w:pPr>
                              <w:jc w:val="center"/>
                            </w:pPr>
                            <w:r w:rsidRPr="00496DBC">
                              <w:rPr>
                                <w:noProof/>
                                <w:lang w:eastAsia="en-AU"/>
                              </w:rPr>
                              <w:drawing>
                                <wp:inline distT="0" distB="0" distL="0" distR="0" wp14:anchorId="64EB90D3" wp14:editId="343FE14B">
                                  <wp:extent cx="1206921" cy="1143000"/>
                                  <wp:effectExtent l="0" t="0" r="0" b="0"/>
                                  <wp:docPr id="25" name="Picture 25" descr="Structural formula of pydiflumetofen" title="Pydiflumetofen 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4204" cy="1149897"/>
                                          </a:xfrm>
                                          <a:prstGeom prst="rect">
                                            <a:avLst/>
                                          </a:prstGeom>
                                          <a:noFill/>
                                          <a:ln>
                                            <a:noFill/>
                                          </a:ln>
                                        </pic:spPr>
                                      </pic:pic>
                                    </a:graphicData>
                                  </a:graphic>
                                </wp:inline>
                              </w:drawing>
                            </w:r>
                          </w:p>
                          <w:p w14:paraId="14DE80C1" w14:textId="77777777" w:rsidR="006719DB" w:rsidRDefault="006719DB" w:rsidP="00566EA6"/>
                          <w:p w14:paraId="36FE39F7" w14:textId="09F5B5F3" w:rsidR="006719DB" w:rsidRPr="00496DBC" w:rsidRDefault="006719DB" w:rsidP="00566EA6">
                            <w:pPr>
                              <w:pStyle w:val="APVMATableText"/>
                              <w:jc w:val="center"/>
                            </w:pPr>
                            <w:r w:rsidRPr="00496DBC">
                              <w:t xml:space="preserve">Pydiflumetofen consists of two enantiomers: </w:t>
                            </w:r>
                            <w:r w:rsidRPr="005A3E0B">
                              <w:rPr>
                                <w:i/>
                              </w:rPr>
                              <w:t>S</w:t>
                            </w:r>
                            <w:r w:rsidRPr="00496DBC">
                              <w:t xml:space="preserve">-isomer and </w:t>
                            </w:r>
                            <w:r w:rsidRPr="005A3E0B">
                              <w:rPr>
                                <w:i/>
                              </w:rPr>
                              <w:t>R</w:t>
                            </w:r>
                            <w:r w:rsidRPr="00496DBC">
                              <w:t>-isomer</w:t>
                            </w:r>
                            <w:r>
                              <w:t>, present in a 1:1 ratio</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ydiflumetofen enantiomers"/>
                              <w:tblDescription w:val="S-isomer and R-isomer of pydiflumetofen"/>
                            </w:tblPr>
                            <w:tblGrid>
                              <w:gridCol w:w="2671"/>
                              <w:gridCol w:w="2790"/>
                            </w:tblGrid>
                            <w:tr w:rsidR="006719DB" w:rsidRPr="00496DBC" w14:paraId="183518ED" w14:textId="77777777" w:rsidTr="007B23AC">
                              <w:trPr>
                                <w:trHeight w:val="210"/>
                              </w:trPr>
                              <w:tc>
                                <w:tcPr>
                                  <w:tcW w:w="2671" w:type="dxa"/>
                                  <w:shd w:val="clear" w:color="auto" w:fill="auto"/>
                                </w:tcPr>
                                <w:p w14:paraId="52028801" w14:textId="77777777" w:rsidR="006719DB" w:rsidRPr="00496DBC" w:rsidRDefault="006719DB" w:rsidP="00F85012">
                                  <w:pPr>
                                    <w:jc w:val="center"/>
                                    <w:rPr>
                                      <w:rFonts w:ascii="Times New Roman" w:hAnsi="Times New Roman"/>
                                      <w:sz w:val="24"/>
                                    </w:rPr>
                                  </w:pPr>
                                  <w:r w:rsidRPr="00496DBC">
                                    <w:rPr>
                                      <w:rFonts w:ascii="Times New Roman" w:hAnsi="Times New Roman"/>
                                      <w:i/>
                                      <w:sz w:val="24"/>
                                    </w:rPr>
                                    <w:t>S</w:t>
                                  </w:r>
                                  <w:r w:rsidRPr="00496DBC">
                                    <w:rPr>
                                      <w:rFonts w:ascii="Times New Roman" w:hAnsi="Times New Roman"/>
                                      <w:sz w:val="24"/>
                                    </w:rPr>
                                    <w:t>-isomer</w:t>
                                  </w:r>
                                </w:p>
                              </w:tc>
                              <w:tc>
                                <w:tcPr>
                                  <w:tcW w:w="2790" w:type="dxa"/>
                                  <w:shd w:val="clear" w:color="auto" w:fill="auto"/>
                                </w:tcPr>
                                <w:p w14:paraId="46286EF2" w14:textId="77777777" w:rsidR="006719DB" w:rsidRPr="00496DBC" w:rsidRDefault="006719DB" w:rsidP="00F85012">
                                  <w:pPr>
                                    <w:jc w:val="center"/>
                                    <w:rPr>
                                      <w:rFonts w:ascii="Times New Roman" w:hAnsi="Times New Roman"/>
                                      <w:sz w:val="24"/>
                                    </w:rPr>
                                  </w:pPr>
                                  <w:r w:rsidRPr="00496DBC">
                                    <w:rPr>
                                      <w:rFonts w:ascii="Times New Roman" w:hAnsi="Times New Roman"/>
                                      <w:i/>
                                      <w:sz w:val="24"/>
                                    </w:rPr>
                                    <w:t>R</w:t>
                                  </w:r>
                                  <w:r w:rsidRPr="00496DBC">
                                    <w:rPr>
                                      <w:rFonts w:ascii="Times New Roman" w:hAnsi="Times New Roman"/>
                                      <w:sz w:val="24"/>
                                    </w:rPr>
                                    <w:t>-isomer</w:t>
                                  </w:r>
                                </w:p>
                              </w:tc>
                            </w:tr>
                            <w:tr w:rsidR="006719DB" w:rsidRPr="00496DBC" w14:paraId="7E4A045B" w14:textId="77777777" w:rsidTr="007B23AC">
                              <w:trPr>
                                <w:trHeight w:val="1836"/>
                              </w:trPr>
                              <w:tc>
                                <w:tcPr>
                                  <w:tcW w:w="2671" w:type="dxa"/>
                                  <w:shd w:val="clear" w:color="auto" w:fill="auto"/>
                                </w:tcPr>
                                <w:p w14:paraId="4809FBDD" w14:textId="77777777" w:rsidR="006719DB" w:rsidRPr="00496DBC" w:rsidRDefault="006719DB" w:rsidP="00F85012">
                                  <w:pPr>
                                    <w:jc w:val="center"/>
                                    <w:rPr>
                                      <w:rFonts w:ascii="Times New Roman" w:hAnsi="Times New Roman"/>
                                      <w:sz w:val="24"/>
                                    </w:rPr>
                                  </w:pPr>
                                  <w:r w:rsidRPr="00496DBC">
                                    <w:rPr>
                                      <w:rFonts w:ascii="Times New Roman" w:hAnsi="Times New Roman"/>
                                      <w:noProof/>
                                      <w:sz w:val="24"/>
                                      <w:lang w:eastAsia="en-AU"/>
                                    </w:rPr>
                                    <w:drawing>
                                      <wp:inline distT="0" distB="0" distL="0" distR="0" wp14:anchorId="2C8062BF" wp14:editId="3EC55EA1">
                                        <wp:extent cx="1352550" cy="1388909"/>
                                        <wp:effectExtent l="0" t="0" r="0" b="0"/>
                                        <wp:docPr id="26" name="Picture 26" descr="Structure of S-isomer of pydiflumetofen" title="Enantiomer of pydiflumet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t="-4712" b="-4578"/>
                                                <a:stretch>
                                                  <a:fillRect/>
                                                </a:stretch>
                                              </pic:blipFill>
                                              <pic:spPr bwMode="auto">
                                                <a:xfrm>
                                                  <a:off x="0" y="0"/>
                                                  <a:ext cx="1358381" cy="1394897"/>
                                                </a:xfrm>
                                                <a:prstGeom prst="rect">
                                                  <a:avLst/>
                                                </a:prstGeom>
                                                <a:noFill/>
                                                <a:ln>
                                                  <a:noFill/>
                                                </a:ln>
                                              </pic:spPr>
                                            </pic:pic>
                                          </a:graphicData>
                                        </a:graphic>
                                      </wp:inline>
                                    </w:drawing>
                                  </w:r>
                                </w:p>
                              </w:tc>
                              <w:tc>
                                <w:tcPr>
                                  <w:tcW w:w="2790" w:type="dxa"/>
                                  <w:shd w:val="clear" w:color="auto" w:fill="auto"/>
                                </w:tcPr>
                                <w:p w14:paraId="421016DD" w14:textId="77777777" w:rsidR="006719DB" w:rsidRPr="00496DBC" w:rsidRDefault="006719DB" w:rsidP="00F85012">
                                  <w:pPr>
                                    <w:rPr>
                                      <w:rFonts w:ascii="Times New Roman" w:hAnsi="Times New Roman"/>
                                      <w:sz w:val="24"/>
                                    </w:rPr>
                                  </w:pPr>
                                  <w:r w:rsidRPr="00496DBC">
                                    <w:rPr>
                                      <w:rFonts w:ascii="Times New Roman" w:hAnsi="Times New Roman"/>
                                      <w:noProof/>
                                      <w:sz w:val="24"/>
                                      <w:lang w:eastAsia="en-AU"/>
                                    </w:rPr>
                                    <w:drawing>
                                      <wp:inline distT="0" distB="0" distL="0" distR="0" wp14:anchorId="75386CC9" wp14:editId="33CEED82">
                                        <wp:extent cx="1524000" cy="1500433"/>
                                        <wp:effectExtent l="0" t="0" r="0" b="5080"/>
                                        <wp:docPr id="27" name="Picture 27" descr="Structure of R-isomer of pydiflumetofen" title="Enantiomer of pydiflumet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t="-6471" b="-3453"/>
                                                <a:stretch>
                                                  <a:fillRect/>
                                                </a:stretch>
                                              </pic:blipFill>
                                              <pic:spPr bwMode="auto">
                                                <a:xfrm>
                                                  <a:off x="0" y="0"/>
                                                  <a:ext cx="1527661" cy="1504037"/>
                                                </a:xfrm>
                                                <a:prstGeom prst="rect">
                                                  <a:avLst/>
                                                </a:prstGeom>
                                                <a:noFill/>
                                                <a:ln>
                                                  <a:noFill/>
                                                </a:ln>
                                              </pic:spPr>
                                            </pic:pic>
                                          </a:graphicData>
                                        </a:graphic>
                                      </wp:inline>
                                    </w:drawing>
                                  </w:r>
                                </w:p>
                              </w:tc>
                            </w:tr>
                          </w:tbl>
                          <w:p w14:paraId="789622B9" w14:textId="77777777" w:rsidR="006719DB" w:rsidRDefault="006719DB" w:rsidP="00566EA6"/>
                        </w:txbxContent>
                      </v:textbox>
                      <w10:wrap type="topAndBottom"/>
                    </v:shape>
                  </w:pict>
                </mc:Fallback>
              </mc:AlternateContent>
            </w:r>
          </w:p>
        </w:tc>
      </w:tr>
      <w:tr w:rsidR="00566EA6" w14:paraId="296501CC" w14:textId="77777777" w:rsidTr="00F85012">
        <w:trPr>
          <w:trHeight w:val="401"/>
        </w:trPr>
        <w:tc>
          <w:tcPr>
            <w:tcW w:w="2586" w:type="dxa"/>
            <w:shd w:val="clear" w:color="auto" w:fill="E6E6E6"/>
          </w:tcPr>
          <w:p w14:paraId="54FA601C" w14:textId="77777777" w:rsidR="00566EA6" w:rsidRPr="00436D5F" w:rsidRDefault="00566EA6" w:rsidP="00F85012">
            <w:pPr>
              <w:pStyle w:val="APVMATableHead"/>
              <w:spacing w:before="120"/>
            </w:pPr>
            <w:r w:rsidRPr="00496DBC">
              <w:t>CHEMICAL FAMILY:</w:t>
            </w:r>
          </w:p>
        </w:tc>
        <w:tc>
          <w:tcPr>
            <w:tcW w:w="6944" w:type="dxa"/>
          </w:tcPr>
          <w:p w14:paraId="2445EB6A" w14:textId="77777777" w:rsidR="00566EA6" w:rsidRDefault="00566EA6" w:rsidP="00F85012">
            <w:pPr>
              <w:pStyle w:val="APVMATableText"/>
              <w:rPr>
                <w:noProof/>
                <w:lang w:eastAsia="en-AU"/>
              </w:rPr>
            </w:pPr>
            <w:r>
              <w:rPr>
                <w:noProof/>
                <w:lang w:eastAsia="en-AU"/>
              </w:rPr>
              <w:t>P</w:t>
            </w:r>
            <w:r w:rsidRPr="00FE398B">
              <w:rPr>
                <w:noProof/>
                <w:lang w:eastAsia="en-AU"/>
              </w:rPr>
              <w:t>yrazole-carboxamide</w:t>
            </w:r>
          </w:p>
        </w:tc>
      </w:tr>
    </w:tbl>
    <w:p w14:paraId="7A8306BA" w14:textId="77777777" w:rsidR="00566EA6" w:rsidRDefault="00566EA6">
      <w:pPr>
        <w:rPr>
          <w:rFonts w:ascii="Trebuchet MS" w:hAnsi="Trebuchet MS" w:cs="Arial"/>
          <w:b/>
          <w:color w:val="365860"/>
          <w:sz w:val="24"/>
          <w:szCs w:val="26"/>
          <w:u w:color="000000"/>
        </w:rPr>
      </w:pPr>
      <w:r>
        <w:rPr>
          <w:rFonts w:ascii="Trebuchet MS" w:hAnsi="Trebuchet MS" w:cs="Arial"/>
          <w:b/>
          <w:color w:val="365860"/>
          <w:sz w:val="24"/>
          <w:szCs w:val="26"/>
          <w:u w:color="000000"/>
        </w:rPr>
        <w:br w:type="page"/>
      </w:r>
    </w:p>
    <w:p w14:paraId="3C03AE0A" w14:textId="140AB9B5" w:rsidR="00566EA6" w:rsidRPr="00FE398B" w:rsidRDefault="00566EA6" w:rsidP="006A438E">
      <w:pPr>
        <w:pStyle w:val="APVMATableHead"/>
      </w:pPr>
      <w:r w:rsidRPr="00FE398B">
        <w:lastRenderedPageBreak/>
        <w:t xml:space="preserve">Physico-chemical properties of </w:t>
      </w:r>
      <w:r>
        <w:t>p</w:t>
      </w:r>
      <w:r w:rsidRPr="00003663">
        <w:t>ydiflumetofen</w:t>
      </w:r>
      <w:r w:rsidRPr="00FE398B">
        <w:t xml:space="preserve"> active constituent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pydiflumetofen active constituent"/>
        <w:tblDescription w:val="Table lists key physico-chemical properties for the active constituent pydiflumetofen. "/>
      </w:tblPr>
      <w:tblGrid>
        <w:gridCol w:w="3720"/>
        <w:gridCol w:w="5810"/>
      </w:tblGrid>
      <w:tr w:rsidR="00566EA6" w:rsidRPr="00FE398B" w14:paraId="0B89CF03" w14:textId="77777777" w:rsidTr="00F85012">
        <w:tc>
          <w:tcPr>
            <w:tcW w:w="3720" w:type="dxa"/>
            <w:shd w:val="clear" w:color="auto" w:fill="E6E6E6"/>
          </w:tcPr>
          <w:p w14:paraId="74387731" w14:textId="77777777" w:rsidR="00566EA6" w:rsidRPr="00FE398B" w:rsidRDefault="00566EA6" w:rsidP="006A438E">
            <w:pPr>
              <w:pStyle w:val="APVMATableHead"/>
            </w:pPr>
            <w:r w:rsidRPr="00FE398B">
              <w:t>PHYSICAL FORM:</w:t>
            </w:r>
          </w:p>
        </w:tc>
        <w:tc>
          <w:tcPr>
            <w:tcW w:w="5810" w:type="dxa"/>
          </w:tcPr>
          <w:p w14:paraId="35419088" w14:textId="77777777" w:rsidR="00566EA6" w:rsidRDefault="00566EA6" w:rsidP="00F85012">
            <w:pPr>
              <w:suppressAutoHyphens/>
              <w:spacing w:before="120" w:after="120" w:line="210" w:lineRule="exact"/>
              <w:rPr>
                <w:rFonts w:cs="Arial"/>
                <w:spacing w:val="6"/>
                <w:sz w:val="17"/>
                <w:u w:color="000000"/>
              </w:rPr>
            </w:pPr>
            <w:r>
              <w:rPr>
                <w:rFonts w:cs="Arial"/>
                <w:spacing w:val="6"/>
                <w:sz w:val="17"/>
                <w:u w:color="000000"/>
              </w:rPr>
              <w:t xml:space="preserve">Purified active: </w:t>
            </w:r>
            <w:r w:rsidRPr="00FE398B">
              <w:rPr>
                <w:rFonts w:cs="Arial"/>
                <w:spacing w:val="6"/>
                <w:sz w:val="17"/>
                <w:u w:color="000000"/>
              </w:rPr>
              <w:t>White powder</w:t>
            </w:r>
          </w:p>
          <w:p w14:paraId="2F528374" w14:textId="77777777" w:rsidR="00566EA6" w:rsidRPr="00FE398B" w:rsidRDefault="00566EA6" w:rsidP="00F85012">
            <w:pPr>
              <w:suppressAutoHyphens/>
              <w:spacing w:before="120" w:after="120" w:line="210" w:lineRule="exact"/>
              <w:rPr>
                <w:rFonts w:cs="Arial"/>
                <w:spacing w:val="6"/>
                <w:sz w:val="17"/>
                <w:u w:color="000000"/>
              </w:rPr>
            </w:pPr>
            <w:r>
              <w:rPr>
                <w:rFonts w:cs="Arial"/>
                <w:spacing w:val="6"/>
                <w:sz w:val="17"/>
                <w:u w:color="000000"/>
              </w:rPr>
              <w:t xml:space="preserve">Technical active: </w:t>
            </w:r>
            <w:r w:rsidRPr="00FE398B">
              <w:rPr>
                <w:rFonts w:cs="Arial"/>
                <w:spacing w:val="6"/>
                <w:sz w:val="17"/>
                <w:u w:color="000000"/>
              </w:rPr>
              <w:t>Off-white powder</w:t>
            </w:r>
          </w:p>
        </w:tc>
      </w:tr>
      <w:tr w:rsidR="00566EA6" w:rsidRPr="00FE398B" w14:paraId="36C6D7C2" w14:textId="77777777" w:rsidTr="00F85012">
        <w:tc>
          <w:tcPr>
            <w:tcW w:w="3720" w:type="dxa"/>
            <w:shd w:val="clear" w:color="auto" w:fill="E6E6E6"/>
          </w:tcPr>
          <w:p w14:paraId="40D75FB6" w14:textId="77777777" w:rsidR="00566EA6" w:rsidRPr="00FE398B" w:rsidRDefault="00566EA6" w:rsidP="006A438E">
            <w:pPr>
              <w:pStyle w:val="APVMATableHead"/>
            </w:pPr>
            <w:r w:rsidRPr="00FE398B">
              <w:t>Odour:</w:t>
            </w:r>
          </w:p>
        </w:tc>
        <w:tc>
          <w:tcPr>
            <w:tcW w:w="5810" w:type="dxa"/>
          </w:tcPr>
          <w:p w14:paraId="217F96BF"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No odour detected</w:t>
            </w:r>
            <w:r>
              <w:rPr>
                <w:rFonts w:cs="Arial"/>
                <w:spacing w:val="6"/>
                <w:sz w:val="17"/>
                <w:u w:color="000000"/>
              </w:rPr>
              <w:t xml:space="preserve"> for purified or technical active</w:t>
            </w:r>
          </w:p>
        </w:tc>
      </w:tr>
      <w:tr w:rsidR="00566EA6" w:rsidRPr="00FE398B" w14:paraId="6CCFCA92" w14:textId="77777777" w:rsidTr="00F85012">
        <w:tc>
          <w:tcPr>
            <w:tcW w:w="3720" w:type="dxa"/>
            <w:shd w:val="clear" w:color="auto" w:fill="E6E6E6"/>
          </w:tcPr>
          <w:p w14:paraId="054FF410" w14:textId="77777777" w:rsidR="00566EA6" w:rsidRPr="00FE398B" w:rsidRDefault="00566EA6" w:rsidP="006A438E">
            <w:pPr>
              <w:pStyle w:val="APVMATableHead"/>
            </w:pPr>
            <w:r w:rsidRPr="00FE398B">
              <w:t>Melting Point:</w:t>
            </w:r>
          </w:p>
        </w:tc>
        <w:tc>
          <w:tcPr>
            <w:tcW w:w="5810" w:type="dxa"/>
          </w:tcPr>
          <w:p w14:paraId="6752C155" w14:textId="77777777" w:rsidR="00566EA6" w:rsidRPr="00FE398B" w:rsidRDefault="00566EA6" w:rsidP="00F85012">
            <w:pPr>
              <w:suppressAutoHyphens/>
              <w:spacing w:before="120" w:after="120" w:line="210" w:lineRule="exact"/>
              <w:rPr>
                <w:rFonts w:cs="Arial"/>
                <w:spacing w:val="6"/>
                <w:sz w:val="17"/>
                <w:u w:color="000000"/>
              </w:rPr>
            </w:pPr>
            <w:r>
              <w:rPr>
                <w:rFonts w:cs="Arial"/>
                <w:spacing w:val="6"/>
                <w:sz w:val="17"/>
                <w:u w:color="000000"/>
              </w:rPr>
              <w:t xml:space="preserve">112.7 </w:t>
            </w:r>
            <w:r w:rsidRPr="00FE398B">
              <w:rPr>
                <w:rFonts w:cs="Arial"/>
                <w:spacing w:val="6"/>
                <w:sz w:val="17"/>
                <w:u w:color="000000"/>
              </w:rPr>
              <w:t>°C for purified active</w:t>
            </w:r>
          </w:p>
        </w:tc>
      </w:tr>
      <w:tr w:rsidR="00566EA6" w:rsidRPr="00FE398B" w14:paraId="6939EBFB" w14:textId="77777777" w:rsidTr="00F85012">
        <w:tc>
          <w:tcPr>
            <w:tcW w:w="3720" w:type="dxa"/>
            <w:shd w:val="clear" w:color="auto" w:fill="E6E6E6"/>
          </w:tcPr>
          <w:p w14:paraId="7A9B2411" w14:textId="77777777" w:rsidR="00566EA6" w:rsidRPr="00FE398B" w:rsidRDefault="00566EA6" w:rsidP="006A438E">
            <w:pPr>
              <w:pStyle w:val="APVMATableHead"/>
            </w:pPr>
            <w:r w:rsidRPr="00FE398B">
              <w:t>RELATIVE Density at 20</w:t>
            </w:r>
            <w:r w:rsidRPr="00FE398B">
              <w:rPr>
                <w:vertAlign w:val="superscript"/>
              </w:rPr>
              <w:t>o</w:t>
            </w:r>
            <w:r w:rsidRPr="00FE398B">
              <w:t>C:</w:t>
            </w:r>
          </w:p>
        </w:tc>
        <w:tc>
          <w:tcPr>
            <w:tcW w:w="5810" w:type="dxa"/>
          </w:tcPr>
          <w:p w14:paraId="2CC3A912"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1.</w:t>
            </w:r>
            <w:r>
              <w:rPr>
                <w:rFonts w:cs="Arial"/>
                <w:spacing w:val="6"/>
                <w:sz w:val="17"/>
                <w:u w:color="000000"/>
              </w:rPr>
              <w:t>55</w:t>
            </w:r>
            <w:r w:rsidRPr="00FE398B">
              <w:rPr>
                <w:rFonts w:cs="Arial"/>
                <w:spacing w:val="6"/>
                <w:sz w:val="17"/>
                <w:u w:color="000000"/>
              </w:rPr>
              <w:t xml:space="preserve"> for </w:t>
            </w:r>
            <w:r>
              <w:rPr>
                <w:rFonts w:cs="Arial"/>
                <w:spacing w:val="6"/>
                <w:sz w:val="17"/>
                <w:u w:color="000000"/>
              </w:rPr>
              <w:t>technical</w:t>
            </w:r>
            <w:r w:rsidRPr="00FE398B">
              <w:rPr>
                <w:rFonts w:cs="Arial"/>
                <w:spacing w:val="6"/>
                <w:sz w:val="17"/>
                <w:u w:color="000000"/>
              </w:rPr>
              <w:t xml:space="preserve"> active</w:t>
            </w:r>
          </w:p>
        </w:tc>
      </w:tr>
      <w:tr w:rsidR="00566EA6" w:rsidRPr="00FE398B" w14:paraId="3A5F2BF9" w14:textId="77777777" w:rsidTr="00F85012">
        <w:tc>
          <w:tcPr>
            <w:tcW w:w="3720" w:type="dxa"/>
            <w:shd w:val="clear" w:color="auto" w:fill="E6E6E6"/>
          </w:tcPr>
          <w:p w14:paraId="6E1EF138" w14:textId="77777777" w:rsidR="00566EA6" w:rsidRPr="00FE398B" w:rsidRDefault="00566EA6" w:rsidP="006A438E">
            <w:pPr>
              <w:pStyle w:val="APVMATableHead"/>
              <w:rPr>
                <w:szCs w:val="18"/>
                <w:lang w:val="en-US"/>
              </w:rPr>
            </w:pPr>
            <w:r w:rsidRPr="00FE398B">
              <w:rPr>
                <w:szCs w:val="18"/>
              </w:rPr>
              <w:t>Vapour pressure</w:t>
            </w:r>
          </w:p>
        </w:tc>
        <w:tc>
          <w:tcPr>
            <w:tcW w:w="5810" w:type="dxa"/>
          </w:tcPr>
          <w:p w14:paraId="3418E6E8" w14:textId="77777777" w:rsidR="00566EA6" w:rsidRPr="00FE398B" w:rsidRDefault="00566EA6" w:rsidP="00F85012">
            <w:pPr>
              <w:suppressAutoHyphens/>
              <w:spacing w:before="120" w:after="120" w:line="210" w:lineRule="exact"/>
              <w:rPr>
                <w:rFonts w:cs="Arial"/>
                <w:spacing w:val="6"/>
                <w:sz w:val="17"/>
                <w:u w:color="000000"/>
              </w:rPr>
            </w:pPr>
            <w:r w:rsidRPr="004D0583">
              <w:rPr>
                <w:rFonts w:cs="Arial"/>
                <w:spacing w:val="6"/>
                <w:sz w:val="17"/>
                <w:u w:color="000000"/>
                <w:lang w:val="en-US"/>
              </w:rPr>
              <w:t>0.</w:t>
            </w:r>
            <w:r>
              <w:rPr>
                <w:rFonts w:cs="Arial"/>
                <w:spacing w:val="6"/>
                <w:sz w:val="17"/>
                <w:u w:color="000000"/>
                <w:lang w:val="en-US"/>
              </w:rPr>
              <w:t>185</w:t>
            </w:r>
            <w:r w:rsidRPr="004D0583">
              <w:rPr>
                <w:rFonts w:cs="Arial"/>
                <w:spacing w:val="6"/>
                <w:sz w:val="17"/>
                <w:u w:color="000000"/>
                <w:lang w:val="en-US"/>
              </w:rPr>
              <w:t xml:space="preserve"> µPa at 2</w:t>
            </w:r>
            <w:r>
              <w:rPr>
                <w:rFonts w:cs="Arial"/>
                <w:spacing w:val="6"/>
                <w:sz w:val="17"/>
                <w:u w:color="000000"/>
                <w:lang w:val="en-US"/>
              </w:rPr>
              <w:t xml:space="preserve">0 </w:t>
            </w:r>
            <w:r w:rsidRPr="004D0583">
              <w:rPr>
                <w:rFonts w:cs="Arial"/>
                <w:spacing w:val="6"/>
                <w:sz w:val="17"/>
                <w:u w:color="000000"/>
                <w:lang w:val="en-US"/>
              </w:rPr>
              <w:t>°C</w:t>
            </w:r>
            <w:r>
              <w:rPr>
                <w:rFonts w:cs="Arial"/>
                <w:spacing w:val="6"/>
                <w:sz w:val="17"/>
                <w:u w:color="000000"/>
                <w:lang w:val="en-US"/>
              </w:rPr>
              <w:t>;</w:t>
            </w:r>
            <w:r w:rsidRPr="004D0583">
              <w:rPr>
                <w:rFonts w:cs="Arial"/>
                <w:spacing w:val="6"/>
                <w:sz w:val="17"/>
                <w:u w:color="000000"/>
                <w:lang w:val="en-US"/>
              </w:rPr>
              <w:t xml:space="preserve"> </w:t>
            </w:r>
            <w:r>
              <w:rPr>
                <w:rFonts w:cs="Arial"/>
                <w:spacing w:val="6"/>
                <w:sz w:val="17"/>
                <w:u w:color="000000"/>
                <w:lang w:val="en-US"/>
              </w:rPr>
              <w:t>0.530 µ</w:t>
            </w:r>
            <w:r w:rsidRPr="00FE398B">
              <w:rPr>
                <w:rFonts w:cs="Arial"/>
                <w:spacing w:val="6"/>
                <w:sz w:val="17"/>
                <w:u w:color="000000"/>
                <w:lang w:val="en-US"/>
              </w:rPr>
              <w:t>Pa at 25</w:t>
            </w:r>
            <w:r>
              <w:rPr>
                <w:rFonts w:cs="Arial"/>
                <w:spacing w:val="6"/>
                <w:sz w:val="17"/>
                <w:u w:color="000000"/>
                <w:lang w:val="en-US"/>
              </w:rPr>
              <w:t xml:space="preserve"> </w:t>
            </w:r>
            <w:r w:rsidRPr="00FE398B">
              <w:rPr>
                <w:rFonts w:cs="Arial"/>
                <w:spacing w:val="6"/>
                <w:sz w:val="17"/>
                <w:u w:color="000000"/>
                <w:lang w:val="en-US"/>
              </w:rPr>
              <w:t>°C for purified active</w:t>
            </w:r>
          </w:p>
        </w:tc>
      </w:tr>
      <w:tr w:rsidR="00566EA6" w:rsidRPr="00FE398B" w14:paraId="1F75AFE1" w14:textId="77777777" w:rsidTr="00F85012">
        <w:tc>
          <w:tcPr>
            <w:tcW w:w="3720" w:type="dxa"/>
            <w:shd w:val="clear" w:color="auto" w:fill="E6E6E6"/>
          </w:tcPr>
          <w:p w14:paraId="7026B331" w14:textId="77777777" w:rsidR="00566EA6" w:rsidRPr="00FE398B" w:rsidRDefault="00566EA6" w:rsidP="006A438E">
            <w:pPr>
              <w:pStyle w:val="APVMATableHead"/>
              <w:rPr>
                <w:rFonts w:cs="Traditional Arabic"/>
                <w:szCs w:val="18"/>
              </w:rPr>
            </w:pPr>
            <w:r w:rsidRPr="00FE398B">
              <w:rPr>
                <w:rFonts w:cs="Traditional Arabic"/>
                <w:szCs w:val="18"/>
                <w:lang w:val="en-US"/>
              </w:rPr>
              <w:t xml:space="preserve">pH (1% w/v </w:t>
            </w:r>
            <w:r w:rsidRPr="00FE398B">
              <w:rPr>
                <w:rFonts w:cs="Traditional Arabic"/>
                <w:szCs w:val="18"/>
              </w:rPr>
              <w:t>in distilled water)</w:t>
            </w:r>
          </w:p>
        </w:tc>
        <w:tc>
          <w:tcPr>
            <w:tcW w:w="5810" w:type="dxa"/>
          </w:tcPr>
          <w:p w14:paraId="17B5406F"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5.</w:t>
            </w:r>
            <w:r>
              <w:rPr>
                <w:rFonts w:cs="Arial"/>
                <w:spacing w:val="6"/>
                <w:sz w:val="17"/>
                <w:u w:color="000000"/>
              </w:rPr>
              <w:t>12 at 25 °C for technical active</w:t>
            </w:r>
          </w:p>
        </w:tc>
      </w:tr>
      <w:tr w:rsidR="00566EA6" w:rsidRPr="00FE398B" w14:paraId="6035572B" w14:textId="77777777" w:rsidTr="00F85012">
        <w:tc>
          <w:tcPr>
            <w:tcW w:w="3720" w:type="dxa"/>
            <w:shd w:val="clear" w:color="auto" w:fill="E6E6E6"/>
          </w:tcPr>
          <w:p w14:paraId="00E8FE25" w14:textId="77777777" w:rsidR="00566EA6" w:rsidRPr="00FE398B" w:rsidRDefault="00566EA6" w:rsidP="006A438E">
            <w:pPr>
              <w:pStyle w:val="APVMATableHead"/>
              <w:rPr>
                <w:szCs w:val="18"/>
              </w:rPr>
            </w:pPr>
            <w:r w:rsidRPr="00FE398B">
              <w:rPr>
                <w:szCs w:val="18"/>
              </w:rPr>
              <w:t>Partition Coefficient</w:t>
            </w:r>
          </w:p>
        </w:tc>
        <w:tc>
          <w:tcPr>
            <w:tcW w:w="5810" w:type="dxa"/>
          </w:tcPr>
          <w:p w14:paraId="056A75C9"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 xml:space="preserve">log Pow = </w:t>
            </w:r>
            <w:r>
              <w:rPr>
                <w:rFonts w:cs="Arial"/>
                <w:spacing w:val="6"/>
                <w:sz w:val="17"/>
                <w:u w:color="000000"/>
              </w:rPr>
              <w:t>3.8</w:t>
            </w:r>
            <w:r w:rsidRPr="00FE398B">
              <w:rPr>
                <w:rFonts w:cs="Arial"/>
                <w:spacing w:val="6"/>
                <w:sz w:val="17"/>
                <w:u w:color="000000"/>
              </w:rPr>
              <w:t xml:space="preserve"> </w:t>
            </w:r>
            <w:r>
              <w:rPr>
                <w:rFonts w:cs="Arial"/>
                <w:spacing w:val="6"/>
                <w:sz w:val="17"/>
                <w:u w:color="000000"/>
              </w:rPr>
              <w:t xml:space="preserve">at 25 °C </w:t>
            </w:r>
            <w:r w:rsidRPr="00FE398B">
              <w:rPr>
                <w:rFonts w:cs="Arial"/>
                <w:spacing w:val="6"/>
                <w:sz w:val="17"/>
                <w:u w:color="000000"/>
              </w:rPr>
              <w:t xml:space="preserve">for purified active </w:t>
            </w:r>
          </w:p>
        </w:tc>
      </w:tr>
      <w:tr w:rsidR="00566EA6" w:rsidRPr="00FE398B" w14:paraId="60106C93" w14:textId="77777777" w:rsidTr="00F85012">
        <w:trPr>
          <w:trHeight w:val="420"/>
        </w:trPr>
        <w:tc>
          <w:tcPr>
            <w:tcW w:w="3720" w:type="dxa"/>
            <w:shd w:val="clear" w:color="auto" w:fill="E6E6E6"/>
          </w:tcPr>
          <w:p w14:paraId="795DE5F7" w14:textId="77777777" w:rsidR="00566EA6" w:rsidRPr="00FE398B" w:rsidRDefault="00566EA6" w:rsidP="006A438E">
            <w:pPr>
              <w:pStyle w:val="APVMATableHead"/>
            </w:pPr>
            <w:r w:rsidRPr="00FE398B">
              <w:t xml:space="preserve">solubility in water </w:t>
            </w:r>
          </w:p>
        </w:tc>
        <w:tc>
          <w:tcPr>
            <w:tcW w:w="5810" w:type="dxa"/>
          </w:tcPr>
          <w:p w14:paraId="224C316A" w14:textId="77777777" w:rsidR="00566EA6" w:rsidRPr="00FE398B" w:rsidRDefault="00566EA6" w:rsidP="00F85012">
            <w:pPr>
              <w:suppressAutoHyphens/>
              <w:spacing w:before="120" w:after="120" w:line="210" w:lineRule="exact"/>
              <w:rPr>
                <w:rFonts w:cs="Arial"/>
                <w:spacing w:val="6"/>
                <w:sz w:val="17"/>
                <w:u w:color="000000"/>
              </w:rPr>
            </w:pPr>
            <w:r>
              <w:rPr>
                <w:rFonts w:cs="Arial"/>
                <w:spacing w:val="6"/>
                <w:sz w:val="17"/>
                <w:u w:color="000000"/>
              </w:rPr>
              <w:t>1.5</w:t>
            </w:r>
            <w:r w:rsidRPr="00FE398B">
              <w:rPr>
                <w:rFonts w:cs="Arial"/>
                <w:spacing w:val="6"/>
                <w:sz w:val="17"/>
                <w:u w:color="000000"/>
              </w:rPr>
              <w:t xml:space="preserve"> mg/L </w:t>
            </w:r>
            <w:r>
              <w:rPr>
                <w:rFonts w:cs="Arial"/>
                <w:spacing w:val="6"/>
                <w:sz w:val="17"/>
                <w:u w:color="000000"/>
              </w:rPr>
              <w:t>at 25 °C for purified active</w:t>
            </w:r>
          </w:p>
        </w:tc>
      </w:tr>
      <w:tr w:rsidR="00566EA6" w:rsidRPr="00FE398B" w14:paraId="264E1D47" w14:textId="77777777" w:rsidTr="00F85012">
        <w:tc>
          <w:tcPr>
            <w:tcW w:w="3720" w:type="dxa"/>
            <w:shd w:val="clear" w:color="auto" w:fill="E6E6E6"/>
          </w:tcPr>
          <w:p w14:paraId="71221EAA" w14:textId="77777777" w:rsidR="00566EA6" w:rsidRDefault="00566EA6" w:rsidP="006A438E">
            <w:pPr>
              <w:pStyle w:val="APVMATableHead"/>
            </w:pPr>
            <w:r w:rsidRPr="00FE398B">
              <w:t xml:space="preserve">Solubility in solvents </w:t>
            </w:r>
          </w:p>
          <w:p w14:paraId="44FF42BD" w14:textId="77777777" w:rsidR="00566EA6" w:rsidRPr="00FE398B" w:rsidRDefault="00566EA6" w:rsidP="006A438E">
            <w:pPr>
              <w:pStyle w:val="APVMATableHead"/>
            </w:pPr>
            <w:r w:rsidRPr="00FE398B">
              <w:t>(for technical active)</w:t>
            </w:r>
          </w:p>
        </w:tc>
        <w:tc>
          <w:tcPr>
            <w:tcW w:w="5810" w:type="dxa"/>
          </w:tcPr>
          <w:p w14:paraId="0FB0248E" w14:textId="77777777" w:rsidR="00566EA6" w:rsidRPr="00C33FFF" w:rsidRDefault="00566EA6" w:rsidP="00F85012">
            <w:pPr>
              <w:suppressAutoHyphens/>
              <w:spacing w:line="210" w:lineRule="exact"/>
              <w:rPr>
                <w:rFonts w:cs="Arial"/>
                <w:spacing w:val="6"/>
                <w:sz w:val="17"/>
                <w:u w:color="000000"/>
                <w:lang w:val="en-US"/>
              </w:rPr>
            </w:pPr>
            <w:r w:rsidRPr="00C33FFF">
              <w:rPr>
                <w:rFonts w:cs="Arial"/>
                <w:spacing w:val="6"/>
                <w:sz w:val="17"/>
                <w:u w:color="000000"/>
                <w:lang w:val="en-US"/>
              </w:rPr>
              <w:t>Dichloromethane</w:t>
            </w:r>
            <w:r>
              <w:rPr>
                <w:rFonts w:cs="Arial"/>
                <w:spacing w:val="6"/>
                <w:sz w:val="17"/>
                <w:u w:color="000000"/>
                <w:lang w:val="en-US"/>
              </w:rPr>
              <w:t>:</w:t>
            </w:r>
            <w:r w:rsidRPr="00C33FFF">
              <w:rPr>
                <w:rFonts w:cs="Arial"/>
                <w:spacing w:val="6"/>
                <w:sz w:val="17"/>
                <w:u w:color="000000"/>
                <w:lang w:val="en-US"/>
              </w:rPr>
              <w:tab/>
              <w:t>&gt;500 g/L</w:t>
            </w:r>
          </w:p>
          <w:p w14:paraId="73771188" w14:textId="77777777" w:rsidR="00566EA6" w:rsidRPr="00C33FFF" w:rsidRDefault="00566EA6" w:rsidP="00F85012">
            <w:pPr>
              <w:suppressAutoHyphens/>
              <w:spacing w:line="210" w:lineRule="exact"/>
              <w:rPr>
                <w:rFonts w:cs="Arial"/>
                <w:spacing w:val="6"/>
                <w:sz w:val="17"/>
                <w:u w:color="000000"/>
                <w:lang w:val="en-US"/>
              </w:rPr>
            </w:pPr>
            <w:r w:rsidRPr="00C33FFF">
              <w:rPr>
                <w:rFonts w:cs="Arial"/>
                <w:spacing w:val="6"/>
                <w:sz w:val="17"/>
                <w:u w:color="000000"/>
                <w:lang w:val="en-US"/>
              </w:rPr>
              <w:t>Acetone</w:t>
            </w:r>
            <w:r>
              <w:rPr>
                <w:rFonts w:cs="Arial"/>
                <w:spacing w:val="6"/>
                <w:sz w:val="17"/>
                <w:u w:color="000000"/>
                <w:lang w:val="en-US"/>
              </w:rPr>
              <w:t xml:space="preserve">: </w:t>
            </w:r>
            <w:r w:rsidRPr="00C33FFF">
              <w:rPr>
                <w:rFonts w:cs="Arial"/>
                <w:spacing w:val="6"/>
                <w:sz w:val="17"/>
                <w:u w:color="000000"/>
                <w:lang w:val="en-US"/>
              </w:rPr>
              <w:tab/>
              <w:t>220 g/L</w:t>
            </w:r>
          </w:p>
          <w:p w14:paraId="39E88638" w14:textId="77777777" w:rsidR="00566EA6" w:rsidRPr="00C33FFF" w:rsidRDefault="00566EA6" w:rsidP="00F85012">
            <w:pPr>
              <w:suppressAutoHyphens/>
              <w:spacing w:line="210" w:lineRule="exact"/>
              <w:rPr>
                <w:rFonts w:cs="Arial"/>
                <w:spacing w:val="6"/>
                <w:sz w:val="17"/>
                <w:u w:color="000000"/>
                <w:lang w:val="en-US"/>
              </w:rPr>
            </w:pPr>
            <w:r w:rsidRPr="00C33FFF">
              <w:rPr>
                <w:rFonts w:cs="Arial"/>
                <w:spacing w:val="6"/>
                <w:sz w:val="17"/>
                <w:u w:color="000000"/>
                <w:lang w:val="en-US"/>
              </w:rPr>
              <w:t>Ethyl acetate</w:t>
            </w:r>
            <w:r>
              <w:rPr>
                <w:rFonts w:cs="Arial"/>
                <w:spacing w:val="6"/>
                <w:sz w:val="17"/>
                <w:u w:color="000000"/>
                <w:lang w:val="en-US"/>
              </w:rPr>
              <w:t>:</w:t>
            </w:r>
            <w:r w:rsidRPr="00C33FFF">
              <w:rPr>
                <w:rFonts w:cs="Arial"/>
                <w:spacing w:val="6"/>
                <w:sz w:val="17"/>
                <w:u w:color="000000"/>
                <w:lang w:val="en-US"/>
              </w:rPr>
              <w:tab/>
              <w:t>130 g/L</w:t>
            </w:r>
          </w:p>
          <w:p w14:paraId="2871D6E8" w14:textId="77777777" w:rsidR="00566EA6" w:rsidRPr="00C33FFF" w:rsidRDefault="00566EA6" w:rsidP="00F85012">
            <w:pPr>
              <w:suppressAutoHyphens/>
              <w:spacing w:line="210" w:lineRule="exact"/>
              <w:rPr>
                <w:rFonts w:cs="Arial"/>
                <w:spacing w:val="6"/>
                <w:sz w:val="17"/>
                <w:u w:color="000000"/>
                <w:lang w:val="en-US"/>
              </w:rPr>
            </w:pPr>
            <w:r w:rsidRPr="00C33FFF">
              <w:rPr>
                <w:rFonts w:cs="Arial"/>
                <w:spacing w:val="6"/>
                <w:sz w:val="17"/>
                <w:u w:color="000000"/>
                <w:lang w:val="en-US"/>
              </w:rPr>
              <w:t>Toluene</w:t>
            </w:r>
            <w:r>
              <w:rPr>
                <w:rFonts w:cs="Arial"/>
                <w:spacing w:val="6"/>
                <w:sz w:val="17"/>
                <w:u w:color="000000"/>
                <w:lang w:val="en-US"/>
              </w:rPr>
              <w:t>:</w:t>
            </w:r>
            <w:r w:rsidRPr="00C33FFF">
              <w:rPr>
                <w:rFonts w:cs="Arial"/>
                <w:spacing w:val="6"/>
                <w:sz w:val="17"/>
                <w:u w:color="000000"/>
                <w:lang w:val="en-US"/>
              </w:rPr>
              <w:tab/>
            </w:r>
            <w:r w:rsidRPr="00C33FFF">
              <w:rPr>
                <w:rFonts w:cs="Arial"/>
                <w:spacing w:val="6"/>
                <w:sz w:val="17"/>
                <w:u w:color="000000"/>
                <w:lang w:val="en-US"/>
              </w:rPr>
              <w:tab/>
              <w:t>67 g/L</w:t>
            </w:r>
          </w:p>
          <w:p w14:paraId="324E3D7A" w14:textId="77777777" w:rsidR="00566EA6" w:rsidRPr="00C33FFF" w:rsidRDefault="00566EA6" w:rsidP="00F85012">
            <w:pPr>
              <w:suppressAutoHyphens/>
              <w:spacing w:line="210" w:lineRule="exact"/>
              <w:rPr>
                <w:rFonts w:cs="Arial"/>
                <w:spacing w:val="6"/>
                <w:sz w:val="17"/>
                <w:u w:color="000000"/>
                <w:lang w:val="en-US"/>
              </w:rPr>
            </w:pPr>
            <w:r w:rsidRPr="00C33FFF">
              <w:rPr>
                <w:rFonts w:cs="Arial"/>
                <w:spacing w:val="6"/>
                <w:sz w:val="17"/>
                <w:u w:color="000000"/>
                <w:lang w:val="en-US"/>
              </w:rPr>
              <w:t>Methanol</w:t>
            </w:r>
            <w:r>
              <w:rPr>
                <w:rFonts w:cs="Arial"/>
                <w:spacing w:val="6"/>
                <w:sz w:val="17"/>
                <w:u w:color="000000"/>
                <w:lang w:val="en-US"/>
              </w:rPr>
              <w:t>:</w:t>
            </w:r>
            <w:r w:rsidRPr="00C33FFF">
              <w:rPr>
                <w:rFonts w:cs="Arial"/>
                <w:spacing w:val="6"/>
                <w:sz w:val="17"/>
                <w:u w:color="000000"/>
                <w:lang w:val="en-US"/>
              </w:rPr>
              <w:tab/>
              <w:t>26 g/L</w:t>
            </w:r>
          </w:p>
          <w:p w14:paraId="7E9937D3" w14:textId="77777777" w:rsidR="00566EA6" w:rsidRPr="00C33FFF" w:rsidRDefault="00566EA6" w:rsidP="00F85012">
            <w:pPr>
              <w:suppressAutoHyphens/>
              <w:spacing w:line="210" w:lineRule="exact"/>
              <w:rPr>
                <w:rFonts w:cs="Arial"/>
                <w:spacing w:val="6"/>
                <w:sz w:val="17"/>
                <w:u w:color="000000"/>
                <w:lang w:val="en-US"/>
              </w:rPr>
            </w:pPr>
            <w:r w:rsidRPr="00C33FFF">
              <w:rPr>
                <w:rFonts w:cs="Arial"/>
                <w:spacing w:val="6"/>
                <w:sz w:val="17"/>
                <w:u w:color="000000"/>
                <w:lang w:val="en-US"/>
              </w:rPr>
              <w:t>Octanol</w:t>
            </w:r>
            <w:r>
              <w:rPr>
                <w:rFonts w:cs="Arial"/>
                <w:spacing w:val="6"/>
                <w:sz w:val="17"/>
                <w:u w:color="000000"/>
                <w:lang w:val="en-US"/>
              </w:rPr>
              <w:t>:</w:t>
            </w:r>
            <w:r w:rsidRPr="00C33FFF">
              <w:rPr>
                <w:rFonts w:cs="Arial"/>
                <w:spacing w:val="6"/>
                <w:sz w:val="17"/>
                <w:u w:color="000000"/>
                <w:lang w:val="en-US"/>
              </w:rPr>
              <w:tab/>
            </w:r>
            <w:r w:rsidRPr="00C33FFF">
              <w:rPr>
                <w:rFonts w:cs="Arial"/>
                <w:spacing w:val="6"/>
                <w:sz w:val="17"/>
                <w:u w:color="000000"/>
                <w:lang w:val="en-US"/>
              </w:rPr>
              <w:tab/>
              <w:t>7.2 g/L</w:t>
            </w:r>
          </w:p>
          <w:p w14:paraId="56FF96EE" w14:textId="77777777" w:rsidR="00566EA6" w:rsidRPr="00C33FFF" w:rsidRDefault="00566EA6" w:rsidP="00F85012">
            <w:pPr>
              <w:suppressAutoHyphens/>
              <w:spacing w:line="210" w:lineRule="exact"/>
              <w:rPr>
                <w:rFonts w:cs="Arial"/>
                <w:spacing w:val="6"/>
                <w:sz w:val="17"/>
                <w:u w:color="000000"/>
                <w:lang w:val="en-US"/>
              </w:rPr>
            </w:pPr>
            <w:r w:rsidRPr="00C33FFF">
              <w:rPr>
                <w:rFonts w:cs="Arial"/>
                <w:spacing w:val="6"/>
                <w:sz w:val="17"/>
                <w:u w:color="000000"/>
                <w:lang w:val="en-US"/>
              </w:rPr>
              <w:t>Hexane</w:t>
            </w:r>
            <w:r>
              <w:rPr>
                <w:rFonts w:cs="Arial"/>
                <w:spacing w:val="6"/>
                <w:sz w:val="17"/>
                <w:u w:color="000000"/>
                <w:lang w:val="en-US"/>
              </w:rPr>
              <w:t>:</w:t>
            </w:r>
            <w:r w:rsidRPr="00C33FFF">
              <w:rPr>
                <w:rFonts w:cs="Arial"/>
                <w:spacing w:val="6"/>
                <w:sz w:val="17"/>
                <w:u w:color="000000"/>
                <w:lang w:val="en-US"/>
              </w:rPr>
              <w:tab/>
            </w:r>
            <w:r w:rsidRPr="00C33FFF">
              <w:rPr>
                <w:rFonts w:cs="Arial"/>
                <w:spacing w:val="6"/>
                <w:sz w:val="17"/>
                <w:u w:color="000000"/>
                <w:lang w:val="en-US"/>
              </w:rPr>
              <w:tab/>
              <w:t>0.27 g/L</w:t>
            </w:r>
          </w:p>
        </w:tc>
      </w:tr>
      <w:tr w:rsidR="00566EA6" w:rsidRPr="00FE398B" w14:paraId="2C47381A" w14:textId="77777777" w:rsidTr="00F85012">
        <w:trPr>
          <w:trHeight w:val="613"/>
        </w:trPr>
        <w:tc>
          <w:tcPr>
            <w:tcW w:w="3720" w:type="dxa"/>
            <w:shd w:val="clear" w:color="auto" w:fill="E6E6E6"/>
          </w:tcPr>
          <w:p w14:paraId="1DC5E717" w14:textId="77777777" w:rsidR="00566EA6" w:rsidRPr="00FE398B" w:rsidRDefault="00566EA6" w:rsidP="006A438E">
            <w:pPr>
              <w:pStyle w:val="APVMATableHead"/>
            </w:pPr>
            <w:r w:rsidRPr="00FE398B">
              <w:t>Flammability</w:t>
            </w:r>
          </w:p>
        </w:tc>
        <w:tc>
          <w:tcPr>
            <w:tcW w:w="5810" w:type="dxa"/>
          </w:tcPr>
          <w:p w14:paraId="4C3F1CF8"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Not highly flammable for purified or technical active</w:t>
            </w:r>
          </w:p>
        </w:tc>
      </w:tr>
      <w:tr w:rsidR="00566EA6" w:rsidRPr="00FE398B" w14:paraId="6E7F095E" w14:textId="77777777" w:rsidTr="00F85012">
        <w:trPr>
          <w:trHeight w:val="613"/>
        </w:trPr>
        <w:tc>
          <w:tcPr>
            <w:tcW w:w="3720" w:type="dxa"/>
            <w:shd w:val="clear" w:color="auto" w:fill="E6E6E6"/>
          </w:tcPr>
          <w:p w14:paraId="43400766" w14:textId="77777777" w:rsidR="00566EA6" w:rsidRPr="00FE398B" w:rsidRDefault="00566EA6" w:rsidP="006A438E">
            <w:pPr>
              <w:pStyle w:val="APVMATableHead"/>
            </w:pPr>
            <w:r w:rsidRPr="00FE398B">
              <w:t>Explosive properties</w:t>
            </w:r>
          </w:p>
        </w:tc>
        <w:tc>
          <w:tcPr>
            <w:tcW w:w="5810" w:type="dxa"/>
          </w:tcPr>
          <w:p w14:paraId="0A68B89D"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Not explosive under thermal, shock or frictional stimuli for purified or technical active</w:t>
            </w:r>
          </w:p>
        </w:tc>
      </w:tr>
      <w:tr w:rsidR="00566EA6" w:rsidRPr="00FE398B" w14:paraId="18B9B76D" w14:textId="77777777" w:rsidTr="00F85012">
        <w:trPr>
          <w:trHeight w:val="613"/>
        </w:trPr>
        <w:tc>
          <w:tcPr>
            <w:tcW w:w="3720" w:type="dxa"/>
            <w:shd w:val="clear" w:color="auto" w:fill="E6E6E6"/>
          </w:tcPr>
          <w:p w14:paraId="1A974D0B" w14:textId="77777777" w:rsidR="00566EA6" w:rsidRPr="00FE398B" w:rsidRDefault="00566EA6" w:rsidP="006A438E">
            <w:pPr>
              <w:pStyle w:val="APVMATableHead"/>
            </w:pPr>
            <w:r w:rsidRPr="00FE398B">
              <w:t xml:space="preserve">self-ignition Temperature </w:t>
            </w:r>
          </w:p>
        </w:tc>
        <w:tc>
          <w:tcPr>
            <w:tcW w:w="5810" w:type="dxa"/>
          </w:tcPr>
          <w:p w14:paraId="39735612"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No self-ignition observed under the conditions of the test</w:t>
            </w:r>
            <w:r>
              <w:t xml:space="preserve"> </w:t>
            </w:r>
            <w:r w:rsidRPr="005A3E0B">
              <w:rPr>
                <w:rFonts w:cs="Arial"/>
                <w:spacing w:val="6"/>
                <w:sz w:val="17"/>
                <w:u w:color="000000"/>
              </w:rPr>
              <w:t>for purified or technical active</w:t>
            </w:r>
          </w:p>
        </w:tc>
      </w:tr>
      <w:tr w:rsidR="00566EA6" w:rsidRPr="00FE398B" w14:paraId="0F71B433" w14:textId="77777777" w:rsidTr="00F85012">
        <w:trPr>
          <w:trHeight w:val="613"/>
        </w:trPr>
        <w:tc>
          <w:tcPr>
            <w:tcW w:w="3720" w:type="dxa"/>
            <w:shd w:val="clear" w:color="auto" w:fill="E6E6E6"/>
          </w:tcPr>
          <w:p w14:paraId="27BE7DA2" w14:textId="77777777" w:rsidR="00566EA6" w:rsidRPr="00FE398B" w:rsidRDefault="00566EA6" w:rsidP="006A438E">
            <w:pPr>
              <w:pStyle w:val="APVMATableHead"/>
            </w:pPr>
            <w:r w:rsidRPr="00FE398B">
              <w:t>Oxidising properties</w:t>
            </w:r>
          </w:p>
        </w:tc>
        <w:tc>
          <w:tcPr>
            <w:tcW w:w="5810" w:type="dxa"/>
          </w:tcPr>
          <w:p w14:paraId="51E669B2" w14:textId="77777777" w:rsidR="00566EA6" w:rsidRPr="00FE398B"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Not oxidizing</w:t>
            </w:r>
            <w:r>
              <w:t xml:space="preserve"> </w:t>
            </w:r>
            <w:r w:rsidRPr="005A3E0B">
              <w:rPr>
                <w:rFonts w:cs="Arial"/>
                <w:spacing w:val="6"/>
                <w:sz w:val="17"/>
                <w:u w:color="000000"/>
              </w:rPr>
              <w:t>for purified or technical active</w:t>
            </w:r>
          </w:p>
        </w:tc>
      </w:tr>
      <w:tr w:rsidR="00566EA6" w:rsidRPr="00FE398B" w14:paraId="41A3D0D1" w14:textId="77777777" w:rsidTr="00F85012">
        <w:trPr>
          <w:trHeight w:val="613"/>
        </w:trPr>
        <w:tc>
          <w:tcPr>
            <w:tcW w:w="3720" w:type="dxa"/>
            <w:shd w:val="clear" w:color="auto" w:fill="E6E6E6"/>
          </w:tcPr>
          <w:p w14:paraId="181AB689" w14:textId="77777777" w:rsidR="00566EA6" w:rsidRPr="00FE398B" w:rsidRDefault="00566EA6" w:rsidP="006A438E">
            <w:pPr>
              <w:pStyle w:val="APVMATableHead"/>
            </w:pPr>
            <w:r w:rsidRPr="00FE398B">
              <w:t>stability:</w:t>
            </w:r>
          </w:p>
        </w:tc>
        <w:tc>
          <w:tcPr>
            <w:tcW w:w="5810" w:type="dxa"/>
          </w:tcPr>
          <w:p w14:paraId="53D96D7A" w14:textId="77777777" w:rsidR="00566EA6" w:rsidRDefault="00566EA6" w:rsidP="00F85012">
            <w:pPr>
              <w:suppressAutoHyphens/>
              <w:spacing w:before="120" w:after="120" w:line="210" w:lineRule="exact"/>
              <w:rPr>
                <w:rFonts w:cs="Arial"/>
                <w:spacing w:val="6"/>
                <w:sz w:val="17"/>
                <w:u w:color="000000"/>
              </w:rPr>
            </w:pPr>
            <w:r w:rsidRPr="00FE398B">
              <w:rPr>
                <w:rFonts w:cs="Arial"/>
                <w:spacing w:val="6"/>
                <w:sz w:val="17"/>
                <w:u w:color="000000"/>
              </w:rPr>
              <w:t xml:space="preserve">Stable at </w:t>
            </w:r>
            <w:r>
              <w:rPr>
                <w:rFonts w:cs="Arial"/>
                <w:spacing w:val="6"/>
                <w:sz w:val="17"/>
                <w:u w:color="000000"/>
              </w:rPr>
              <w:t xml:space="preserve">54°C for 2 weeks </w:t>
            </w:r>
            <w:r w:rsidRPr="00C33FFF">
              <w:rPr>
                <w:rFonts w:cs="Arial"/>
                <w:spacing w:val="6"/>
                <w:sz w:val="17"/>
                <w:u w:color="000000"/>
              </w:rPr>
              <w:t>when stored in a lac</w:t>
            </w:r>
            <w:r>
              <w:rPr>
                <w:rFonts w:cs="Arial"/>
                <w:spacing w:val="6"/>
                <w:sz w:val="17"/>
                <w:u w:color="000000"/>
              </w:rPr>
              <w:t>quered steel or HDPE containers;</w:t>
            </w:r>
          </w:p>
          <w:p w14:paraId="5749B4A4" w14:textId="77777777" w:rsidR="00566EA6" w:rsidRPr="00FE398B" w:rsidRDefault="00566EA6" w:rsidP="00F85012">
            <w:pPr>
              <w:suppressAutoHyphens/>
              <w:spacing w:before="120" w:after="120" w:line="210" w:lineRule="exact"/>
              <w:rPr>
                <w:rFonts w:cs="Arial"/>
                <w:spacing w:val="6"/>
                <w:sz w:val="17"/>
                <w:u w:color="000000"/>
              </w:rPr>
            </w:pPr>
            <w:r w:rsidRPr="00C33FFF">
              <w:rPr>
                <w:rFonts w:cs="Arial"/>
                <w:spacing w:val="6"/>
                <w:sz w:val="17"/>
                <w:u w:color="000000"/>
              </w:rPr>
              <w:t>Stable in the presence of metals and metal ions (aluminium flakes and iron granules, aluminium acetate and iron acetate)</w:t>
            </w:r>
          </w:p>
        </w:tc>
      </w:tr>
    </w:tbl>
    <w:p w14:paraId="448EC894" w14:textId="34F8B81D" w:rsidR="00566EA6" w:rsidRPr="00FE398B" w:rsidRDefault="00566EA6" w:rsidP="00566EA6">
      <w:pPr>
        <w:spacing w:after="240" w:line="280" w:lineRule="exact"/>
        <w:rPr>
          <w:sz w:val="16"/>
          <w:szCs w:val="16"/>
        </w:rPr>
      </w:pPr>
    </w:p>
    <w:p w14:paraId="34B1A9C3" w14:textId="77777777" w:rsidR="00566EA6" w:rsidRPr="00C33FFF" w:rsidRDefault="00566EA6" w:rsidP="00566EA6">
      <w:pPr>
        <w:spacing w:before="240" w:after="240" w:line="280" w:lineRule="exact"/>
        <w:jc w:val="both"/>
      </w:pPr>
      <w:r w:rsidRPr="00C33FFF">
        <w:t xml:space="preserve">The APVMA has evaluated the chemistry aspects of </w:t>
      </w:r>
      <w:r w:rsidRPr="00003663">
        <w:t>pydiflumetofen</w:t>
      </w:r>
      <w:r w:rsidRPr="00C33FFF">
        <w:t xml:space="preserve"> active constituent (identification, physico-chemical properties, stability, manufacturing process, quality control procedures, batch analysis results and analytical methods) and found them to be acceptable. </w:t>
      </w:r>
    </w:p>
    <w:p w14:paraId="1ECA6912" w14:textId="77777777" w:rsidR="00566EA6" w:rsidRPr="00C33FFF" w:rsidRDefault="00566EA6" w:rsidP="005F3696">
      <w:pPr>
        <w:spacing w:before="240" w:after="240" w:line="280" w:lineRule="exact"/>
        <w:jc w:val="both"/>
      </w:pPr>
      <w:r w:rsidRPr="00C33FFF">
        <w:t xml:space="preserve">On the basis of the chemistry data provided, and the toxicological assessment, it is proposed that the following APVMA Active Constituent Standard be established for </w:t>
      </w:r>
      <w:r w:rsidRPr="00003663">
        <w:t>pydiflumetofen</w:t>
      </w:r>
      <w:r w:rsidRPr="00C33FFF">
        <w:t>:</w:t>
      </w:r>
    </w:p>
    <w:p w14:paraId="562D991A" w14:textId="77777777" w:rsidR="00566EA6" w:rsidRPr="00C33FFF" w:rsidRDefault="00566EA6" w:rsidP="006A438E">
      <w:pPr>
        <w:pStyle w:val="APVMATableHead"/>
      </w:pPr>
      <w:r w:rsidRPr="00C33FFF">
        <w:lastRenderedPageBreak/>
        <w:t xml:space="preserve">APVMA Active Constituent Standard for </w:t>
      </w:r>
      <w:r>
        <w:t>P</w:t>
      </w:r>
      <w:r w:rsidRPr="003E5896">
        <w:t>ydiflumetofen</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VMA active constituent standard for pydiflumetofen"/>
        <w:tblDescription w:val="Constituent specification level 980 g/kg pydiflumetofen"/>
      </w:tblPr>
      <w:tblGrid>
        <w:gridCol w:w="2407"/>
        <w:gridCol w:w="2407"/>
        <w:gridCol w:w="2978"/>
      </w:tblGrid>
      <w:tr w:rsidR="00566EA6" w:rsidRPr="00C33FFF" w14:paraId="6F0F9255" w14:textId="77777777" w:rsidTr="006A438E">
        <w:trPr>
          <w:trHeight w:val="433"/>
        </w:trPr>
        <w:tc>
          <w:tcPr>
            <w:tcW w:w="2407" w:type="dxa"/>
            <w:shd w:val="clear" w:color="auto" w:fill="F2F2F2" w:themeFill="background1" w:themeFillShade="F2"/>
            <w:vAlign w:val="center"/>
          </w:tcPr>
          <w:p w14:paraId="2E5751D0" w14:textId="77777777" w:rsidR="00566EA6" w:rsidRPr="00C33FFF" w:rsidRDefault="00566EA6" w:rsidP="006A438E">
            <w:pPr>
              <w:pStyle w:val="APVMATableHead"/>
            </w:pPr>
            <w:r w:rsidRPr="00C33FFF">
              <w:t>CONSTITUENT</w:t>
            </w:r>
          </w:p>
        </w:tc>
        <w:tc>
          <w:tcPr>
            <w:tcW w:w="2407" w:type="dxa"/>
            <w:shd w:val="clear" w:color="auto" w:fill="F2F2F2" w:themeFill="background1" w:themeFillShade="F2"/>
            <w:vAlign w:val="center"/>
          </w:tcPr>
          <w:p w14:paraId="66EA6A75" w14:textId="77777777" w:rsidR="00566EA6" w:rsidRPr="00C33FFF" w:rsidRDefault="00566EA6" w:rsidP="006A438E">
            <w:pPr>
              <w:pStyle w:val="APVMATableHead"/>
            </w:pPr>
            <w:r w:rsidRPr="00C33FFF">
              <w:t>SPECIFICATION</w:t>
            </w:r>
          </w:p>
        </w:tc>
        <w:tc>
          <w:tcPr>
            <w:tcW w:w="2978" w:type="dxa"/>
            <w:shd w:val="clear" w:color="auto" w:fill="F2F2F2" w:themeFill="background1" w:themeFillShade="F2"/>
            <w:vAlign w:val="center"/>
          </w:tcPr>
          <w:p w14:paraId="4A02F8CC" w14:textId="77777777" w:rsidR="00566EA6" w:rsidRPr="00C33FFF" w:rsidRDefault="00566EA6" w:rsidP="006A438E">
            <w:pPr>
              <w:pStyle w:val="APVMATableHead"/>
            </w:pPr>
            <w:r w:rsidRPr="00C33FFF">
              <w:t>LEVEL</w:t>
            </w:r>
          </w:p>
        </w:tc>
      </w:tr>
      <w:tr w:rsidR="00566EA6" w:rsidRPr="00C33FFF" w14:paraId="1F2427B7" w14:textId="77777777" w:rsidTr="00F85012">
        <w:trPr>
          <w:trHeight w:val="374"/>
        </w:trPr>
        <w:tc>
          <w:tcPr>
            <w:tcW w:w="2407" w:type="dxa"/>
            <w:shd w:val="clear" w:color="auto" w:fill="auto"/>
          </w:tcPr>
          <w:p w14:paraId="436DBA1E" w14:textId="77777777" w:rsidR="00566EA6" w:rsidRPr="00C33FFF" w:rsidRDefault="00566EA6" w:rsidP="006A438E">
            <w:pPr>
              <w:pStyle w:val="APVMATableText"/>
            </w:pPr>
            <w:r>
              <w:t>P</w:t>
            </w:r>
            <w:r w:rsidRPr="00003663">
              <w:t>ydiflumetofen</w:t>
            </w:r>
          </w:p>
        </w:tc>
        <w:tc>
          <w:tcPr>
            <w:tcW w:w="2407" w:type="dxa"/>
            <w:shd w:val="clear" w:color="auto" w:fill="auto"/>
          </w:tcPr>
          <w:p w14:paraId="6389F8D2" w14:textId="77777777" w:rsidR="00566EA6" w:rsidRPr="00C33FFF" w:rsidRDefault="00566EA6" w:rsidP="006A438E">
            <w:pPr>
              <w:pStyle w:val="APVMATableText"/>
            </w:pPr>
            <w:r>
              <w:t>P</w:t>
            </w:r>
            <w:r w:rsidRPr="00003663">
              <w:t>ydiflumetofen</w:t>
            </w:r>
          </w:p>
        </w:tc>
        <w:tc>
          <w:tcPr>
            <w:tcW w:w="2978" w:type="dxa"/>
            <w:shd w:val="clear" w:color="auto" w:fill="auto"/>
          </w:tcPr>
          <w:p w14:paraId="3F1B8E05" w14:textId="77777777" w:rsidR="00566EA6" w:rsidRPr="00C33FFF" w:rsidRDefault="00566EA6" w:rsidP="006A438E">
            <w:pPr>
              <w:pStyle w:val="APVMATableText"/>
            </w:pPr>
            <w:r w:rsidRPr="00C33FFF">
              <w:t>9</w:t>
            </w:r>
            <w:r>
              <w:t>80</w:t>
            </w:r>
            <w:r w:rsidRPr="00C33FFF">
              <w:t xml:space="preserve"> g/kg minimum </w:t>
            </w:r>
          </w:p>
        </w:tc>
      </w:tr>
    </w:tbl>
    <w:p w14:paraId="49145F69" w14:textId="77777777" w:rsidR="00566EA6" w:rsidRPr="00C33FFF" w:rsidRDefault="00566EA6" w:rsidP="00566EA6">
      <w:pPr>
        <w:spacing w:before="240" w:after="240" w:line="280" w:lineRule="exact"/>
        <w:jc w:val="both"/>
      </w:pPr>
      <w:bookmarkStart w:id="10" w:name="_Toc455643075"/>
      <w:r w:rsidRPr="00C33FFF">
        <w:t xml:space="preserve">Approval of </w:t>
      </w:r>
      <w:r w:rsidRPr="00003663">
        <w:t>pydiflumetofen</w:t>
      </w:r>
      <w:r w:rsidRPr="00C33FFF">
        <w:t xml:space="preserve"> </w:t>
      </w:r>
      <w:r>
        <w:t xml:space="preserve">active constituent </w:t>
      </w:r>
      <w:r w:rsidRPr="00C33FFF">
        <w:t xml:space="preserve">is supported from a chemistry perspective. </w:t>
      </w:r>
    </w:p>
    <w:p w14:paraId="00FC3464" w14:textId="05C9B4A8" w:rsidR="00566EA6" w:rsidRPr="00C33FFF" w:rsidRDefault="00566EA6" w:rsidP="00566EA6">
      <w:pPr>
        <w:keepNext/>
        <w:keepLines/>
        <w:numPr>
          <w:ilvl w:val="1"/>
          <w:numId w:val="2"/>
        </w:numPr>
        <w:tabs>
          <w:tab w:val="clear" w:pos="680"/>
          <w:tab w:val="num" w:pos="907"/>
        </w:tabs>
        <w:suppressAutoHyphens/>
        <w:spacing w:before="400" w:line="320" w:lineRule="exact"/>
        <w:ind w:left="907" w:hanging="907"/>
        <w:outlineLvl w:val="1"/>
        <w:rPr>
          <w:rFonts w:ascii="Trebuchet MS" w:hAnsi="Trebuchet MS" w:cs="Arial"/>
          <w:b/>
          <w:color w:val="365860"/>
          <w:sz w:val="28"/>
          <w:szCs w:val="28"/>
          <w:u w:color="000000"/>
        </w:rPr>
      </w:pPr>
      <w:r w:rsidRPr="00C33FFF">
        <w:rPr>
          <w:rFonts w:ascii="Trebuchet MS" w:hAnsi="Trebuchet MS" w:cs="Arial"/>
          <w:b/>
          <w:color w:val="365860"/>
          <w:sz w:val="28"/>
          <w:szCs w:val="28"/>
          <w:u w:color="000000"/>
        </w:rPr>
        <w:t>Formulated product</w:t>
      </w:r>
      <w:bookmarkEnd w:id="10"/>
    </w:p>
    <w:p w14:paraId="6672A1BD" w14:textId="7AE77F5C" w:rsidR="00566EA6" w:rsidRPr="00C33FFF" w:rsidRDefault="00566EA6" w:rsidP="00566EA6">
      <w:pPr>
        <w:suppressAutoHyphens/>
        <w:spacing w:before="240" w:after="240" w:line="280" w:lineRule="exact"/>
        <w:jc w:val="both"/>
        <w:rPr>
          <w:rFonts w:cs="Arial"/>
          <w:u w:color="000000"/>
        </w:rPr>
      </w:pPr>
      <w:r w:rsidRPr="00C33FFF">
        <w:rPr>
          <w:rFonts w:cs="Arial"/>
          <w:u w:color="000000"/>
        </w:rPr>
        <w:t xml:space="preserve">The product </w:t>
      </w:r>
      <w:r w:rsidR="00DD5B79" w:rsidRPr="005F3696">
        <w:rPr>
          <w:rFonts w:cs="Arial"/>
          <w:u w:color="000000"/>
        </w:rPr>
        <w:t>Miravis Fungicide</w:t>
      </w:r>
      <w:r w:rsidRPr="00003663">
        <w:rPr>
          <w:rFonts w:cs="Arial"/>
          <w:i/>
          <w:u w:color="000000"/>
        </w:rPr>
        <w:t xml:space="preserve"> </w:t>
      </w:r>
      <w:r w:rsidRPr="00C33FFF">
        <w:rPr>
          <w:rFonts w:cs="Arial"/>
          <w:u w:color="000000"/>
        </w:rPr>
        <w:t xml:space="preserve">will be manufactured overseas. It is a </w:t>
      </w:r>
      <w:r>
        <w:rPr>
          <w:rFonts w:cs="Arial"/>
          <w:u w:color="000000"/>
        </w:rPr>
        <w:t>suspension</w:t>
      </w:r>
      <w:r w:rsidRPr="00C33FFF">
        <w:rPr>
          <w:rFonts w:cs="Arial"/>
          <w:u w:color="000000"/>
        </w:rPr>
        <w:t xml:space="preserve"> concentrate formulation containing </w:t>
      </w:r>
      <w:r>
        <w:rPr>
          <w:rFonts w:cs="Arial"/>
          <w:u w:color="000000"/>
        </w:rPr>
        <w:t>200 g/L p</w:t>
      </w:r>
      <w:r w:rsidRPr="003E5896">
        <w:rPr>
          <w:rFonts w:cs="Arial"/>
          <w:u w:color="000000"/>
        </w:rPr>
        <w:t>ydiflumetofen</w:t>
      </w:r>
      <w:r w:rsidRPr="00C33FFF">
        <w:rPr>
          <w:rFonts w:cs="Arial"/>
          <w:u w:color="000000"/>
        </w:rPr>
        <w:t xml:space="preserve"> as the only active constituent. </w:t>
      </w:r>
      <w:r w:rsidR="00DD5B79" w:rsidRPr="005F3696">
        <w:rPr>
          <w:rFonts w:cs="Arial"/>
          <w:u w:color="000000"/>
        </w:rPr>
        <w:t>Miravis Fungicide</w:t>
      </w:r>
      <w:r w:rsidR="00DD5B79" w:rsidRPr="003E5896">
        <w:rPr>
          <w:rFonts w:cs="Arial"/>
          <w:i/>
          <w:u w:color="000000"/>
        </w:rPr>
        <w:t xml:space="preserve"> </w:t>
      </w:r>
      <w:r w:rsidRPr="00C33FFF">
        <w:rPr>
          <w:rFonts w:cs="Arial"/>
          <w:u w:color="000000"/>
        </w:rPr>
        <w:t>will be packaged in high density polyethylene (HDPE)</w:t>
      </w:r>
      <w:r>
        <w:rPr>
          <w:rFonts w:cs="Arial"/>
          <w:u w:color="000000"/>
        </w:rPr>
        <w:t xml:space="preserve"> or polyethylene terephthalate (PET)</w:t>
      </w:r>
      <w:r w:rsidRPr="00C33FFF">
        <w:rPr>
          <w:rFonts w:cs="Arial"/>
          <w:u w:color="000000"/>
        </w:rPr>
        <w:t xml:space="preserve"> containers ranging from 1</w:t>
      </w:r>
      <w:r w:rsidR="00DD5B79">
        <w:rPr>
          <w:rFonts w:cs="Arial"/>
          <w:u w:color="000000"/>
        </w:rPr>
        <w:t>–</w:t>
      </w:r>
      <w:r w:rsidRPr="00C33FFF">
        <w:rPr>
          <w:rFonts w:cs="Arial"/>
          <w:u w:color="000000"/>
        </w:rPr>
        <w:t xml:space="preserve">20 L. Suitable details of the product formulation, specifications for the ingredients, formulation and quality control processes, product specifications, stability data for the product when stored in the proposed packaging, analytical methods for the active constituent in the product, and details of the proposed containers, were provided and evaluated. </w:t>
      </w:r>
    </w:p>
    <w:p w14:paraId="56B3BF74" w14:textId="77777777" w:rsidR="00566EA6" w:rsidRPr="00C33FFF" w:rsidRDefault="00566EA6" w:rsidP="00566EA6">
      <w:pPr>
        <w:suppressAutoHyphens/>
        <w:spacing w:before="240" w:after="240" w:line="280" w:lineRule="exact"/>
        <w:jc w:val="both"/>
        <w:rPr>
          <w:rFonts w:cs="Arial"/>
          <w:u w:color="000000"/>
        </w:rPr>
      </w:pPr>
      <w:r w:rsidRPr="00C33FFF">
        <w:rPr>
          <w:rFonts w:cs="Arial"/>
          <w:u w:color="000000"/>
        </w:rPr>
        <w:t xml:space="preserve">The stability data indicates that the product will remain stable for up to two years when stored under normal conditions. </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Miravis Fungicide"/>
        <w:tblDescription w:val="Miravis Fungicide containing 200g/L pydiflumetofen"/>
      </w:tblPr>
      <w:tblGrid>
        <w:gridCol w:w="3861"/>
        <w:gridCol w:w="5669"/>
      </w:tblGrid>
      <w:tr w:rsidR="00566EA6" w:rsidRPr="00C33FFF" w14:paraId="47089FC8" w14:textId="77777777" w:rsidTr="00F85012">
        <w:trPr>
          <w:cantSplit/>
        </w:trPr>
        <w:tc>
          <w:tcPr>
            <w:tcW w:w="3861" w:type="dxa"/>
            <w:shd w:val="clear" w:color="auto" w:fill="E6E6E6"/>
          </w:tcPr>
          <w:p w14:paraId="48C4AABE"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Product name:</w:t>
            </w:r>
          </w:p>
        </w:tc>
        <w:tc>
          <w:tcPr>
            <w:tcW w:w="5669" w:type="dxa"/>
          </w:tcPr>
          <w:p w14:paraId="3BD7208D" w14:textId="2838F4D3" w:rsidR="00566EA6" w:rsidRPr="00C33FFF" w:rsidRDefault="00DD5B79" w:rsidP="00DD5B79">
            <w:pPr>
              <w:pStyle w:val="APVMATableText"/>
            </w:pPr>
            <w:r w:rsidRPr="00D00A9C">
              <w:t>Miravis Fungicide</w:t>
            </w:r>
          </w:p>
        </w:tc>
      </w:tr>
      <w:tr w:rsidR="00566EA6" w:rsidRPr="00C33FFF" w14:paraId="50747FB0" w14:textId="77777777" w:rsidTr="00F85012">
        <w:trPr>
          <w:cantSplit/>
        </w:trPr>
        <w:tc>
          <w:tcPr>
            <w:tcW w:w="3861" w:type="dxa"/>
            <w:shd w:val="clear" w:color="auto" w:fill="E6E6E6"/>
          </w:tcPr>
          <w:p w14:paraId="30E69E57"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formulation type:</w:t>
            </w:r>
          </w:p>
        </w:tc>
        <w:tc>
          <w:tcPr>
            <w:tcW w:w="5669" w:type="dxa"/>
          </w:tcPr>
          <w:p w14:paraId="1A552B8D" w14:textId="77777777" w:rsidR="00566EA6" w:rsidRPr="00C33FFF" w:rsidRDefault="00566EA6" w:rsidP="00DD5B79">
            <w:pPr>
              <w:pStyle w:val="APVMATableText"/>
            </w:pPr>
            <w:r>
              <w:t>Suspension</w:t>
            </w:r>
            <w:r w:rsidRPr="00C33FFF">
              <w:t xml:space="preserve"> </w:t>
            </w:r>
            <w:r>
              <w:t>c</w:t>
            </w:r>
            <w:r w:rsidRPr="00C33FFF">
              <w:t>oncentrate (S</w:t>
            </w:r>
            <w:r>
              <w:t>C</w:t>
            </w:r>
            <w:r w:rsidRPr="00C33FFF">
              <w:t>)</w:t>
            </w:r>
          </w:p>
        </w:tc>
      </w:tr>
      <w:tr w:rsidR="00566EA6" w:rsidRPr="00C33FFF" w14:paraId="3312768A" w14:textId="77777777" w:rsidTr="00F85012">
        <w:trPr>
          <w:cantSplit/>
        </w:trPr>
        <w:tc>
          <w:tcPr>
            <w:tcW w:w="3861" w:type="dxa"/>
            <w:shd w:val="clear" w:color="auto" w:fill="E6E6E6"/>
          </w:tcPr>
          <w:p w14:paraId="20535702"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active constituent concentration:</w:t>
            </w:r>
          </w:p>
        </w:tc>
        <w:tc>
          <w:tcPr>
            <w:tcW w:w="5669" w:type="dxa"/>
          </w:tcPr>
          <w:p w14:paraId="383DB9EC" w14:textId="77777777" w:rsidR="00566EA6" w:rsidRPr="00C33FFF" w:rsidRDefault="00566EA6" w:rsidP="00DD5B79">
            <w:pPr>
              <w:pStyle w:val="APVMATableText"/>
            </w:pPr>
            <w:r>
              <w:t>200</w:t>
            </w:r>
            <w:r w:rsidRPr="00C33FFF">
              <w:t xml:space="preserve"> g/L </w:t>
            </w:r>
            <w:r w:rsidRPr="003E5896">
              <w:t>Pydiflumetofen</w:t>
            </w:r>
          </w:p>
        </w:tc>
      </w:tr>
    </w:tbl>
    <w:p w14:paraId="76EB6A33" w14:textId="77777777" w:rsidR="00DD5B79" w:rsidRDefault="00DD5B79" w:rsidP="00566EA6">
      <w:pPr>
        <w:widowControl w:val="0"/>
        <w:tabs>
          <w:tab w:val="num" w:pos="907"/>
        </w:tabs>
        <w:suppressAutoHyphens/>
        <w:spacing w:before="320" w:line="360" w:lineRule="auto"/>
        <w:outlineLvl w:val="2"/>
        <w:rPr>
          <w:rFonts w:ascii="Trebuchet MS" w:hAnsi="Trebuchet MS" w:cs="Arial"/>
          <w:b/>
          <w:color w:val="365860"/>
          <w:sz w:val="24"/>
          <w:szCs w:val="26"/>
          <w:u w:color="000000"/>
        </w:rPr>
        <w:sectPr w:rsidR="00DD5B79" w:rsidSect="006A438E">
          <w:headerReference w:type="default" r:id="rId31"/>
          <w:pgSz w:w="11906" w:h="16838" w:code="9"/>
          <w:pgMar w:top="2835" w:right="991" w:bottom="1134" w:left="1134" w:header="1701" w:footer="680" w:gutter="0"/>
          <w:cols w:space="708"/>
          <w:docGrid w:linePitch="360"/>
        </w:sectPr>
      </w:pPr>
    </w:p>
    <w:p w14:paraId="665A63DF" w14:textId="321F5422" w:rsidR="00566EA6" w:rsidRPr="00C33FFF" w:rsidRDefault="00566EA6" w:rsidP="00566EA6">
      <w:pPr>
        <w:widowControl w:val="0"/>
        <w:tabs>
          <w:tab w:val="num" w:pos="907"/>
        </w:tabs>
        <w:suppressAutoHyphens/>
        <w:spacing w:before="320" w:line="360" w:lineRule="auto"/>
        <w:outlineLvl w:val="2"/>
        <w:rPr>
          <w:rFonts w:ascii="Trebuchet MS" w:hAnsi="Trebuchet MS" w:cs="Arial"/>
          <w:b/>
          <w:color w:val="365860"/>
          <w:sz w:val="24"/>
          <w:szCs w:val="26"/>
          <w:u w:color="000000"/>
        </w:rPr>
      </w:pPr>
      <w:r w:rsidRPr="00C33FFF">
        <w:rPr>
          <w:rFonts w:ascii="Trebuchet MS" w:hAnsi="Trebuchet MS" w:cs="Arial"/>
          <w:b/>
          <w:color w:val="365860"/>
          <w:sz w:val="24"/>
          <w:szCs w:val="26"/>
          <w:u w:color="000000"/>
        </w:rPr>
        <w:lastRenderedPageBreak/>
        <w:t>Physical and chemical properties of product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Physical and chemical properties of product"/>
        <w:tblDescription w:val="Table lists key physicochemical properties for the formulated product Miravis Fungicide. "/>
      </w:tblPr>
      <w:tblGrid>
        <w:gridCol w:w="3142"/>
        <w:gridCol w:w="5776"/>
      </w:tblGrid>
      <w:tr w:rsidR="00566EA6" w:rsidRPr="00C33FFF" w14:paraId="517DFBC9" w14:textId="77777777" w:rsidTr="00F85012">
        <w:tc>
          <w:tcPr>
            <w:tcW w:w="3142" w:type="dxa"/>
            <w:shd w:val="clear" w:color="auto" w:fill="E6E6E6"/>
          </w:tcPr>
          <w:p w14:paraId="34B656C0"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physical form:</w:t>
            </w:r>
          </w:p>
        </w:tc>
        <w:tc>
          <w:tcPr>
            <w:tcW w:w="5776" w:type="dxa"/>
          </w:tcPr>
          <w:p w14:paraId="522ADD70" w14:textId="77777777" w:rsidR="00566EA6" w:rsidRPr="00C33FFF" w:rsidRDefault="00566EA6" w:rsidP="00F85012">
            <w:pPr>
              <w:suppressAutoHyphens/>
              <w:spacing w:before="120" w:after="120" w:line="210" w:lineRule="exact"/>
              <w:rPr>
                <w:rFonts w:cs="Arial"/>
                <w:spacing w:val="6"/>
                <w:sz w:val="17"/>
                <w:u w:color="000000"/>
              </w:rPr>
            </w:pPr>
            <w:r w:rsidRPr="003E5896">
              <w:rPr>
                <w:rFonts w:cs="Arial"/>
                <w:spacing w:val="6"/>
                <w:sz w:val="17"/>
                <w:u w:color="000000"/>
              </w:rPr>
              <w:t>Off-white liquid</w:t>
            </w:r>
          </w:p>
        </w:tc>
      </w:tr>
      <w:tr w:rsidR="00566EA6" w:rsidRPr="00C33FFF" w14:paraId="0D99493E" w14:textId="77777777" w:rsidTr="00F85012">
        <w:tc>
          <w:tcPr>
            <w:tcW w:w="3142" w:type="dxa"/>
            <w:shd w:val="clear" w:color="auto" w:fill="E6E6E6"/>
          </w:tcPr>
          <w:p w14:paraId="69312FA6"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odour:</w:t>
            </w:r>
          </w:p>
        </w:tc>
        <w:tc>
          <w:tcPr>
            <w:tcW w:w="5776" w:type="dxa"/>
          </w:tcPr>
          <w:p w14:paraId="1EFDE725" w14:textId="77777777" w:rsidR="00566EA6" w:rsidRPr="00C33FFF" w:rsidRDefault="00566EA6" w:rsidP="00F85012">
            <w:pPr>
              <w:suppressAutoHyphens/>
              <w:spacing w:before="120" w:after="120" w:line="210" w:lineRule="exact"/>
              <w:rPr>
                <w:rFonts w:cs="Arial"/>
                <w:spacing w:val="6"/>
                <w:sz w:val="17"/>
                <w:u w:color="000000"/>
              </w:rPr>
            </w:pPr>
            <w:r w:rsidRPr="003E5896">
              <w:rPr>
                <w:rFonts w:cs="Arial"/>
                <w:spacing w:val="6"/>
                <w:sz w:val="17"/>
                <w:u w:color="000000"/>
              </w:rPr>
              <w:t>No particular odour</w:t>
            </w:r>
          </w:p>
        </w:tc>
      </w:tr>
      <w:tr w:rsidR="00566EA6" w:rsidRPr="00C33FFF" w14:paraId="363699F3" w14:textId="77777777" w:rsidTr="00F85012">
        <w:tc>
          <w:tcPr>
            <w:tcW w:w="3142" w:type="dxa"/>
            <w:shd w:val="clear" w:color="auto" w:fill="E6E6E6"/>
          </w:tcPr>
          <w:p w14:paraId="4C9B77FC"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pH value:</w:t>
            </w:r>
          </w:p>
        </w:tc>
        <w:tc>
          <w:tcPr>
            <w:tcW w:w="5776" w:type="dxa"/>
          </w:tcPr>
          <w:p w14:paraId="0356DBB0" w14:textId="77777777" w:rsidR="00566EA6" w:rsidRPr="00C33FFF" w:rsidRDefault="00566EA6" w:rsidP="00F85012">
            <w:pPr>
              <w:suppressAutoHyphens/>
              <w:spacing w:before="120" w:after="120" w:line="210" w:lineRule="exact"/>
              <w:rPr>
                <w:rFonts w:cs="Arial"/>
                <w:spacing w:val="6"/>
                <w:sz w:val="17"/>
                <w:u w:color="000000"/>
              </w:rPr>
            </w:pPr>
            <w:r w:rsidRPr="00C33FFF">
              <w:rPr>
                <w:rFonts w:cs="Arial"/>
                <w:spacing w:val="6"/>
                <w:sz w:val="17"/>
                <w:u w:color="000000"/>
              </w:rPr>
              <w:t xml:space="preserve">pH: </w:t>
            </w:r>
            <w:r>
              <w:rPr>
                <w:rFonts w:cs="Arial"/>
                <w:spacing w:val="6"/>
                <w:sz w:val="17"/>
                <w:u w:color="000000"/>
              </w:rPr>
              <w:t>7.2</w:t>
            </w:r>
            <w:r w:rsidRPr="00C33FFF">
              <w:rPr>
                <w:rFonts w:cs="Arial"/>
                <w:spacing w:val="6"/>
                <w:sz w:val="17"/>
                <w:u w:color="000000"/>
              </w:rPr>
              <w:t xml:space="preserve"> (undiluted</w:t>
            </w:r>
            <w:r>
              <w:rPr>
                <w:rFonts w:cs="Arial"/>
                <w:spacing w:val="6"/>
                <w:sz w:val="17"/>
                <w:u w:color="000000"/>
              </w:rPr>
              <w:t xml:space="preserve"> at 25 °C</w:t>
            </w:r>
            <w:r w:rsidRPr="00C33FFF">
              <w:rPr>
                <w:rFonts w:cs="Arial"/>
                <w:spacing w:val="6"/>
                <w:sz w:val="17"/>
                <w:u w:color="000000"/>
              </w:rPr>
              <w:t xml:space="preserve">); pH: </w:t>
            </w:r>
            <w:r>
              <w:rPr>
                <w:rFonts w:cs="Arial"/>
                <w:spacing w:val="6"/>
                <w:sz w:val="17"/>
                <w:u w:color="000000"/>
              </w:rPr>
              <w:t>7.5</w:t>
            </w:r>
            <w:r w:rsidRPr="00C33FFF">
              <w:rPr>
                <w:rFonts w:cs="Arial"/>
                <w:spacing w:val="6"/>
                <w:sz w:val="17"/>
                <w:u w:color="000000"/>
              </w:rPr>
              <w:t xml:space="preserve"> (1% in </w:t>
            </w:r>
            <w:r>
              <w:rPr>
                <w:rFonts w:cs="Arial"/>
                <w:spacing w:val="6"/>
                <w:sz w:val="17"/>
                <w:u w:color="000000"/>
              </w:rPr>
              <w:t xml:space="preserve">DI </w:t>
            </w:r>
            <w:r w:rsidRPr="00C33FFF">
              <w:rPr>
                <w:rFonts w:cs="Arial"/>
                <w:spacing w:val="6"/>
                <w:sz w:val="17"/>
                <w:u w:color="000000"/>
              </w:rPr>
              <w:t>water</w:t>
            </w:r>
            <w:r>
              <w:rPr>
                <w:rFonts w:cs="Arial"/>
                <w:spacing w:val="6"/>
                <w:sz w:val="17"/>
                <w:u w:color="000000"/>
              </w:rPr>
              <w:t xml:space="preserve"> at 25 °C</w:t>
            </w:r>
            <w:r w:rsidRPr="00C33FFF">
              <w:rPr>
                <w:rFonts w:cs="Arial"/>
                <w:spacing w:val="6"/>
                <w:sz w:val="17"/>
                <w:u w:color="000000"/>
              </w:rPr>
              <w:t>)</w:t>
            </w:r>
          </w:p>
        </w:tc>
      </w:tr>
      <w:tr w:rsidR="00566EA6" w:rsidRPr="00C33FFF" w14:paraId="74CFD0C1" w14:textId="77777777" w:rsidTr="00F85012">
        <w:tc>
          <w:tcPr>
            <w:tcW w:w="3142" w:type="dxa"/>
            <w:shd w:val="clear" w:color="auto" w:fill="E6E6E6"/>
          </w:tcPr>
          <w:p w14:paraId="67BCBCCB"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Surface tension:</w:t>
            </w:r>
          </w:p>
        </w:tc>
        <w:tc>
          <w:tcPr>
            <w:tcW w:w="5776" w:type="dxa"/>
          </w:tcPr>
          <w:p w14:paraId="4EA39674" w14:textId="77777777" w:rsidR="00566EA6" w:rsidRPr="00C33FFF" w:rsidRDefault="00566EA6" w:rsidP="00F85012">
            <w:pPr>
              <w:suppressAutoHyphens/>
              <w:spacing w:before="120" w:after="120" w:line="210" w:lineRule="exact"/>
              <w:rPr>
                <w:rFonts w:cs="Arial"/>
                <w:spacing w:val="6"/>
                <w:sz w:val="17"/>
                <w:u w:color="000000"/>
              </w:rPr>
            </w:pPr>
            <w:r w:rsidRPr="00C33FFF">
              <w:rPr>
                <w:rFonts w:cs="Arial"/>
                <w:spacing w:val="6"/>
                <w:sz w:val="17"/>
                <w:u w:color="000000"/>
              </w:rPr>
              <w:t>3</w:t>
            </w:r>
            <w:r>
              <w:rPr>
                <w:rFonts w:cs="Arial"/>
                <w:spacing w:val="6"/>
                <w:sz w:val="17"/>
                <w:u w:color="000000"/>
              </w:rPr>
              <w:t>6.0</w:t>
            </w:r>
            <w:r w:rsidRPr="00C33FFF">
              <w:rPr>
                <w:rFonts w:cs="Arial"/>
                <w:spacing w:val="6"/>
                <w:sz w:val="17"/>
                <w:u w:color="000000"/>
              </w:rPr>
              <w:t xml:space="preserve"> mN/m (</w:t>
            </w:r>
            <w:r>
              <w:rPr>
                <w:rFonts w:cs="Arial"/>
                <w:spacing w:val="6"/>
                <w:sz w:val="17"/>
                <w:u w:color="000000"/>
              </w:rPr>
              <w:t>1% in water, 20</w:t>
            </w:r>
            <w:r w:rsidRPr="00C33FFF">
              <w:rPr>
                <w:rFonts w:cs="Arial"/>
                <w:spacing w:val="6"/>
                <w:sz w:val="17"/>
                <w:u w:color="000000"/>
              </w:rPr>
              <w:t xml:space="preserve"> °C)</w:t>
            </w:r>
          </w:p>
        </w:tc>
      </w:tr>
      <w:tr w:rsidR="00566EA6" w:rsidRPr="00C33FFF" w14:paraId="600DF2E2" w14:textId="77777777" w:rsidTr="00F85012">
        <w:trPr>
          <w:trHeight w:val="423"/>
        </w:trPr>
        <w:tc>
          <w:tcPr>
            <w:tcW w:w="3142" w:type="dxa"/>
            <w:shd w:val="clear" w:color="auto" w:fill="E6E6E6"/>
          </w:tcPr>
          <w:p w14:paraId="63887C8A"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Viscosity</w:t>
            </w:r>
            <w:r>
              <w:rPr>
                <w:rFonts w:ascii="Trebuchet MS" w:hAnsi="Trebuchet MS" w:cs="Arial"/>
                <w:b/>
                <w:bCs/>
                <w:caps/>
                <w:color w:val="365860"/>
                <w:spacing w:val="6"/>
                <w:sz w:val="18"/>
                <w:u w:color="000000"/>
              </w:rPr>
              <w:t xml:space="preserve"> (at 20°C)</w:t>
            </w:r>
            <w:r w:rsidRPr="00C33FFF">
              <w:rPr>
                <w:rFonts w:ascii="Trebuchet MS" w:hAnsi="Trebuchet MS" w:cs="Arial"/>
                <w:b/>
                <w:bCs/>
                <w:caps/>
                <w:color w:val="365860"/>
                <w:spacing w:val="6"/>
                <w:sz w:val="18"/>
                <w:u w:color="000000"/>
              </w:rPr>
              <w:t>:</w:t>
            </w:r>
          </w:p>
        </w:tc>
        <w:tc>
          <w:tcPr>
            <w:tcW w:w="5776" w:type="dxa"/>
          </w:tcPr>
          <w:p w14:paraId="061EA0DD" w14:textId="77777777" w:rsidR="00566EA6" w:rsidRPr="00C33FFF" w:rsidRDefault="00566EA6" w:rsidP="00F85012">
            <w:pPr>
              <w:suppressAutoHyphens/>
              <w:spacing w:before="120" w:after="120" w:line="210" w:lineRule="exact"/>
              <w:rPr>
                <w:rFonts w:cs="Arial"/>
                <w:spacing w:val="6"/>
                <w:sz w:val="17"/>
                <w:u w:color="000000"/>
              </w:rPr>
            </w:pPr>
            <w:r w:rsidRPr="00846EF9">
              <w:rPr>
                <w:rFonts w:cs="Arial"/>
                <w:spacing w:val="6"/>
                <w:sz w:val="17"/>
                <w:u w:color="000000"/>
              </w:rPr>
              <w:t>212 mPa.s at 20 s</w:t>
            </w:r>
            <w:r w:rsidRPr="00846EF9">
              <w:rPr>
                <w:rFonts w:cs="Arial"/>
                <w:spacing w:val="6"/>
                <w:sz w:val="17"/>
                <w:u w:color="000000"/>
                <w:vertAlign w:val="superscript"/>
              </w:rPr>
              <w:t>-1</w:t>
            </w:r>
            <w:r w:rsidRPr="00846EF9">
              <w:rPr>
                <w:rFonts w:cs="Arial"/>
                <w:spacing w:val="6"/>
                <w:sz w:val="17"/>
                <w:u w:color="000000"/>
              </w:rPr>
              <w:t>;</w:t>
            </w:r>
            <w:r>
              <w:rPr>
                <w:rFonts w:cs="Arial"/>
                <w:spacing w:val="6"/>
                <w:sz w:val="17"/>
                <w:u w:color="000000"/>
                <w:vertAlign w:val="superscript"/>
              </w:rPr>
              <w:t xml:space="preserve"> </w:t>
            </w:r>
            <w:r w:rsidRPr="00846EF9">
              <w:rPr>
                <w:rFonts w:cs="Arial"/>
                <w:spacing w:val="6"/>
                <w:sz w:val="17"/>
                <w:u w:color="000000"/>
              </w:rPr>
              <w:t>80.8 mPa.s at 100 s</w:t>
            </w:r>
            <w:r w:rsidRPr="00846EF9">
              <w:rPr>
                <w:rFonts w:cs="Arial"/>
                <w:spacing w:val="6"/>
                <w:sz w:val="17"/>
                <w:u w:color="000000"/>
                <w:vertAlign w:val="superscript"/>
              </w:rPr>
              <w:t>-1</w:t>
            </w:r>
            <w:r w:rsidRPr="00846EF9">
              <w:rPr>
                <w:rFonts w:cs="Arial"/>
                <w:spacing w:val="6"/>
                <w:sz w:val="17"/>
                <w:u w:color="000000"/>
              </w:rPr>
              <w:t>;</w:t>
            </w:r>
          </w:p>
        </w:tc>
      </w:tr>
      <w:tr w:rsidR="00566EA6" w:rsidRPr="00C33FFF" w14:paraId="3484FF74" w14:textId="77777777" w:rsidTr="00F85012">
        <w:trPr>
          <w:trHeight w:val="423"/>
        </w:trPr>
        <w:tc>
          <w:tcPr>
            <w:tcW w:w="3142" w:type="dxa"/>
            <w:shd w:val="clear" w:color="auto" w:fill="E6E6E6"/>
          </w:tcPr>
          <w:p w14:paraId="122BB593"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Pr>
                <w:rFonts w:ascii="Trebuchet MS" w:hAnsi="Trebuchet MS" w:cs="Arial"/>
                <w:b/>
                <w:bCs/>
                <w:caps/>
                <w:color w:val="365860"/>
                <w:spacing w:val="6"/>
                <w:sz w:val="18"/>
                <w:u w:color="000000"/>
              </w:rPr>
              <w:t>safety properties</w:t>
            </w:r>
          </w:p>
        </w:tc>
        <w:tc>
          <w:tcPr>
            <w:tcW w:w="5776" w:type="dxa"/>
          </w:tcPr>
          <w:p w14:paraId="31E18A57" w14:textId="77777777" w:rsidR="00566EA6" w:rsidRPr="00031F23" w:rsidRDefault="00566EA6" w:rsidP="00F85012">
            <w:pPr>
              <w:suppressAutoHyphens/>
              <w:spacing w:before="120" w:after="120" w:line="210" w:lineRule="exact"/>
              <w:rPr>
                <w:rFonts w:cs="Arial"/>
                <w:spacing w:val="6"/>
                <w:sz w:val="17"/>
                <w:szCs w:val="17"/>
                <w:u w:color="000000"/>
              </w:rPr>
            </w:pPr>
            <w:r w:rsidRPr="00917553">
              <w:rPr>
                <w:sz w:val="17"/>
                <w:szCs w:val="17"/>
              </w:rPr>
              <w:t>Not explosive, oxidising, reducing or flammable, compatible with water and a common dry powder fire extinguishing agent (mono-ammonium phosphate)</w:t>
            </w:r>
          </w:p>
        </w:tc>
      </w:tr>
      <w:tr w:rsidR="00566EA6" w:rsidRPr="00C33FFF" w14:paraId="162456AF" w14:textId="77777777" w:rsidTr="00F85012">
        <w:trPr>
          <w:trHeight w:val="435"/>
        </w:trPr>
        <w:tc>
          <w:tcPr>
            <w:tcW w:w="3142" w:type="dxa"/>
            <w:shd w:val="clear" w:color="auto" w:fill="E6E6E6"/>
          </w:tcPr>
          <w:p w14:paraId="6D48C26E"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corrosive hazard:</w:t>
            </w:r>
          </w:p>
        </w:tc>
        <w:tc>
          <w:tcPr>
            <w:tcW w:w="5776" w:type="dxa"/>
          </w:tcPr>
          <w:p w14:paraId="1B57E622" w14:textId="77777777" w:rsidR="00566EA6" w:rsidRPr="00C33FFF" w:rsidRDefault="00566EA6" w:rsidP="00F85012">
            <w:pPr>
              <w:suppressAutoHyphens/>
              <w:spacing w:before="120" w:after="120" w:line="210" w:lineRule="exact"/>
              <w:rPr>
                <w:rFonts w:cs="Arial"/>
                <w:noProof/>
                <w:spacing w:val="6"/>
                <w:sz w:val="17"/>
                <w:u w:color="000000"/>
                <w:lang w:eastAsia="en-AU"/>
              </w:rPr>
            </w:pPr>
            <w:r w:rsidRPr="00C33FFF">
              <w:rPr>
                <w:rFonts w:cs="Arial"/>
                <w:noProof/>
                <w:spacing w:val="6"/>
                <w:sz w:val="17"/>
                <w:u w:color="000000"/>
                <w:lang w:eastAsia="en-AU"/>
              </w:rPr>
              <w:t xml:space="preserve">Not corrosive to HDPE </w:t>
            </w:r>
            <w:r>
              <w:rPr>
                <w:rFonts w:cs="Arial"/>
                <w:noProof/>
                <w:spacing w:val="6"/>
                <w:sz w:val="17"/>
                <w:u w:color="000000"/>
                <w:lang w:eastAsia="en-AU"/>
              </w:rPr>
              <w:t xml:space="preserve">or PET </w:t>
            </w:r>
            <w:r w:rsidRPr="00C33FFF">
              <w:rPr>
                <w:rFonts w:cs="Arial"/>
                <w:noProof/>
                <w:spacing w:val="6"/>
                <w:sz w:val="17"/>
                <w:u w:color="000000"/>
                <w:lang w:eastAsia="en-AU"/>
              </w:rPr>
              <w:t>containers</w:t>
            </w:r>
          </w:p>
        </w:tc>
      </w:tr>
      <w:tr w:rsidR="00566EA6" w:rsidRPr="00C33FFF" w14:paraId="1A47743A" w14:textId="77777777" w:rsidTr="00F85012">
        <w:trPr>
          <w:trHeight w:val="359"/>
        </w:trPr>
        <w:tc>
          <w:tcPr>
            <w:tcW w:w="3142" w:type="dxa"/>
            <w:shd w:val="clear" w:color="auto" w:fill="E6E6E6"/>
          </w:tcPr>
          <w:p w14:paraId="0B1E311F"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pack sizes:</w:t>
            </w:r>
          </w:p>
        </w:tc>
        <w:tc>
          <w:tcPr>
            <w:tcW w:w="5776" w:type="dxa"/>
          </w:tcPr>
          <w:p w14:paraId="204F38EC" w14:textId="77777777" w:rsidR="00566EA6" w:rsidRPr="00C33FFF" w:rsidRDefault="00566EA6" w:rsidP="00F85012">
            <w:pPr>
              <w:suppressAutoHyphens/>
              <w:spacing w:before="120" w:after="120" w:line="210" w:lineRule="exact"/>
              <w:rPr>
                <w:rFonts w:cs="Arial"/>
                <w:noProof/>
                <w:spacing w:val="6"/>
                <w:sz w:val="17"/>
                <w:u w:color="000000"/>
                <w:lang w:eastAsia="en-AU"/>
              </w:rPr>
            </w:pPr>
            <w:r w:rsidRPr="00C33FFF">
              <w:rPr>
                <w:rFonts w:cs="Arial"/>
                <w:noProof/>
                <w:spacing w:val="6"/>
                <w:sz w:val="17"/>
                <w:u w:color="000000"/>
                <w:lang w:eastAsia="en-AU"/>
              </w:rPr>
              <w:t>1 L – 20 L</w:t>
            </w:r>
          </w:p>
        </w:tc>
      </w:tr>
      <w:tr w:rsidR="00566EA6" w:rsidRPr="00C33FFF" w14:paraId="48188776" w14:textId="77777777" w:rsidTr="00F85012">
        <w:trPr>
          <w:trHeight w:val="439"/>
        </w:trPr>
        <w:tc>
          <w:tcPr>
            <w:tcW w:w="3142" w:type="dxa"/>
            <w:shd w:val="clear" w:color="auto" w:fill="E6E6E6"/>
          </w:tcPr>
          <w:p w14:paraId="42429B47"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packaging material:</w:t>
            </w:r>
          </w:p>
        </w:tc>
        <w:tc>
          <w:tcPr>
            <w:tcW w:w="5776" w:type="dxa"/>
          </w:tcPr>
          <w:p w14:paraId="104BD434" w14:textId="77777777" w:rsidR="00566EA6" w:rsidRPr="00C33FFF" w:rsidRDefault="00566EA6" w:rsidP="00F85012">
            <w:pPr>
              <w:suppressAutoHyphens/>
              <w:spacing w:before="120" w:after="120" w:line="210" w:lineRule="exact"/>
              <w:rPr>
                <w:rFonts w:cs="Arial"/>
                <w:noProof/>
                <w:spacing w:val="6"/>
                <w:sz w:val="17"/>
                <w:u w:color="000000"/>
                <w:lang w:eastAsia="en-AU"/>
              </w:rPr>
            </w:pPr>
            <w:r w:rsidRPr="00C33FFF">
              <w:rPr>
                <w:rFonts w:cs="Arial"/>
                <w:noProof/>
                <w:spacing w:val="6"/>
                <w:sz w:val="17"/>
                <w:u w:color="000000"/>
                <w:lang w:eastAsia="en-AU"/>
              </w:rPr>
              <w:t>HDPE</w:t>
            </w:r>
            <w:r>
              <w:rPr>
                <w:rFonts w:cs="Arial"/>
                <w:noProof/>
                <w:spacing w:val="6"/>
                <w:sz w:val="17"/>
                <w:u w:color="000000"/>
                <w:lang w:eastAsia="en-AU"/>
              </w:rPr>
              <w:t xml:space="preserve"> or PET</w:t>
            </w:r>
          </w:p>
        </w:tc>
      </w:tr>
      <w:tr w:rsidR="00566EA6" w:rsidRPr="00C33FFF" w14:paraId="2040854D" w14:textId="77777777" w:rsidTr="00F85012">
        <w:trPr>
          <w:trHeight w:val="363"/>
        </w:trPr>
        <w:tc>
          <w:tcPr>
            <w:tcW w:w="3142" w:type="dxa"/>
            <w:shd w:val="clear" w:color="auto" w:fill="E6E6E6"/>
          </w:tcPr>
          <w:p w14:paraId="70119906" w14:textId="77777777" w:rsidR="00566EA6" w:rsidRPr="00C33FFF" w:rsidRDefault="00566EA6" w:rsidP="00F85012">
            <w:pPr>
              <w:keepNext/>
              <w:keepLines/>
              <w:suppressAutoHyphens/>
              <w:spacing w:before="120" w:after="60" w:line="240" w:lineRule="exact"/>
              <w:rPr>
                <w:rFonts w:ascii="Trebuchet MS" w:hAnsi="Trebuchet MS" w:cs="Arial"/>
                <w:b/>
                <w:bCs/>
                <w:caps/>
                <w:color w:val="365860"/>
                <w:spacing w:val="6"/>
                <w:sz w:val="18"/>
                <w:u w:color="000000"/>
              </w:rPr>
            </w:pPr>
            <w:r w:rsidRPr="00C33FFF">
              <w:rPr>
                <w:rFonts w:ascii="Trebuchet MS" w:hAnsi="Trebuchet MS" w:cs="Arial"/>
                <w:b/>
                <w:bCs/>
                <w:caps/>
                <w:color w:val="365860"/>
                <w:spacing w:val="6"/>
                <w:sz w:val="18"/>
                <w:u w:color="000000"/>
              </w:rPr>
              <w:t>product stability:</w:t>
            </w:r>
          </w:p>
        </w:tc>
        <w:tc>
          <w:tcPr>
            <w:tcW w:w="5776" w:type="dxa"/>
          </w:tcPr>
          <w:p w14:paraId="6E286F3E" w14:textId="77777777" w:rsidR="00566EA6" w:rsidRPr="00C33FFF" w:rsidRDefault="00566EA6" w:rsidP="00F85012">
            <w:pPr>
              <w:suppressAutoHyphens/>
              <w:spacing w:before="120" w:after="120" w:line="210" w:lineRule="exact"/>
              <w:rPr>
                <w:rFonts w:cs="Arial"/>
                <w:noProof/>
                <w:spacing w:val="6"/>
                <w:sz w:val="17"/>
                <w:u w:color="000000"/>
                <w:lang w:eastAsia="en-AU"/>
              </w:rPr>
            </w:pPr>
            <w:r w:rsidRPr="00C33FFF">
              <w:rPr>
                <w:rFonts w:cs="Arial"/>
                <w:noProof/>
                <w:spacing w:val="6"/>
                <w:sz w:val="17"/>
                <w:u w:color="000000"/>
                <w:lang w:eastAsia="en-AU"/>
              </w:rPr>
              <w:t xml:space="preserve">Stable at </w:t>
            </w:r>
            <w:r>
              <w:rPr>
                <w:rFonts w:cs="Arial"/>
                <w:noProof/>
                <w:spacing w:val="6"/>
                <w:sz w:val="17"/>
                <w:u w:color="000000"/>
                <w:lang w:eastAsia="en-AU"/>
              </w:rPr>
              <w:t>54</w:t>
            </w:r>
            <w:r w:rsidRPr="00C33FFF">
              <w:rPr>
                <w:rFonts w:cs="Arial"/>
                <w:noProof/>
                <w:spacing w:val="6"/>
                <w:sz w:val="17"/>
                <w:u w:color="000000"/>
                <w:lang w:eastAsia="en-AU"/>
              </w:rPr>
              <w:t xml:space="preserve"> °C for </w:t>
            </w:r>
            <w:r>
              <w:rPr>
                <w:rFonts w:cs="Arial"/>
                <w:noProof/>
                <w:spacing w:val="6"/>
                <w:sz w:val="17"/>
                <w:u w:color="000000"/>
                <w:lang w:eastAsia="en-AU"/>
              </w:rPr>
              <w:t>2</w:t>
            </w:r>
            <w:r w:rsidRPr="00C33FFF">
              <w:rPr>
                <w:rFonts w:cs="Arial"/>
                <w:noProof/>
                <w:spacing w:val="6"/>
                <w:sz w:val="17"/>
                <w:u w:color="000000"/>
                <w:lang w:eastAsia="en-AU"/>
              </w:rPr>
              <w:t xml:space="preserve"> weeks, or at </w:t>
            </w:r>
            <w:r>
              <w:rPr>
                <w:rFonts w:cs="Arial"/>
                <w:noProof/>
                <w:spacing w:val="6"/>
                <w:sz w:val="17"/>
                <w:u w:color="000000"/>
                <w:lang w:eastAsia="en-AU"/>
              </w:rPr>
              <w:t>- 10</w:t>
            </w:r>
            <w:r w:rsidRPr="00C33FFF">
              <w:rPr>
                <w:rFonts w:cs="Arial"/>
                <w:noProof/>
                <w:spacing w:val="6"/>
                <w:sz w:val="17"/>
                <w:u w:color="000000"/>
                <w:lang w:eastAsia="en-AU"/>
              </w:rPr>
              <w:t xml:space="preserve"> °C for </w:t>
            </w:r>
            <w:r>
              <w:rPr>
                <w:rFonts w:cs="Arial"/>
                <w:noProof/>
                <w:spacing w:val="6"/>
                <w:sz w:val="17"/>
                <w:u w:color="000000"/>
                <w:lang w:eastAsia="en-AU"/>
              </w:rPr>
              <w:t>2 weeks</w:t>
            </w:r>
          </w:p>
        </w:tc>
      </w:tr>
    </w:tbl>
    <w:p w14:paraId="6646A47A" w14:textId="77777777" w:rsidR="00566EA6" w:rsidRPr="00C33FFF" w:rsidRDefault="00566EA6" w:rsidP="00566EA6">
      <w:pPr>
        <w:keepNext/>
        <w:keepLines/>
        <w:numPr>
          <w:ilvl w:val="1"/>
          <w:numId w:val="2"/>
        </w:numPr>
        <w:tabs>
          <w:tab w:val="clear" w:pos="680"/>
          <w:tab w:val="num" w:pos="907"/>
        </w:tabs>
        <w:suppressAutoHyphens/>
        <w:spacing w:before="400" w:line="320" w:lineRule="exact"/>
        <w:ind w:left="907" w:hanging="907"/>
        <w:outlineLvl w:val="1"/>
        <w:rPr>
          <w:rFonts w:ascii="Trebuchet MS" w:hAnsi="Trebuchet MS" w:cs="Arial"/>
          <w:b/>
          <w:color w:val="365860"/>
          <w:sz w:val="28"/>
          <w:szCs w:val="28"/>
          <w:u w:color="000000"/>
        </w:rPr>
      </w:pPr>
      <w:bookmarkStart w:id="11" w:name="_Toc455643076"/>
      <w:r w:rsidRPr="00C33FFF">
        <w:rPr>
          <w:rFonts w:ascii="Trebuchet MS" w:hAnsi="Trebuchet MS" w:cs="Arial"/>
          <w:b/>
          <w:color w:val="365860"/>
          <w:sz w:val="28"/>
          <w:szCs w:val="28"/>
          <w:u w:color="000000"/>
        </w:rPr>
        <w:t>Recommendations</w:t>
      </w:r>
      <w:bookmarkEnd w:id="11"/>
    </w:p>
    <w:p w14:paraId="021F86AE" w14:textId="3AA65C51" w:rsidR="00566EA6" w:rsidRDefault="00566EA6" w:rsidP="00566EA6">
      <w:pPr>
        <w:spacing w:before="240" w:after="240" w:line="280" w:lineRule="exact"/>
        <w:jc w:val="both"/>
      </w:pPr>
      <w:r w:rsidRPr="00C33FFF">
        <w:rPr>
          <w:rFonts w:cs="Arial"/>
          <w:szCs w:val="20"/>
        </w:rPr>
        <w:t xml:space="preserve">Based on a review of the chemistry and manufacturing details provided by the applicant, registration of </w:t>
      </w:r>
      <w:r w:rsidR="006E5782">
        <w:rPr>
          <w:rFonts w:cs="Arial"/>
          <w:i/>
          <w:szCs w:val="20"/>
        </w:rPr>
        <w:t>Miravis</w:t>
      </w:r>
      <w:r w:rsidRPr="003E5896">
        <w:rPr>
          <w:rFonts w:cs="Arial"/>
          <w:i/>
          <w:szCs w:val="20"/>
        </w:rPr>
        <w:t xml:space="preserve"> Fungicide</w:t>
      </w:r>
      <w:r w:rsidRPr="00C33FFF" w:rsidDel="00FD2428">
        <w:rPr>
          <w:rFonts w:cs="Arial"/>
          <w:szCs w:val="20"/>
        </w:rPr>
        <w:t xml:space="preserve"> </w:t>
      </w:r>
      <w:r w:rsidRPr="00C33FFF">
        <w:rPr>
          <w:rFonts w:cs="Arial"/>
          <w:szCs w:val="20"/>
        </w:rPr>
        <w:t>is supported from a chemistry perspective.</w:t>
      </w:r>
    </w:p>
    <w:p w14:paraId="27789550" w14:textId="77777777" w:rsidR="00F27E0D" w:rsidRDefault="00F27E0D">
      <w:pPr>
        <w:pStyle w:val="APVMAText"/>
        <w:spacing w:before="280"/>
      </w:pPr>
    </w:p>
    <w:p w14:paraId="5804E2D8" w14:textId="77777777" w:rsidR="00F27E0D" w:rsidRDefault="00F27E0D">
      <w:pPr>
        <w:pStyle w:val="APVMAText"/>
        <w:sectPr w:rsidR="00F27E0D" w:rsidSect="006A438E">
          <w:pgSz w:w="11906" w:h="16838" w:code="9"/>
          <w:pgMar w:top="2835" w:right="991" w:bottom="1134" w:left="1134" w:header="1701" w:footer="680" w:gutter="0"/>
          <w:cols w:space="708"/>
          <w:docGrid w:linePitch="360"/>
        </w:sectPr>
      </w:pPr>
    </w:p>
    <w:p w14:paraId="4E7F6EEE" w14:textId="77777777" w:rsidR="00F27E0D" w:rsidRDefault="00F27E0D">
      <w:pPr>
        <w:pStyle w:val="Heading1"/>
      </w:pPr>
      <w:bookmarkStart w:id="12" w:name="_Toc507406658"/>
      <w:r>
        <w:lastRenderedPageBreak/>
        <w:t>Toxicological assessment</w:t>
      </w:r>
      <w:bookmarkEnd w:id="12"/>
    </w:p>
    <w:p w14:paraId="5A1651FE" w14:textId="77777777" w:rsidR="00D90021" w:rsidRDefault="00D90021" w:rsidP="00D90021">
      <w:pPr>
        <w:pStyle w:val="Heading2"/>
        <w:numPr>
          <w:ilvl w:val="1"/>
          <w:numId w:val="2"/>
        </w:numPr>
        <w:tabs>
          <w:tab w:val="clear" w:pos="680"/>
          <w:tab w:val="num" w:pos="907"/>
          <w:tab w:val="num" w:pos="964"/>
        </w:tabs>
        <w:ind w:left="907" w:hanging="907"/>
      </w:pPr>
      <w:bookmarkStart w:id="13" w:name="_Toc475352883"/>
      <w:bookmarkStart w:id="14" w:name="_Toc507406659"/>
      <w:r>
        <w:t>Evaluation of toxicology</w:t>
      </w:r>
      <w:bookmarkEnd w:id="13"/>
      <w:bookmarkEnd w:id="14"/>
    </w:p>
    <w:p w14:paraId="25545BD6" w14:textId="705B4C9E" w:rsidR="00D90021" w:rsidRPr="00690001" w:rsidRDefault="00D90021" w:rsidP="00D90021">
      <w:pPr>
        <w:pStyle w:val="Default"/>
        <w:autoSpaceDE/>
        <w:autoSpaceDN/>
        <w:adjustRightInd/>
        <w:spacing w:before="240" w:after="240" w:line="280" w:lineRule="exact"/>
        <w:rPr>
          <w:sz w:val="20"/>
          <w:szCs w:val="20"/>
        </w:rPr>
      </w:pPr>
      <w:r w:rsidRPr="00C77965">
        <w:rPr>
          <w:sz w:val="20"/>
          <w:szCs w:val="20"/>
        </w:rPr>
        <w:t>The toxicological data</w:t>
      </w:r>
      <w:r w:rsidR="00D00A9C">
        <w:rPr>
          <w:sz w:val="20"/>
          <w:szCs w:val="20"/>
        </w:rPr>
        <w:t xml:space="preserve"> submitted on the active </w:t>
      </w:r>
      <w:r w:rsidRPr="00C77965">
        <w:rPr>
          <w:sz w:val="20"/>
          <w:szCs w:val="20"/>
        </w:rPr>
        <w:t>pydiflumetofen is considered sufficient to determine its toxicology profile and to characterise the risk to humans. The data included metabolism studies, acute toxicity studies (active constituent and product), short-term toxicity studies (oral and dermal), long-term oral toxicity studies (including carcinogenicity), reproductive and developmental toxicity studies, genotoxicity studies, repeat dose neurotoxicity study, and other information to address the human safety criteria.</w:t>
      </w:r>
      <w:r w:rsidRPr="00690001">
        <w:rPr>
          <w:sz w:val="20"/>
          <w:szCs w:val="20"/>
        </w:rPr>
        <w:t xml:space="preserve"> </w:t>
      </w:r>
    </w:p>
    <w:p w14:paraId="3053DD10" w14:textId="57F9FD12" w:rsidR="00D90021" w:rsidRPr="00690001" w:rsidRDefault="00D90021" w:rsidP="00D90021">
      <w:pPr>
        <w:pStyle w:val="Default"/>
        <w:autoSpaceDE/>
        <w:autoSpaceDN/>
        <w:adjustRightInd/>
        <w:spacing w:before="240" w:after="240" w:line="280" w:lineRule="exact"/>
        <w:rPr>
          <w:sz w:val="20"/>
          <w:szCs w:val="20"/>
        </w:rPr>
      </w:pPr>
      <w:r w:rsidRPr="00690001">
        <w:rPr>
          <w:sz w:val="20"/>
          <w:szCs w:val="20"/>
        </w:rPr>
        <w:t xml:space="preserve">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 not necessarily indicate such effects might be generated in humans. From a conservative risk assessment perspective however, adverse findings in animal species are assumed to represent potential effects in humans, unless convincing evidence of species specificity is available. Where possible, considerations of the species specific mechanisms of adverse reactions weigh heavily in the extrapolation of animal data to likely human hazard. Equally, consideration of the risks to human health must take into account the likely human exposure levels. </w:t>
      </w:r>
    </w:p>
    <w:p w14:paraId="1C546AC2" w14:textId="77777777" w:rsidR="00D90021" w:rsidRDefault="00D90021" w:rsidP="00D90021">
      <w:pPr>
        <w:pStyle w:val="Heading3"/>
        <w:keepNext w:val="0"/>
        <w:keepLines w:val="0"/>
        <w:spacing w:before="240" w:after="240"/>
        <w:rPr>
          <w:lang w:val="en-GB"/>
        </w:rPr>
      </w:pPr>
      <w:r>
        <w:rPr>
          <w:lang w:val="en-GB"/>
        </w:rPr>
        <w:t>Chemical class</w:t>
      </w:r>
    </w:p>
    <w:p w14:paraId="6D9053F0" w14:textId="77777777" w:rsidR="00D90021" w:rsidRPr="00615B8F" w:rsidRDefault="00D90021" w:rsidP="00D90021">
      <w:pPr>
        <w:pStyle w:val="APVMAText"/>
      </w:pPr>
      <w:r>
        <w:t>Pydiflumetofen</w:t>
      </w:r>
      <w:r w:rsidRPr="00615B8F">
        <w:t xml:space="preserve"> </w:t>
      </w:r>
      <w:r w:rsidRPr="00DF163E">
        <w:t xml:space="preserve">belongs to the </w:t>
      </w:r>
      <w:r w:rsidRPr="00CD6161">
        <w:t>N-methoxy-(phenyl-ethyl)-pyrazole-carboxamide</w:t>
      </w:r>
      <w:r w:rsidRPr="00DF163E">
        <w:t xml:space="preserve"> </w:t>
      </w:r>
      <w:r>
        <w:t xml:space="preserve">chemical </w:t>
      </w:r>
      <w:r w:rsidRPr="00DF163E">
        <w:t xml:space="preserve">group of </w:t>
      </w:r>
      <w:r>
        <w:t>fungicides</w:t>
      </w:r>
      <w:r w:rsidRPr="00DF163E">
        <w:t>.</w:t>
      </w:r>
      <w:r w:rsidRPr="00615B8F">
        <w:t xml:space="preserve"> </w:t>
      </w:r>
      <w:r>
        <w:t>Pydiflumetofen</w:t>
      </w:r>
      <w:r w:rsidRPr="004412AF">
        <w:t xml:space="preserve"> </w:t>
      </w:r>
      <w:r>
        <w:t xml:space="preserve">acts on succinate dehydrogenase (or Electron Transport Chain Complex II) in the mitochondria and inhibits respiration in phytopathogenic fungi. The active ingredient is a mixture of R and S isomers of pydiflumetofen. </w:t>
      </w:r>
    </w:p>
    <w:p w14:paraId="54F1189F" w14:textId="77777777" w:rsidR="00D90021" w:rsidRPr="00615B8F" w:rsidRDefault="00D90021" w:rsidP="00D90021">
      <w:pPr>
        <w:pStyle w:val="Heading3"/>
        <w:keepNext w:val="0"/>
        <w:keepLines w:val="0"/>
        <w:spacing w:before="240" w:after="240"/>
      </w:pPr>
      <w:r w:rsidRPr="00615B8F">
        <w:t>Toxicokinetics and metabolism</w:t>
      </w:r>
    </w:p>
    <w:p w14:paraId="43D371DB" w14:textId="21C3BC72" w:rsidR="00DD5B79" w:rsidRDefault="00D90021" w:rsidP="00D90021">
      <w:pPr>
        <w:spacing w:before="240" w:after="240" w:line="280" w:lineRule="exact"/>
        <w:sectPr w:rsidR="00DD5B79">
          <w:headerReference w:type="default" r:id="rId32"/>
          <w:pgSz w:w="11906" w:h="16838" w:code="9"/>
          <w:pgMar w:top="2835" w:right="1134" w:bottom="1134" w:left="1134" w:header="1701" w:footer="680" w:gutter="0"/>
          <w:cols w:space="708"/>
          <w:docGrid w:linePitch="360"/>
        </w:sectPr>
      </w:pPr>
      <w:r w:rsidRPr="00A42F51">
        <w:t>In rats, mass balance studies showed that orally administered pydiflumetofen is well absorbed at low doses and the pharmacokinetic (AUC) data confirms that the presence of radiolabelled compound (ie parent + metabolites) in the systemic circulation is not dose proportional. Due to extensive first pass metabolism, the bioavailability of pydiflumetofen is low</w:t>
      </w:r>
      <w:r>
        <w:t xml:space="preserve"> and is further reduced</w:t>
      </w:r>
      <w:r w:rsidRPr="00A42F51">
        <w:t xml:space="preserve"> after repeat dosing. This reduction in bioavailability of radiolabelled compound was most apparent at doses greater than 30 mg/kg bw/d due to very substantial autoinduction of hepatic xenobiotic metabolising enzymes after only a few days of dosing. Elimination of parent pydiflumetofen was rapid (t</w:t>
      </w:r>
      <w:r w:rsidRPr="00A42F51">
        <w:rPr>
          <w:vertAlign w:val="subscript"/>
        </w:rPr>
        <w:t>1/2</w:t>
      </w:r>
      <w:r w:rsidRPr="00A42F51">
        <w:t xml:space="preserve"> approx 1.5 h; iv) but that of its metabolites was moderately slow with an apparent half-life between 20 and 51 h indicating that modest plasma accumulation of metabolites is likely to occur in repeat dose studies. The predominant route of excretion in both sexes was via bile which accounted for between 2 and 80% of the administered dose (dose dependent) with urine accounting for less than 20%. At lower doses, very little pydiflumetofen was present in faeces but at higher doses unabsorbed pydiflumetofen was a substantial contributor in faeces. Excretion was largely complete within the first 72 h. Residual radiolabel in the carcass accounted for less than 0.5% of the administered dose indicating a low potential for bioaccumulation, and negligible amounts were recovered in expired air. </w:t>
      </w:r>
    </w:p>
    <w:p w14:paraId="404A5E1C" w14:textId="428357FE" w:rsidR="00D90021" w:rsidRDefault="00D90021" w:rsidP="00D90021">
      <w:pPr>
        <w:spacing w:before="240" w:after="240" w:line="280" w:lineRule="exact"/>
      </w:pPr>
      <w:r w:rsidRPr="00A42F51">
        <w:lastRenderedPageBreak/>
        <w:t xml:space="preserve">Metabolism </w:t>
      </w:r>
      <w:r>
        <w:t xml:space="preserve">of pydiflumetofen </w:t>
      </w:r>
      <w:r w:rsidRPr="00A42F51">
        <w:t>involved both phase I and phase II pathways including oxidation, glucuronidation and sulphation plus cleavage at the amide bond to form pyrazole related metabolites and cleavage of the parent molecule to form 2,4,6-trichlorophenol related metabolites. Similar kinetics were observed in the mouse and pregnant rabbit.</w:t>
      </w:r>
    </w:p>
    <w:p w14:paraId="0009238E" w14:textId="77777777" w:rsidR="00D90021" w:rsidRDefault="00D90021" w:rsidP="00D90021">
      <w:pPr>
        <w:pStyle w:val="Heading3"/>
      </w:pPr>
      <w:r>
        <w:t>Acute toxicity</w:t>
      </w:r>
    </w:p>
    <w:p w14:paraId="79A5A7B8" w14:textId="77777777" w:rsidR="00D90021" w:rsidRPr="00F36D3B" w:rsidRDefault="00D90021" w:rsidP="00D90021">
      <w:pPr>
        <w:pStyle w:val="APVMAText"/>
      </w:pPr>
      <w:r>
        <w:t>Pydiflumetofen</w:t>
      </w:r>
      <w:r w:rsidRPr="00F36D3B">
        <w:t xml:space="preserve"> has low</w:t>
      </w:r>
      <w:r>
        <w:t xml:space="preserve"> to very low</w:t>
      </w:r>
      <w:r w:rsidRPr="00F36D3B">
        <w:t xml:space="preserve"> acute oral</w:t>
      </w:r>
      <w:r>
        <w:t xml:space="preserve"> toxicity </w:t>
      </w:r>
      <w:r w:rsidRPr="0042006D">
        <w:t>(LD</w:t>
      </w:r>
      <w:r w:rsidRPr="0042006D">
        <w:rPr>
          <w:vertAlign w:val="subscript"/>
        </w:rPr>
        <w:t>50</w:t>
      </w:r>
      <w:r w:rsidRPr="0042006D">
        <w:t xml:space="preserve"> &gt;5000 mg/kg</w:t>
      </w:r>
      <w:r>
        <w:t>)</w:t>
      </w:r>
      <w:r w:rsidRPr="00F36D3B">
        <w:t xml:space="preserve">, dermal </w:t>
      </w:r>
      <w:r>
        <w:t xml:space="preserve">toxicity </w:t>
      </w:r>
      <w:r w:rsidRPr="0042006D">
        <w:t>(LD</w:t>
      </w:r>
      <w:r w:rsidRPr="0042006D">
        <w:rPr>
          <w:vertAlign w:val="subscript"/>
        </w:rPr>
        <w:t>50</w:t>
      </w:r>
      <w:r w:rsidRPr="0042006D">
        <w:t xml:space="preserve"> &gt;5000 mg/kg</w:t>
      </w:r>
      <w:r>
        <w:t>)</w:t>
      </w:r>
      <w:r w:rsidRPr="0042006D">
        <w:t xml:space="preserve"> </w:t>
      </w:r>
      <w:r w:rsidRPr="00F36D3B">
        <w:t xml:space="preserve">and inhalational toxicity </w:t>
      </w:r>
      <w:r w:rsidRPr="0042006D">
        <w:t>(LC</w:t>
      </w:r>
      <w:r w:rsidRPr="0042006D">
        <w:rPr>
          <w:vertAlign w:val="subscript"/>
        </w:rPr>
        <w:t>50</w:t>
      </w:r>
      <w:r w:rsidRPr="0042006D">
        <w:t xml:space="preserve"> &gt;5</w:t>
      </w:r>
      <w:r>
        <w:t>11</w:t>
      </w:r>
      <w:r w:rsidRPr="0042006D">
        <w:t>0 mg/m</w:t>
      </w:r>
      <w:r w:rsidRPr="0042006D">
        <w:rPr>
          <w:vertAlign w:val="superscript"/>
        </w:rPr>
        <w:t>3</w:t>
      </w:r>
      <w:r>
        <w:t xml:space="preserve">) </w:t>
      </w:r>
      <w:r w:rsidRPr="0042006D">
        <w:t>in</w:t>
      </w:r>
      <w:r w:rsidRPr="00F36D3B">
        <w:t xml:space="preserve"> rats. It was not a skin irritant in rabbits but was a slight eye irritant in rabbits. </w:t>
      </w:r>
      <w:r>
        <w:t>Pydiflumetofen</w:t>
      </w:r>
      <w:r w:rsidRPr="00F36D3B">
        <w:t xml:space="preserve"> </w:t>
      </w:r>
      <w:r>
        <w:t xml:space="preserve">is not a sensitiser </w:t>
      </w:r>
      <w:r w:rsidRPr="00F36D3B">
        <w:t>in mice in a Local Lymph Node Assay (LLNA).</w:t>
      </w:r>
    </w:p>
    <w:p w14:paraId="63203355" w14:textId="77777777" w:rsidR="00D90021" w:rsidRDefault="00D90021" w:rsidP="00D90021">
      <w:pPr>
        <w:pStyle w:val="Heading3"/>
      </w:pPr>
      <w:r>
        <w:t>Repeat-dose toxicity</w:t>
      </w:r>
    </w:p>
    <w:p w14:paraId="655E244F" w14:textId="77777777" w:rsidR="00D90021" w:rsidRDefault="00D90021" w:rsidP="00D90021">
      <w:pPr>
        <w:pStyle w:val="APVMAText"/>
      </w:pPr>
      <w:r>
        <w:t>The predominant effects of pydiflumetofen in repeat dose studies were generally confined to increased liver weight, &amp; hepatocellular hypertrophy, secondary to adaptive induction of xenobiotic metabolising enzymes (XME), reductions in bodyweight gains and occasionally increased thyroid weights or thyroid follicular cell hyperplasia secondary to XME induction. Mortality was not increased at the top doses in any of the studies.</w:t>
      </w:r>
    </w:p>
    <w:p w14:paraId="20AA1810" w14:textId="603F123B" w:rsidR="00DE7532" w:rsidRPr="00C77965" w:rsidRDefault="00D90021" w:rsidP="00D90021">
      <w:pPr>
        <w:pStyle w:val="APVMAText"/>
      </w:pPr>
      <w:r w:rsidRPr="00C77965">
        <w:t>Pydiflumetofen was not carcinogenic in a rat chronic study but did increase the incidence of hepatic carcinoma and adenoma in male mice. The mechanism of action of pydiflumetofen in the production of mouse hepatic cancers was examined in a series of studies that demonstrated a mode of action that is not relevant to humans (a phenobarbital like activation of Constitutive Androstane Receptor – CAR – with a consequent induction of Cyp450, increased cell proliferation, hepatomegaly and hepatocyte hypertrophy).</w:t>
      </w:r>
      <w:r w:rsidR="00DE7532" w:rsidRPr="00DE7532">
        <w:t xml:space="preserve"> </w:t>
      </w:r>
      <w:r w:rsidR="00DE7532">
        <w:t xml:space="preserve">Toxicity studies of NOA449410, </w:t>
      </w:r>
      <w:r w:rsidR="00DE7532" w:rsidRPr="00A161BC">
        <w:t xml:space="preserve">a metabolite in </w:t>
      </w:r>
      <w:r w:rsidR="00DE7532">
        <w:t xml:space="preserve">lactating </w:t>
      </w:r>
      <w:r w:rsidR="00DE7532" w:rsidRPr="00A161BC">
        <w:t xml:space="preserve">goats and </w:t>
      </w:r>
      <w:r w:rsidR="00DE7532">
        <w:t xml:space="preserve">laying </w:t>
      </w:r>
      <w:r w:rsidR="00DE7532" w:rsidRPr="00A161BC">
        <w:t>hens</w:t>
      </w:r>
      <w:r w:rsidR="00DE7532">
        <w:t xml:space="preserve"> (see residues assessment) but not identified in rats</w:t>
      </w:r>
      <w:r w:rsidR="00DE7532" w:rsidRPr="00A161BC">
        <w:t>, were negative in an acute toxicity study and a battery of genotoxicity assays.</w:t>
      </w:r>
    </w:p>
    <w:p w14:paraId="152720B9" w14:textId="77777777" w:rsidR="00D90021" w:rsidRPr="00C77965" w:rsidRDefault="00D90021" w:rsidP="00D90021">
      <w:pPr>
        <w:pStyle w:val="APVMAText"/>
      </w:pPr>
      <w:r w:rsidRPr="00C77965">
        <w:t xml:space="preserve">Pydiflumetofen was neither a reproductive toxin in rats nor a developmental toxin in rats and rabbits. The compound was tested in a battery of </w:t>
      </w:r>
      <w:r w:rsidRPr="00C77965">
        <w:rPr>
          <w:i/>
        </w:rPr>
        <w:t>in vivo</w:t>
      </w:r>
      <w:r w:rsidRPr="00C77965">
        <w:t xml:space="preserve"> and </w:t>
      </w:r>
      <w:r w:rsidRPr="00C77965">
        <w:rPr>
          <w:i/>
        </w:rPr>
        <w:t>in vitro</w:t>
      </w:r>
      <w:r w:rsidRPr="00C77965">
        <w:t xml:space="preserve"> genotoxocity studies. With the exception of a positive after 22 h of exposure in the absence of S9 in a human lymphocyte clastogenicity assay, all assays were negative. The overall weight of evidence is that pydiflumetofen does not present a genotoxic risk to humans.</w:t>
      </w:r>
    </w:p>
    <w:p w14:paraId="191F220A" w14:textId="77777777" w:rsidR="00D90021" w:rsidRDefault="00D90021" w:rsidP="00D90021">
      <w:pPr>
        <w:pStyle w:val="Heading3"/>
      </w:pPr>
      <w:r>
        <w:t>Product toxicity</w:t>
      </w:r>
    </w:p>
    <w:p w14:paraId="5A69A263" w14:textId="2C97F90F" w:rsidR="00D90021" w:rsidRDefault="00D90021" w:rsidP="00D90021">
      <w:pPr>
        <w:pStyle w:val="APVMAText"/>
      </w:pPr>
      <w:r w:rsidRPr="00DB4157">
        <w:t xml:space="preserve">The formulated product, </w:t>
      </w:r>
      <w:r w:rsidR="006E5782" w:rsidRPr="005F3696">
        <w:rPr>
          <w:caps/>
        </w:rPr>
        <w:t>Miravis Fungicide</w:t>
      </w:r>
      <w:r w:rsidRPr="00DB4157">
        <w:t xml:space="preserve">, </w:t>
      </w:r>
      <w:r w:rsidRPr="0042006D">
        <w:t xml:space="preserve">containing </w:t>
      </w:r>
      <w:r>
        <w:t>2</w:t>
      </w:r>
      <w:r w:rsidRPr="0042006D">
        <w:t xml:space="preserve">00 g/L </w:t>
      </w:r>
      <w:r>
        <w:t>pydiflumetofen,</w:t>
      </w:r>
      <w:r w:rsidRPr="0042006D">
        <w:t xml:space="preserve"> </w:t>
      </w:r>
      <w:r w:rsidRPr="00DB4157">
        <w:t>has low acute oral</w:t>
      </w:r>
      <w:r>
        <w:t xml:space="preserve"> toxicity </w:t>
      </w:r>
      <w:r w:rsidRPr="0042006D">
        <w:t>(LD</w:t>
      </w:r>
      <w:r w:rsidRPr="0042006D">
        <w:rPr>
          <w:vertAlign w:val="subscript"/>
        </w:rPr>
        <w:t>50</w:t>
      </w:r>
      <w:r w:rsidRPr="0042006D">
        <w:t xml:space="preserve"> &gt;</w:t>
      </w:r>
      <w:r>
        <w:t>2958</w:t>
      </w:r>
      <w:r w:rsidRPr="0042006D">
        <w:t xml:space="preserve"> mg/kg)</w:t>
      </w:r>
      <w:r w:rsidRPr="00DB4157">
        <w:t>, dermal</w:t>
      </w:r>
      <w:r>
        <w:t xml:space="preserve"> toxicity</w:t>
      </w:r>
      <w:r w:rsidRPr="00DB4157">
        <w:t xml:space="preserve"> </w:t>
      </w:r>
      <w:r w:rsidRPr="0042006D">
        <w:t>(LD</w:t>
      </w:r>
      <w:r w:rsidRPr="0042006D">
        <w:rPr>
          <w:vertAlign w:val="subscript"/>
        </w:rPr>
        <w:t>50</w:t>
      </w:r>
      <w:r w:rsidRPr="0042006D">
        <w:t xml:space="preserve"> &gt;5000 mg/kg)</w:t>
      </w:r>
      <w:r>
        <w:t xml:space="preserve"> </w:t>
      </w:r>
      <w:r w:rsidRPr="00DB4157">
        <w:t>and inhalational toxicity in rats</w:t>
      </w:r>
      <w:r>
        <w:t xml:space="preserve"> </w:t>
      </w:r>
      <w:r w:rsidRPr="0042006D">
        <w:t>(LC</w:t>
      </w:r>
      <w:r w:rsidRPr="0042006D">
        <w:rPr>
          <w:vertAlign w:val="subscript"/>
        </w:rPr>
        <w:t>50</w:t>
      </w:r>
      <w:r w:rsidRPr="0042006D">
        <w:t xml:space="preserve"> &gt;</w:t>
      </w:r>
      <w:r>
        <w:t>3500</w:t>
      </w:r>
      <w:r w:rsidRPr="0042006D">
        <w:t xml:space="preserve"> mg/m</w:t>
      </w:r>
      <w:r w:rsidRPr="0042006D">
        <w:rPr>
          <w:vertAlign w:val="superscript"/>
        </w:rPr>
        <w:t>3</w:t>
      </w:r>
      <w:r>
        <w:t>).</w:t>
      </w:r>
      <w:r w:rsidRPr="00DB4157">
        <w:t xml:space="preserve"> It was not a skin irritant in rabbits but was a slight </w:t>
      </w:r>
      <w:r>
        <w:t xml:space="preserve">transient </w:t>
      </w:r>
      <w:r w:rsidRPr="00DB4157">
        <w:t xml:space="preserve">eye irritant in rabbits. </w:t>
      </w:r>
      <w:r w:rsidR="00DD5B79" w:rsidRPr="005F3696">
        <w:t>Miravis Fungicide</w:t>
      </w:r>
      <w:r w:rsidRPr="00DB4157">
        <w:t xml:space="preserve"> was not a skin sensitiser in </w:t>
      </w:r>
      <w:r>
        <w:t>mice in a LLNA study</w:t>
      </w:r>
      <w:r w:rsidRPr="00DB4157">
        <w:t>.</w:t>
      </w:r>
    </w:p>
    <w:p w14:paraId="25FF31C5" w14:textId="77777777" w:rsidR="00DD5B79" w:rsidRDefault="00DD5B79" w:rsidP="00D90021">
      <w:pPr>
        <w:pStyle w:val="Heading2"/>
        <w:numPr>
          <w:ilvl w:val="1"/>
          <w:numId w:val="2"/>
        </w:numPr>
        <w:tabs>
          <w:tab w:val="clear" w:pos="680"/>
          <w:tab w:val="num" w:pos="907"/>
          <w:tab w:val="num" w:pos="964"/>
        </w:tabs>
        <w:ind w:left="907" w:hanging="907"/>
        <w:sectPr w:rsidR="00DD5B79">
          <w:pgSz w:w="11906" w:h="16838" w:code="9"/>
          <w:pgMar w:top="2835" w:right="1134" w:bottom="1134" w:left="1134" w:header="1701" w:footer="680" w:gutter="0"/>
          <w:cols w:space="708"/>
          <w:docGrid w:linePitch="360"/>
        </w:sectPr>
      </w:pPr>
      <w:bookmarkStart w:id="15" w:name="_Toc475352884"/>
    </w:p>
    <w:p w14:paraId="2187981E" w14:textId="5D3A709D" w:rsidR="00D90021" w:rsidRDefault="00D90021" w:rsidP="00D90021">
      <w:pPr>
        <w:pStyle w:val="Heading2"/>
        <w:numPr>
          <w:ilvl w:val="1"/>
          <w:numId w:val="2"/>
        </w:numPr>
        <w:tabs>
          <w:tab w:val="clear" w:pos="680"/>
          <w:tab w:val="num" w:pos="907"/>
          <w:tab w:val="num" w:pos="964"/>
        </w:tabs>
        <w:ind w:left="907" w:hanging="907"/>
      </w:pPr>
      <w:bookmarkStart w:id="16" w:name="_Toc507406660"/>
      <w:r>
        <w:lastRenderedPageBreak/>
        <w:t>Public health standards</w:t>
      </w:r>
      <w:bookmarkEnd w:id="15"/>
      <w:bookmarkEnd w:id="16"/>
    </w:p>
    <w:p w14:paraId="69E37CCE" w14:textId="77777777" w:rsidR="00D90021" w:rsidRPr="002B0C9A" w:rsidRDefault="00D90021" w:rsidP="00D90021">
      <w:pPr>
        <w:pStyle w:val="Heading3"/>
      </w:pPr>
      <w:r w:rsidRPr="002B0C9A">
        <w:t>Poisons scheduling</w:t>
      </w:r>
    </w:p>
    <w:p w14:paraId="17558E96" w14:textId="4E800624" w:rsidR="00DE7532" w:rsidRPr="00C336F7" w:rsidRDefault="00D90021" w:rsidP="00DE7532">
      <w:pPr>
        <w:pStyle w:val="APVMAText"/>
      </w:pPr>
      <w:r w:rsidRPr="00833062">
        <w:t>On 31 October 2017 the Delegate of the Secretary of the Department of Health published a final Scheduling decision to exempt pydiflumetofen from Scheduling in the Poisons Standar</w:t>
      </w:r>
      <w:r w:rsidRPr="004D1C2E">
        <w:t xml:space="preserve">d. The reasons for the Delegate’s decision to create a new Appendix B entry for pydiflumetofen were: </w:t>
      </w:r>
      <w:r w:rsidR="00DE7532">
        <w:t>due to its low acute oral and dermal toxicity and lack of demonstrable skin irritation or sensitisation.</w:t>
      </w:r>
      <w:r w:rsidR="00DE7532" w:rsidRPr="0044437E">
        <w:rPr>
          <w:rFonts w:cs="Times New Roman"/>
        </w:rPr>
        <w:t xml:space="preserve"> </w:t>
      </w:r>
      <w:r w:rsidR="00DE7532" w:rsidRPr="0044437E">
        <w:t xml:space="preserve">An implementation date of 1 February 2018 </w:t>
      </w:r>
      <w:r w:rsidR="00DE7532">
        <w:t>for pydiflumetofen in the Poisons Standard was adopted</w:t>
      </w:r>
      <w:r w:rsidR="00DE7532" w:rsidRPr="0044437E">
        <w:t>.</w:t>
      </w:r>
      <w:r w:rsidR="00DE7532" w:rsidRPr="004D1C2E">
        <w:t xml:space="preserve"> </w:t>
      </w:r>
      <w:r w:rsidR="00DE7532" w:rsidRPr="005F3696">
        <w:t>Miravis Fungicide</w:t>
      </w:r>
      <w:r w:rsidR="00DE7532" w:rsidRPr="004D1C2E">
        <w:t xml:space="preserve"> containing 20% pydiflumetofen will not be subject to control under the Poison Standard. </w:t>
      </w:r>
    </w:p>
    <w:p w14:paraId="1435B35B" w14:textId="77777777" w:rsidR="00D90021" w:rsidRDefault="00D90021" w:rsidP="00D90021">
      <w:pPr>
        <w:pStyle w:val="Heading3"/>
      </w:pPr>
      <w:r>
        <w:t>Acceptable Daily Intake (ADI)</w:t>
      </w:r>
    </w:p>
    <w:p w14:paraId="6B2E615A" w14:textId="0C6DC2C1" w:rsidR="00D90021" w:rsidRPr="00F06996" w:rsidRDefault="00D90021" w:rsidP="00D90021">
      <w:pPr>
        <w:pStyle w:val="APVMAText"/>
      </w:pPr>
      <w:r w:rsidRPr="004E042B">
        <w:t>The Acceptable Daily Intake (ADI) is that quantity of a chemical compound that can safely be consumed on a daily basis for a lifetime.</w:t>
      </w:r>
      <w:r>
        <w:t xml:space="preserve"> </w:t>
      </w:r>
      <w:r w:rsidRPr="0086323D">
        <w:t>An ADI of 0.1 mg/kg bw/d was established</w:t>
      </w:r>
      <w:r>
        <w:t xml:space="preserve"> for pydiflumetofen</w:t>
      </w:r>
      <w:r w:rsidRPr="0086323D">
        <w:t xml:space="preserve"> based on a NOAEL of 10 mg/kg bw/d for reduced, bodyweight gain, feed consumption and feed conversion efficiency at the next higher dose tested in a 52</w:t>
      </w:r>
      <w:r w:rsidR="00DD5B79">
        <w:t>–</w:t>
      </w:r>
      <w:r w:rsidRPr="0086323D">
        <w:t>week dietary rat study and using an uncertainty factor of 100.</w:t>
      </w:r>
    </w:p>
    <w:p w14:paraId="6D59BBD8" w14:textId="77777777" w:rsidR="00D90021" w:rsidRDefault="00D90021" w:rsidP="00D90021">
      <w:pPr>
        <w:pStyle w:val="Heading3"/>
      </w:pPr>
      <w:r>
        <w:t>Acute Reference Dose (ARfD)</w:t>
      </w:r>
    </w:p>
    <w:p w14:paraId="2DC5A94D" w14:textId="3418FA0D" w:rsidR="00F27E0D" w:rsidRDefault="00D90021">
      <w:pPr>
        <w:pStyle w:val="APVMAText"/>
      </w:pPr>
      <w:r w:rsidRPr="004E042B">
        <w:t xml:space="preserve">The Acute Reference Dose (ARfD) is the maximum quantity of a chemical that can safely be consumed </w:t>
      </w:r>
      <w:r>
        <w:t>over a short period of time, usually in one meal or during one day.</w:t>
      </w:r>
      <w:r w:rsidRPr="004E042B">
        <w:t xml:space="preserve"> </w:t>
      </w:r>
      <w:r>
        <w:t>T</w:t>
      </w:r>
      <w:r w:rsidRPr="005650D5">
        <w:t xml:space="preserve">he establishment of an ARfD for </w:t>
      </w:r>
      <w:r>
        <w:t>pydiflumetofen was not considered necessary</w:t>
      </w:r>
      <w:r w:rsidRPr="005650D5">
        <w:t>, based on its low acute toxicity and the absence of any other toxicologically relevant effect that might be attributable to a single dose.</w:t>
      </w:r>
    </w:p>
    <w:p w14:paraId="12FCC225" w14:textId="77777777" w:rsidR="00F27E0D" w:rsidRDefault="00F27E0D">
      <w:pPr>
        <w:pStyle w:val="APVMAText"/>
      </w:pPr>
    </w:p>
    <w:p w14:paraId="05B0D0C0" w14:textId="77777777" w:rsidR="00F27E0D" w:rsidRDefault="00F27E0D">
      <w:pPr>
        <w:pStyle w:val="APVMAText"/>
      </w:pPr>
    </w:p>
    <w:p w14:paraId="6B44F7EA" w14:textId="77777777" w:rsidR="00F27E0D" w:rsidRDefault="00F27E0D">
      <w:pPr>
        <w:pStyle w:val="APVMAText"/>
      </w:pPr>
    </w:p>
    <w:p w14:paraId="4FE7C59E" w14:textId="77777777" w:rsidR="00F27E0D" w:rsidRDefault="00F27E0D">
      <w:pPr>
        <w:pStyle w:val="APVMAText"/>
      </w:pPr>
    </w:p>
    <w:p w14:paraId="099510C0"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36B03AC4" w14:textId="77777777" w:rsidR="00F27E0D" w:rsidRDefault="00F27E0D">
      <w:pPr>
        <w:pStyle w:val="Heading1"/>
        <w:rPr>
          <w:lang w:val="en-GB"/>
        </w:rPr>
      </w:pPr>
      <w:bookmarkStart w:id="17" w:name="_Toc231963188"/>
      <w:bookmarkStart w:id="18" w:name="_Toc507406661"/>
      <w:r>
        <w:rPr>
          <w:lang w:val="en-GB"/>
        </w:rPr>
        <w:lastRenderedPageBreak/>
        <w:t>Residues assessment</w:t>
      </w:r>
      <w:bookmarkEnd w:id="17"/>
      <w:bookmarkEnd w:id="18"/>
    </w:p>
    <w:p w14:paraId="21CB40B4" w14:textId="77777777" w:rsidR="00F27E0D" w:rsidRDefault="009C3776" w:rsidP="009C3776">
      <w:pPr>
        <w:pStyle w:val="Heading2"/>
        <w:rPr>
          <w:lang w:val="en-GB"/>
        </w:rPr>
      </w:pPr>
      <w:bookmarkStart w:id="19" w:name="_Toc507406662"/>
      <w:r>
        <w:rPr>
          <w:lang w:val="en-GB"/>
        </w:rPr>
        <w:t>Introduction</w:t>
      </w:r>
      <w:bookmarkEnd w:id="19"/>
    </w:p>
    <w:p w14:paraId="0D7E0885" w14:textId="2F2C8890" w:rsidR="00F27E0D" w:rsidRDefault="00DD5B79">
      <w:pPr>
        <w:pStyle w:val="APVMAText"/>
        <w:rPr>
          <w:lang w:val="en-GB"/>
        </w:rPr>
      </w:pPr>
      <w:r w:rsidRPr="000F7625">
        <w:rPr>
          <w:lang w:val="en-GB"/>
        </w:rPr>
        <w:t xml:space="preserve">Miravis Fungicide </w:t>
      </w:r>
      <w:r w:rsidR="000F7625" w:rsidRPr="000F7625">
        <w:rPr>
          <w:lang w:val="en-GB"/>
        </w:rPr>
        <w:t>is proposed for use as a broad-spectrum fungicide in canola, grapes and potatoes.</w:t>
      </w:r>
      <w:r w:rsidR="009C3776">
        <w:rPr>
          <w:lang w:val="en-GB"/>
        </w:rPr>
        <w:t xml:space="preserve"> </w:t>
      </w:r>
      <w:r w:rsidR="000F7625">
        <w:rPr>
          <w:lang w:val="en-GB"/>
        </w:rPr>
        <w:t>P</w:t>
      </w:r>
      <w:r w:rsidR="009C3776">
        <w:rPr>
          <w:lang w:val="en-GB"/>
        </w:rPr>
        <w:t xml:space="preserve">lant and animal metabolism studies, supervised residue trials, analytical methodology, fate in storage and processing data and residues in trade information </w:t>
      </w:r>
      <w:r w:rsidR="000F7625">
        <w:rPr>
          <w:lang w:val="en-GB"/>
        </w:rPr>
        <w:t xml:space="preserve">related to the active pydiflumetofen </w:t>
      </w:r>
      <w:r w:rsidR="009C3776">
        <w:rPr>
          <w:lang w:val="en-GB"/>
        </w:rPr>
        <w:t>were considered.</w:t>
      </w:r>
      <w:r w:rsidR="000F7625" w:rsidRPr="000F7625">
        <w:rPr>
          <w:lang w:val="en-GB"/>
        </w:rPr>
        <w:t xml:space="preserve"> </w:t>
      </w:r>
    </w:p>
    <w:p w14:paraId="3719829A" w14:textId="77777777" w:rsidR="009C3776" w:rsidRDefault="009C3776" w:rsidP="009C3776">
      <w:pPr>
        <w:pStyle w:val="Heading2"/>
        <w:rPr>
          <w:lang w:val="en-GB"/>
        </w:rPr>
      </w:pPr>
      <w:bookmarkStart w:id="20" w:name="_Toc507406663"/>
      <w:r>
        <w:rPr>
          <w:lang w:val="en-GB"/>
        </w:rPr>
        <w:t>Metabolism</w:t>
      </w:r>
      <w:bookmarkEnd w:id="20"/>
    </w:p>
    <w:p w14:paraId="68B40ED5" w14:textId="77777777" w:rsidR="00F27E0D" w:rsidRPr="009C3776" w:rsidRDefault="009C3776" w:rsidP="00C015B2">
      <w:pPr>
        <w:pStyle w:val="Heading3"/>
        <w:rPr>
          <w:lang w:val="en-GB"/>
        </w:rPr>
      </w:pPr>
      <w:r>
        <w:rPr>
          <w:lang w:val="en-GB"/>
        </w:rPr>
        <w:t>Plants</w:t>
      </w:r>
    </w:p>
    <w:p w14:paraId="2DD282EC" w14:textId="67CE9832" w:rsidR="00907378" w:rsidRDefault="009C3776">
      <w:pPr>
        <w:pStyle w:val="APVMAText"/>
        <w:rPr>
          <w:lang w:val="en-GB"/>
        </w:rPr>
      </w:pPr>
      <w:r>
        <w:t>Plant metabolism studies for pydiflumetofen (SYN545974) were conducted on wheat, canola, tomatoes and confined rotational crops (lettuce, wheat and turnip)</w:t>
      </w:r>
      <w:r w:rsidR="000F7625">
        <w:t xml:space="preserve">. </w:t>
      </w:r>
      <w:r w:rsidR="00907378">
        <w:t>Spring wheat</w:t>
      </w:r>
      <w:r w:rsidR="001C70F6">
        <w:t xml:space="preserve"> grown outdoors</w:t>
      </w:r>
      <w:r>
        <w:t xml:space="preserve"> was treated with 2 foliar applications of either [Phenyl-U-</w:t>
      </w:r>
      <w:r>
        <w:rPr>
          <w:vertAlign w:val="superscript"/>
        </w:rPr>
        <w:t>14</w:t>
      </w:r>
      <w:r>
        <w:t>C] or [Pyrazole-5-</w:t>
      </w:r>
      <w:r>
        <w:rPr>
          <w:vertAlign w:val="superscript"/>
        </w:rPr>
        <w:t>14</w:t>
      </w:r>
      <w:r>
        <w:t xml:space="preserve">C] - SYN545974, each at a nominal application rate of 125 g </w:t>
      </w:r>
      <w:r w:rsidR="00907378">
        <w:t>ai/ha</w:t>
      </w:r>
      <w:r>
        <w:t>. The first application was made at BBCH 32-34 and the second at BBCH 58.</w:t>
      </w:r>
      <w:r w:rsidR="00C81CBA">
        <w:t xml:space="preserve"> </w:t>
      </w:r>
      <w:r w:rsidR="00907378">
        <w:t>Oilseed rape grown outdoors was treated once post emergence with either [Phenyl-U-</w:t>
      </w:r>
      <w:r w:rsidR="00907378">
        <w:rPr>
          <w:vertAlign w:val="superscript"/>
        </w:rPr>
        <w:t>14</w:t>
      </w:r>
      <w:r w:rsidR="00907378">
        <w:t>C] or [Pyrazole-5-</w:t>
      </w:r>
      <w:r w:rsidR="00907378">
        <w:rPr>
          <w:vertAlign w:val="superscript"/>
        </w:rPr>
        <w:t>14</w:t>
      </w:r>
      <w:r w:rsidR="00907378">
        <w:t>C] - SYN545974, at a nominal application rate of 150 g ai/ha. The application timing was at BBCH 65.</w:t>
      </w:r>
      <w:r w:rsidR="000F7625">
        <w:t xml:space="preserve"> </w:t>
      </w:r>
      <w:r w:rsidR="00907378">
        <w:t>Tomato plants grown in a glasshouse were treated with 2 foliar spray applications of either [Phenyl-U-</w:t>
      </w:r>
      <w:r w:rsidR="00907378">
        <w:rPr>
          <w:vertAlign w:val="superscript"/>
        </w:rPr>
        <w:t>14</w:t>
      </w:r>
      <w:r w:rsidR="00907378">
        <w:t>C] or [Pyrazole-5-</w:t>
      </w:r>
      <w:r w:rsidR="00907378">
        <w:rPr>
          <w:vertAlign w:val="superscript"/>
        </w:rPr>
        <w:t>14</w:t>
      </w:r>
      <w:r w:rsidR="00907378">
        <w:t xml:space="preserve">C] - SYN545974 at growth stages BBCH 83 and BBCH 86. The nominal application rate was 200 g ai/ha per application. A separate group of tomato plants grown in a glasshouse were treated with a single application </w:t>
      </w:r>
      <w:r w:rsidR="000F7625">
        <w:t xml:space="preserve">of 20 mg ai/plant </w:t>
      </w:r>
      <w:r w:rsidR="00907378">
        <w:t>direct to the soil.</w:t>
      </w:r>
    </w:p>
    <w:p w14:paraId="7FF55E3D" w14:textId="77777777" w:rsidR="00907378" w:rsidRDefault="001A6EC7">
      <w:pPr>
        <w:pStyle w:val="APVMAText"/>
        <w:rPr>
          <w:lang w:val="en-GB"/>
        </w:rPr>
      </w:pPr>
      <w:r>
        <w:t>The metabolism of pydiflumetofen</w:t>
      </w:r>
      <w:r w:rsidR="00907378">
        <w:t xml:space="preserve"> was</w:t>
      </w:r>
      <w:r w:rsidR="001C70F6">
        <w:t xml:space="preserve"> also</w:t>
      </w:r>
      <w:r w:rsidR="00907378">
        <w:t xml:space="preserve"> investigated in the succeeding crops of lettuce, spring wheat and turnip</w:t>
      </w:r>
      <w:r w:rsidR="001C70F6">
        <w:t xml:space="preserve"> following application to bare soil</w:t>
      </w:r>
      <w:r w:rsidR="00907378">
        <w:t>. [Phenyl-U-</w:t>
      </w:r>
      <w:r w:rsidR="00907378">
        <w:rPr>
          <w:vertAlign w:val="superscript"/>
        </w:rPr>
        <w:t>14</w:t>
      </w:r>
      <w:r w:rsidR="00907378">
        <w:t>C] or [Pyrazole-5-</w:t>
      </w:r>
      <w:r w:rsidR="00907378">
        <w:rPr>
          <w:vertAlign w:val="superscript"/>
        </w:rPr>
        <w:t>14</w:t>
      </w:r>
      <w:r w:rsidR="00907378">
        <w:t>C] - SYN545974 was applied to soil (sandy loam) as a single spray application at the nominal rate of 400 g ai/ha. The soil containers were maintained outdoors until 28 days after application when they were moved into a glasshouse for the remainder of the experiment. The rotational crops were sown 30, 120 and 270 days after application.</w:t>
      </w:r>
    </w:p>
    <w:p w14:paraId="032D4772" w14:textId="77777777" w:rsidR="004E0298" w:rsidRDefault="004E0298" w:rsidP="004E0298">
      <w:pPr>
        <w:pStyle w:val="APVMAText"/>
      </w:pPr>
      <w:r>
        <w:t>The major component of the radioactive residue found in primary and rotational crops was parent compound:</w:t>
      </w:r>
    </w:p>
    <w:p w14:paraId="7B1A887F" w14:textId="44FA959D" w:rsidR="004E0298" w:rsidRDefault="004E0298" w:rsidP="00361808">
      <w:pPr>
        <w:pStyle w:val="APVMAText"/>
        <w:numPr>
          <w:ilvl w:val="0"/>
          <w:numId w:val="10"/>
        </w:numPr>
      </w:pPr>
      <w:r>
        <w:t>In wheat, the highest levels of pare</w:t>
      </w:r>
      <w:r w:rsidR="00BC0121">
        <w:t>nt were detected in straw (1.08</w:t>
      </w:r>
      <w:r w:rsidR="00DD5B79">
        <w:t>–</w:t>
      </w:r>
      <w:r w:rsidR="00BC0121">
        <w:t>1.17 mg/kg, 76</w:t>
      </w:r>
      <w:r w:rsidR="00DD5B79">
        <w:t>–</w:t>
      </w:r>
      <w:r w:rsidR="00BC0121">
        <w:t>84</w:t>
      </w:r>
      <w:r>
        <w:t>%</w:t>
      </w:r>
      <w:r w:rsidR="00B81459">
        <w:t>Total Radioactive Residue</w:t>
      </w:r>
      <w:r w:rsidR="002A45E8">
        <w:t xml:space="preserve"> (TRR)</w:t>
      </w:r>
      <w:r>
        <w:t>), and the lowest in grain (0.030</w:t>
      </w:r>
      <w:r w:rsidR="00DD5B79">
        <w:t>–</w:t>
      </w:r>
      <w:r>
        <w:t xml:space="preserve">0.046 mg/kg, ≥ 81.5% TRR). Only 2 other </w:t>
      </w:r>
      <w:r w:rsidR="00C81CBA">
        <w:t xml:space="preserve">metabolites </w:t>
      </w:r>
      <w:r>
        <w:t>were identified: SYN545547 and SYN547891</w:t>
      </w:r>
      <w:r w:rsidR="00C81CBA">
        <w:t xml:space="preserve"> (see metabolic pathway for plants below)</w:t>
      </w:r>
      <w:r>
        <w:t xml:space="preserve">. </w:t>
      </w:r>
      <w:r w:rsidRPr="000053DD">
        <w:rPr>
          <w:rFonts w:eastAsiaTheme="minorHAnsi"/>
        </w:rPr>
        <w:t>Residues of SYN545547 accounted for ≤</w:t>
      </w:r>
      <w:r>
        <w:rPr>
          <w:rFonts w:eastAsiaTheme="minorHAnsi"/>
        </w:rPr>
        <w:t xml:space="preserve"> </w:t>
      </w:r>
      <w:r w:rsidRPr="000053DD">
        <w:rPr>
          <w:rFonts w:eastAsiaTheme="minorHAnsi"/>
        </w:rPr>
        <w:t>3.9% TRR with the largest residue detected in straw (0.059 mg/kg, 3.9% TRR). Residues of SYN547891 accounted for ≤</w:t>
      </w:r>
      <w:r>
        <w:rPr>
          <w:rFonts w:eastAsiaTheme="minorHAnsi"/>
        </w:rPr>
        <w:t xml:space="preserve"> </w:t>
      </w:r>
      <w:r w:rsidRPr="000053DD">
        <w:rPr>
          <w:rFonts w:eastAsiaTheme="minorHAnsi"/>
        </w:rPr>
        <w:t>8.3% TRR with the highest residue in straw (0.065 mg/kg, 4.3% TRR).</w:t>
      </w:r>
    </w:p>
    <w:p w14:paraId="43F37729" w14:textId="3B1F1415" w:rsidR="004E0298" w:rsidRPr="004E0298" w:rsidRDefault="004E0298" w:rsidP="00361808">
      <w:pPr>
        <w:pStyle w:val="APVMAText"/>
        <w:numPr>
          <w:ilvl w:val="0"/>
          <w:numId w:val="10"/>
        </w:numPr>
      </w:pPr>
      <w:r w:rsidRPr="004E0298">
        <w:t xml:space="preserve">In canola, the highest residues of parent were detected in </w:t>
      </w:r>
      <w:r w:rsidR="00BC0121">
        <w:t>trash (0.018</w:t>
      </w:r>
      <w:r w:rsidR="00DD5B79">
        <w:t>–</w:t>
      </w:r>
      <w:r w:rsidR="00BC0121">
        <w:t>0.032 mg/kg, 30</w:t>
      </w:r>
      <w:r w:rsidR="00DD5B79">
        <w:t>–</w:t>
      </w:r>
      <w:r w:rsidR="00BC0121">
        <w:t>51</w:t>
      </w:r>
      <w:r w:rsidRPr="004E0298">
        <w:t xml:space="preserve">%TRR); lower parent residues were detected in </w:t>
      </w:r>
      <w:r w:rsidR="00BC0121">
        <w:t>seed (0.007- 0.012 mg/kg, 39 - 63</w:t>
      </w:r>
      <w:r w:rsidRPr="004E0298">
        <w:t>% TRR).</w:t>
      </w:r>
      <w:r>
        <w:t xml:space="preserve"> </w:t>
      </w:r>
      <w:r>
        <w:rPr>
          <w:rFonts w:eastAsiaTheme="minorHAnsi"/>
        </w:rPr>
        <w:t>Low residues of SYN545547 (</w:t>
      </w:r>
      <w:r w:rsidR="00BC0121">
        <w:rPr>
          <w:rFonts w:eastAsiaTheme="minorHAnsi"/>
        </w:rPr>
        <w:t>≤</w:t>
      </w:r>
      <w:r w:rsidR="00BC0121">
        <w:rPr>
          <w:rFonts w:ascii="TimesNewRomanPSMT" w:eastAsiaTheme="minorHAnsi" w:hAnsi="TimesNewRomanPSMT" w:cs="TimesNewRomanPSMT"/>
        </w:rPr>
        <w:t xml:space="preserve"> </w:t>
      </w:r>
      <w:r w:rsidR="009F5E02">
        <w:rPr>
          <w:rFonts w:eastAsiaTheme="minorHAnsi"/>
        </w:rPr>
        <w:t>0.002 mg/kg</w:t>
      </w:r>
      <w:r w:rsidR="00BC0121">
        <w:rPr>
          <w:rFonts w:eastAsiaTheme="minorHAnsi"/>
        </w:rPr>
        <w:t xml:space="preserve">, </w:t>
      </w:r>
      <w:r>
        <w:rPr>
          <w:rFonts w:eastAsiaTheme="minorHAnsi"/>
        </w:rPr>
        <w:t>≤</w:t>
      </w:r>
      <w:r>
        <w:rPr>
          <w:rFonts w:ascii="TimesNewRomanPSMT" w:eastAsiaTheme="minorHAnsi" w:hAnsi="TimesNewRomanPSMT" w:cs="TimesNewRomanPSMT"/>
        </w:rPr>
        <w:t xml:space="preserve"> </w:t>
      </w:r>
      <w:r w:rsidR="00BC0121">
        <w:rPr>
          <w:rFonts w:eastAsiaTheme="minorHAnsi"/>
        </w:rPr>
        <w:t>3.7% TRR</w:t>
      </w:r>
      <w:r>
        <w:rPr>
          <w:rFonts w:eastAsiaTheme="minorHAnsi"/>
        </w:rPr>
        <w:t>) and SYN547891 (</w:t>
      </w:r>
      <w:r w:rsidR="00BC0121">
        <w:rPr>
          <w:rFonts w:eastAsiaTheme="minorHAnsi"/>
        </w:rPr>
        <w:t>≤</w:t>
      </w:r>
      <w:r w:rsidR="00BC0121">
        <w:rPr>
          <w:rFonts w:ascii="TimesNewRomanPSMT" w:eastAsiaTheme="minorHAnsi" w:hAnsi="TimesNewRomanPSMT" w:cs="TimesNewRomanPSMT"/>
        </w:rPr>
        <w:t xml:space="preserve"> </w:t>
      </w:r>
      <w:r w:rsidR="00BC0121">
        <w:rPr>
          <w:rFonts w:eastAsiaTheme="minorHAnsi"/>
        </w:rPr>
        <w:t>0.00</w:t>
      </w:r>
      <w:r w:rsidR="006E320A">
        <w:rPr>
          <w:rFonts w:eastAsiaTheme="minorHAnsi"/>
        </w:rPr>
        <w:t>3 mg/kg</w:t>
      </w:r>
      <w:r w:rsidR="00BC0121">
        <w:rPr>
          <w:rFonts w:eastAsiaTheme="minorHAnsi"/>
        </w:rPr>
        <w:t xml:space="preserve">, </w:t>
      </w:r>
      <w:r>
        <w:rPr>
          <w:rFonts w:eastAsiaTheme="minorHAnsi"/>
        </w:rPr>
        <w:t>≤</w:t>
      </w:r>
      <w:r>
        <w:rPr>
          <w:rFonts w:ascii="TimesNewRomanPSMT" w:eastAsiaTheme="minorHAnsi" w:hAnsi="TimesNewRomanPSMT" w:cs="TimesNewRomanPSMT"/>
        </w:rPr>
        <w:t xml:space="preserve"> </w:t>
      </w:r>
      <w:r w:rsidR="00BC0121">
        <w:rPr>
          <w:rFonts w:eastAsiaTheme="minorHAnsi"/>
        </w:rPr>
        <w:t>5.1% TRR</w:t>
      </w:r>
      <w:r>
        <w:rPr>
          <w:rFonts w:eastAsiaTheme="minorHAnsi"/>
        </w:rPr>
        <w:t>) were detected in trash. Low residues of SYN545547 (</w:t>
      </w:r>
      <w:r w:rsidR="00BC0121">
        <w:rPr>
          <w:rFonts w:eastAsiaTheme="minorHAnsi"/>
        </w:rPr>
        <w:t>≤</w:t>
      </w:r>
      <w:r w:rsidR="00BC0121">
        <w:rPr>
          <w:rFonts w:ascii="TimesNewRomanPSMT" w:eastAsiaTheme="minorHAnsi" w:hAnsi="TimesNewRomanPSMT" w:cs="TimesNewRomanPSMT"/>
        </w:rPr>
        <w:t xml:space="preserve"> </w:t>
      </w:r>
      <w:r w:rsidR="006E320A">
        <w:rPr>
          <w:rFonts w:eastAsiaTheme="minorHAnsi"/>
        </w:rPr>
        <w:t>0.001 mg/kg</w:t>
      </w:r>
      <w:r w:rsidR="00BC0121">
        <w:rPr>
          <w:rFonts w:eastAsiaTheme="minorHAnsi"/>
        </w:rPr>
        <w:t xml:space="preserve">, </w:t>
      </w:r>
      <w:r>
        <w:rPr>
          <w:rFonts w:eastAsiaTheme="minorHAnsi"/>
        </w:rPr>
        <w:t>≤</w:t>
      </w:r>
      <w:r>
        <w:rPr>
          <w:rFonts w:ascii="TimesNewRomanPSMT" w:eastAsiaTheme="minorHAnsi" w:hAnsi="TimesNewRomanPSMT" w:cs="TimesNewRomanPSMT"/>
        </w:rPr>
        <w:t xml:space="preserve"> </w:t>
      </w:r>
      <w:r w:rsidR="00BC0121">
        <w:rPr>
          <w:rFonts w:eastAsiaTheme="minorHAnsi"/>
        </w:rPr>
        <w:t>6.1% TRR</w:t>
      </w:r>
      <w:r>
        <w:rPr>
          <w:rFonts w:eastAsiaTheme="minorHAnsi"/>
        </w:rPr>
        <w:t>) and SYN547891 (</w:t>
      </w:r>
      <w:r w:rsidR="00BC0121">
        <w:rPr>
          <w:rFonts w:eastAsiaTheme="minorHAnsi"/>
        </w:rPr>
        <w:t>≤</w:t>
      </w:r>
      <w:r w:rsidR="00BC0121">
        <w:rPr>
          <w:rFonts w:ascii="TimesNewRomanPSMT" w:eastAsiaTheme="minorHAnsi" w:hAnsi="TimesNewRomanPSMT" w:cs="TimesNewRomanPSMT"/>
        </w:rPr>
        <w:t> </w:t>
      </w:r>
      <w:r w:rsidR="00BC0121">
        <w:rPr>
          <w:rFonts w:eastAsiaTheme="minorHAnsi"/>
        </w:rPr>
        <w:t xml:space="preserve">0.001 mg/kg, </w:t>
      </w:r>
      <w:r>
        <w:rPr>
          <w:rFonts w:eastAsiaTheme="minorHAnsi"/>
        </w:rPr>
        <w:t>≤</w:t>
      </w:r>
      <w:r>
        <w:rPr>
          <w:rFonts w:ascii="TimesNewRomanPSMT" w:eastAsiaTheme="minorHAnsi" w:hAnsi="TimesNewRomanPSMT" w:cs="TimesNewRomanPSMT"/>
        </w:rPr>
        <w:t xml:space="preserve"> </w:t>
      </w:r>
      <w:r w:rsidR="00BC0121">
        <w:rPr>
          <w:rFonts w:eastAsiaTheme="minorHAnsi"/>
        </w:rPr>
        <w:t>2.7% TRR</w:t>
      </w:r>
      <w:r>
        <w:rPr>
          <w:rFonts w:eastAsiaTheme="minorHAnsi"/>
        </w:rPr>
        <w:t>) were detected in seed.</w:t>
      </w:r>
    </w:p>
    <w:p w14:paraId="6E2F3696" w14:textId="0F077F7A" w:rsidR="004E0298" w:rsidRPr="005A597A" w:rsidRDefault="004E0298" w:rsidP="00361808">
      <w:pPr>
        <w:pStyle w:val="APVMAText"/>
        <w:numPr>
          <w:ilvl w:val="0"/>
          <w:numId w:val="10"/>
        </w:numPr>
      </w:pPr>
      <w:r>
        <w:lastRenderedPageBreak/>
        <w:t>Parent was the major component in all foliar treated tomato fruit samples</w:t>
      </w:r>
      <w:r w:rsidRPr="00D767EB">
        <w:t xml:space="preserve">. </w:t>
      </w:r>
      <w:r w:rsidRPr="004E0298">
        <w:t xml:space="preserve">The highest </w:t>
      </w:r>
      <w:r>
        <w:t>residues were detected in</w:t>
      </w:r>
      <w:r w:rsidRPr="004E0298">
        <w:t xml:space="preserve"> fruit </w:t>
      </w:r>
      <w:r>
        <w:t xml:space="preserve">collected 14 days after the second application </w:t>
      </w:r>
      <w:r w:rsidRPr="004E0298">
        <w:t>(0.592</w:t>
      </w:r>
      <w:r w:rsidR="00DD5B79">
        <w:t>–</w:t>
      </w:r>
      <w:r w:rsidRPr="004E0298">
        <w:t>0.611 mg/kg, 9</w:t>
      </w:r>
      <w:r w:rsidR="00BC0121">
        <w:t>2</w:t>
      </w:r>
      <w:r w:rsidR="00DD5B79">
        <w:t>–</w:t>
      </w:r>
      <w:r w:rsidR="00BC0121">
        <w:t>97</w:t>
      </w:r>
      <w:r w:rsidRPr="004E0298">
        <w:t>%TRR).</w:t>
      </w:r>
      <w:r>
        <w:t xml:space="preserve"> </w:t>
      </w:r>
      <w:r w:rsidRPr="00D767EB">
        <w:rPr>
          <w:rFonts w:eastAsiaTheme="minorHAnsi"/>
        </w:rPr>
        <w:t>Residues of SYN545547 and SYN547891 accounted for a maximum of 3.6% and 1.6% TRR respectively.</w:t>
      </w:r>
      <w:r w:rsidR="00BC0121">
        <w:rPr>
          <w:rFonts w:eastAsiaTheme="minorHAnsi"/>
        </w:rPr>
        <w:t xml:space="preserve"> </w:t>
      </w:r>
      <w:r w:rsidR="009F5E02">
        <w:rPr>
          <w:rFonts w:eastAsiaTheme="minorHAnsi"/>
        </w:rPr>
        <w:t>In the</w:t>
      </w:r>
      <w:r w:rsidR="00BC0121" w:rsidRPr="00D767EB">
        <w:rPr>
          <w:rFonts w:eastAsiaTheme="minorHAnsi"/>
        </w:rPr>
        <w:t xml:space="preserve"> soil treated experiment, fruit total radioactive residues were low (≤ 0.013 mg/kg)</w:t>
      </w:r>
      <w:r w:rsidR="009F5E02">
        <w:rPr>
          <w:rFonts w:eastAsiaTheme="minorHAnsi"/>
        </w:rPr>
        <w:t>, with only SYN545974 (0.001 mg/kg, 4.1% TRR) identified from the pyrazole label</w:t>
      </w:r>
      <w:r w:rsidR="00BC0121" w:rsidRPr="00D767EB">
        <w:rPr>
          <w:rFonts w:eastAsiaTheme="minorHAnsi"/>
        </w:rPr>
        <w:t>.</w:t>
      </w:r>
    </w:p>
    <w:p w14:paraId="244DF867" w14:textId="6A4ECD50" w:rsidR="004E0298" w:rsidRPr="005A597A" w:rsidRDefault="004E0298" w:rsidP="00361808">
      <w:pPr>
        <w:pStyle w:val="APVMAText"/>
        <w:numPr>
          <w:ilvl w:val="0"/>
          <w:numId w:val="10"/>
        </w:numPr>
      </w:pPr>
      <w:r w:rsidRPr="004E0298">
        <w:t xml:space="preserve">In confined rotational crops, </w:t>
      </w:r>
      <w:r>
        <w:t xml:space="preserve">parent represented the major proportion of the residue in all commodities, declining between the 30 and 270 day plant back intervals. </w:t>
      </w:r>
      <w:r w:rsidRPr="004E0298">
        <w:t>The highest absolute residue of parent was detected in 120 day PBI pyrazole w</w:t>
      </w:r>
      <w:r w:rsidR="009F5E02">
        <w:t>heat straw of 0.063 mg/kg, (29</w:t>
      </w:r>
      <w:r w:rsidRPr="004E0298">
        <w:t>% TRR)</w:t>
      </w:r>
      <w:r w:rsidR="009F5E02">
        <w:t>, declining to 0.030 mg/kg (19</w:t>
      </w:r>
      <w:r w:rsidRPr="004E0298">
        <w:t>% TRR) by 270 day PBI. Parent SYN545974 again represented the major component in both immature lettuce and turnip foliage at 30 day PB</w:t>
      </w:r>
      <w:r w:rsidR="009F5E02">
        <w:t>I (maximum of 77% TRR and 77</w:t>
      </w:r>
      <w:r w:rsidRPr="004E0298">
        <w:t>% respectively) equat</w:t>
      </w:r>
      <w:r w:rsidR="001C70F6">
        <w:t>ing</w:t>
      </w:r>
      <w:r w:rsidRPr="004E0298">
        <w:t xml:space="preserve"> to maximum residue levels of 0.015 mg/kg and 0.008 mg/kg respectively.</w:t>
      </w:r>
      <w:r w:rsidR="009159A0">
        <w:t xml:space="preserve"> Metabolites SYN547891 and SYN545547 were detected in all commodities. </w:t>
      </w:r>
      <w:r w:rsidR="009159A0">
        <w:rPr>
          <w:rFonts w:eastAsiaTheme="minorHAnsi"/>
        </w:rPr>
        <w:t>Residues of SYN545547 accounted for ≤</w:t>
      </w:r>
      <w:r w:rsidR="009159A0">
        <w:rPr>
          <w:rFonts w:ascii="TimesNewRomanPSMT" w:eastAsiaTheme="minorHAnsi" w:hAnsi="TimesNewRomanPSMT" w:cs="TimesNewRomanPSMT"/>
        </w:rPr>
        <w:t xml:space="preserve"> </w:t>
      </w:r>
      <w:r w:rsidR="009159A0">
        <w:rPr>
          <w:rFonts w:eastAsiaTheme="minorHAnsi"/>
        </w:rPr>
        <w:t xml:space="preserve">5.6% TRR with the largest residue detected in 30 day PBI and </w:t>
      </w:r>
      <w:r w:rsidR="00FF0655">
        <w:rPr>
          <w:rFonts w:eastAsiaTheme="minorHAnsi"/>
        </w:rPr>
        <w:br/>
      </w:r>
      <w:r w:rsidR="009159A0">
        <w:rPr>
          <w:rFonts w:eastAsiaTheme="minorHAnsi"/>
        </w:rPr>
        <w:t>120 day PBI pyrazole labelled straw (0.005 mg/kg, 2.2</w:t>
      </w:r>
      <w:r w:rsidR="00FF0655">
        <w:rPr>
          <w:rFonts w:eastAsiaTheme="minorHAnsi"/>
        </w:rPr>
        <w:t>–</w:t>
      </w:r>
      <w:r w:rsidR="009159A0">
        <w:rPr>
          <w:rFonts w:eastAsiaTheme="minorHAnsi"/>
        </w:rPr>
        <w:t>2.3% TRR). Residues of SYN547891 accounted for ≤</w:t>
      </w:r>
      <w:r w:rsidR="009159A0">
        <w:rPr>
          <w:rFonts w:ascii="MS Mincho" w:eastAsia="MS Mincho" w:hAnsi="MS Mincho" w:cs="TimesNewRomanPSMT" w:hint="eastAsia"/>
        </w:rPr>
        <w:t xml:space="preserve"> </w:t>
      </w:r>
      <w:r w:rsidR="009F5E02">
        <w:rPr>
          <w:rFonts w:eastAsiaTheme="minorHAnsi"/>
        </w:rPr>
        <w:t>13</w:t>
      </w:r>
      <w:r w:rsidR="009159A0">
        <w:rPr>
          <w:rFonts w:eastAsiaTheme="minorHAnsi"/>
        </w:rPr>
        <w:t>% TRR with the highest residue detected in 30 day PBI pyrazole labelled straw (0.012 mg/kg, 5.5% TRR).</w:t>
      </w:r>
    </w:p>
    <w:p w14:paraId="5E3F4E13" w14:textId="77777777" w:rsidR="009F5E02" w:rsidRDefault="009F5E02">
      <w:pPr>
        <w:rPr>
          <w:rFonts w:cs="Arial"/>
          <w:u w:color="000000"/>
        </w:rPr>
      </w:pPr>
      <w:r>
        <w:br w:type="page"/>
      </w:r>
    </w:p>
    <w:p w14:paraId="3DA313C2" w14:textId="77777777" w:rsidR="009159A0" w:rsidRDefault="009159A0" w:rsidP="009159A0">
      <w:pPr>
        <w:pStyle w:val="APVMAText"/>
      </w:pPr>
      <w:r>
        <w:lastRenderedPageBreak/>
        <w:t>The proposed metabolic pathway of pydiflumetofen (SYN545974) in plants is shown below</w:t>
      </w:r>
      <w:r w:rsidR="009F5E02">
        <w:t xml:space="preserve"> and involves the following steps</w:t>
      </w:r>
      <w:r>
        <w:t xml:space="preserve">. </w:t>
      </w:r>
    </w:p>
    <w:p w14:paraId="3439BFAF" w14:textId="77777777" w:rsidR="009159A0" w:rsidRDefault="009159A0" w:rsidP="00361808">
      <w:pPr>
        <w:pStyle w:val="APVMAText"/>
        <w:numPr>
          <w:ilvl w:val="0"/>
          <w:numId w:val="10"/>
        </w:numPr>
      </w:pPr>
      <w:r>
        <w:t>Demethylati</w:t>
      </w:r>
      <w:r w:rsidR="000B4A67">
        <w:t>on of the pyrazole ring to produce</w:t>
      </w:r>
      <w:r>
        <w:t xml:space="preserve"> SYN547891. </w:t>
      </w:r>
    </w:p>
    <w:p w14:paraId="267B7DFC" w14:textId="77777777" w:rsidR="00907378" w:rsidRPr="009159A0" w:rsidRDefault="009159A0" w:rsidP="00361808">
      <w:pPr>
        <w:pStyle w:val="APVMAText"/>
        <w:numPr>
          <w:ilvl w:val="0"/>
          <w:numId w:val="10"/>
        </w:numPr>
      </w:pPr>
      <w:r>
        <w:t>Reduction of the parent mole</w:t>
      </w:r>
      <w:r w:rsidR="000B4A67">
        <w:t>cule to produce</w:t>
      </w:r>
      <w:r>
        <w:t xml:space="preserve"> SYN545547.</w:t>
      </w:r>
    </w:p>
    <w:p w14:paraId="6A9CE51E" w14:textId="77777777" w:rsidR="00907378" w:rsidRDefault="009159A0">
      <w:pPr>
        <w:pStyle w:val="APVMAText"/>
        <w:rPr>
          <w:lang w:val="en-GB"/>
        </w:rPr>
      </w:pPr>
      <w:r w:rsidRPr="004B6DD1">
        <w:rPr>
          <w:noProof/>
          <w:lang w:eastAsia="en-AU"/>
        </w:rPr>
        <w:drawing>
          <wp:anchor distT="0" distB="0" distL="114300" distR="114300" simplePos="0" relativeHeight="251653632" behindDoc="0" locked="0" layoutInCell="1" allowOverlap="1" wp14:anchorId="63DB6D2B" wp14:editId="1A71FD37">
            <wp:simplePos x="0" y="0"/>
            <wp:positionH relativeFrom="margin">
              <wp:align>left</wp:align>
            </wp:positionH>
            <wp:positionV relativeFrom="paragraph">
              <wp:posOffset>114300</wp:posOffset>
            </wp:positionV>
            <wp:extent cx="5759450" cy="4500669"/>
            <wp:effectExtent l="0" t="0" r="0" b="0"/>
            <wp:wrapTopAndBottom/>
            <wp:docPr id="11" name="Picture 11" descr="The proposed metabolic pathway of pydiflumetofen (SYN545974) in plants is shown and involves the following steps. &#10;• Demethylation of the pyrazole ring to produce SYN547891. &#10;• Reduction of the parent molecule to produce SYN545547.&#10;" title="Metabolic pathway in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45006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E8F0F" w14:textId="77777777" w:rsidR="00907378" w:rsidRPr="009159A0" w:rsidRDefault="009159A0" w:rsidP="009159A0">
      <w:pPr>
        <w:pStyle w:val="APVMAText"/>
        <w:jc w:val="center"/>
        <w:rPr>
          <w:i/>
          <w:lang w:val="en-GB"/>
        </w:rPr>
      </w:pPr>
      <w:r>
        <w:rPr>
          <w:i/>
          <w:lang w:val="en-GB"/>
        </w:rPr>
        <w:t>Proposed Metabolic Pathway for Pydiflumetofen (SYN545974) in plants</w:t>
      </w:r>
    </w:p>
    <w:p w14:paraId="69930026" w14:textId="77777777" w:rsidR="009159A0" w:rsidRDefault="009159A0">
      <w:pPr>
        <w:pStyle w:val="APVMAText"/>
        <w:rPr>
          <w:lang w:val="en-GB"/>
        </w:rPr>
      </w:pPr>
    </w:p>
    <w:p w14:paraId="36D3018D" w14:textId="77777777" w:rsidR="00AB361A" w:rsidRDefault="00AB361A">
      <w:pPr>
        <w:rPr>
          <w:rFonts w:ascii="Trebuchet MS" w:hAnsi="Trebuchet MS" w:cs="Arial"/>
          <w:b/>
          <w:color w:val="365860"/>
          <w:sz w:val="24"/>
          <w:szCs w:val="26"/>
          <w:u w:color="000000"/>
          <w:lang w:val="en-GB"/>
        </w:rPr>
      </w:pPr>
      <w:r>
        <w:rPr>
          <w:lang w:val="en-GB"/>
        </w:rPr>
        <w:br w:type="page"/>
      </w:r>
    </w:p>
    <w:p w14:paraId="47799981" w14:textId="1D9D4E56" w:rsidR="009159A0" w:rsidRPr="009159A0" w:rsidRDefault="009159A0" w:rsidP="00C015B2">
      <w:pPr>
        <w:pStyle w:val="Heading3"/>
        <w:rPr>
          <w:lang w:val="en-GB"/>
        </w:rPr>
      </w:pPr>
      <w:r>
        <w:rPr>
          <w:lang w:val="en-GB"/>
        </w:rPr>
        <w:lastRenderedPageBreak/>
        <w:t>Livestock</w:t>
      </w:r>
    </w:p>
    <w:p w14:paraId="1F02D2B1" w14:textId="77777777" w:rsidR="009159A0" w:rsidRDefault="009159A0">
      <w:pPr>
        <w:pStyle w:val="APVMAText"/>
        <w:rPr>
          <w:lang w:val="en-GB"/>
        </w:rPr>
      </w:pPr>
      <w:r>
        <w:t xml:space="preserve">In livestock, metabolism studies were conducted on </w:t>
      </w:r>
      <w:r w:rsidR="00361808">
        <w:t>lactating goats and laying hens:</w:t>
      </w:r>
    </w:p>
    <w:p w14:paraId="4A598832" w14:textId="77777777" w:rsidR="00F73F76" w:rsidRPr="00F73F76" w:rsidRDefault="00F73F76" w:rsidP="00FF0655">
      <w:pPr>
        <w:pStyle w:val="Heading4"/>
      </w:pPr>
      <w:r>
        <w:t>Lactating goats</w:t>
      </w:r>
    </w:p>
    <w:p w14:paraId="67CAD355" w14:textId="6C275AD7" w:rsidR="00907378" w:rsidRDefault="00361808">
      <w:pPr>
        <w:pStyle w:val="APVMAText"/>
        <w:rPr>
          <w:lang w:val="en-GB"/>
        </w:rPr>
      </w:pPr>
      <w:r>
        <w:t>Two lactating goats, one per radiolabel</w:t>
      </w:r>
      <w:r w:rsidR="001C70F6">
        <w:t>,</w:t>
      </w:r>
      <w:r>
        <w:t xml:space="preserve"> were orally dosed with [phenyl-U-</w:t>
      </w:r>
      <w:r>
        <w:rPr>
          <w:vertAlign w:val="superscript"/>
        </w:rPr>
        <w:t>14</w:t>
      </w:r>
      <w:r>
        <w:t>C]-SYN545974 or [pyrazole-5-</w:t>
      </w:r>
      <w:r>
        <w:rPr>
          <w:vertAlign w:val="superscript"/>
        </w:rPr>
        <w:t>14</w:t>
      </w:r>
      <w:r>
        <w:t xml:space="preserve">C]-SYN545974 for 7 days at a nominal rate of 100 mg ai equiv/kg dietary dry matter intake. </w:t>
      </w:r>
      <w:r w:rsidR="009547E4">
        <w:t>Actual dose rate</w:t>
      </w:r>
      <w:r w:rsidR="006E320A">
        <w:t>s</w:t>
      </w:r>
      <w:r w:rsidR="009547E4">
        <w:t xml:space="preserve"> based on measured food consumption were approximately 205 and 144 mg ai equiv/kg dry matter intake for the phenyl and pyrazole label respectively (corresponding to 4.6 and 4.6 mg ai equiv/kg bw respectively).</w:t>
      </w:r>
      <w:r w:rsidR="00BB6781">
        <w:t xml:space="preserve"> </w:t>
      </w:r>
      <w:r>
        <w:t xml:space="preserve">Milk, urine and faeces were collected daily. The goats were sacrificed approximately 11 hours after administration of the final dose and samples of tissues taken </w:t>
      </w:r>
      <w:r w:rsidRPr="00353591">
        <w:rPr>
          <w:rFonts w:eastAsiaTheme="minorHAnsi"/>
        </w:rPr>
        <w:t>(liver, kidneys, peritoneal fat, perirenal fat, subcutaneous fat, flank muscle, loin muscle, GI tract and contents, blood, bile and carcass)</w:t>
      </w:r>
      <w:r>
        <w:rPr>
          <w:rFonts w:eastAsiaTheme="minorHAnsi"/>
        </w:rPr>
        <w:t>.</w:t>
      </w:r>
      <w:r w:rsidR="00F73F76">
        <w:rPr>
          <w:rFonts w:eastAsiaTheme="minorHAnsi"/>
        </w:rPr>
        <w:t xml:space="preserve"> </w:t>
      </w:r>
      <w:r w:rsidR="00F73F76" w:rsidRPr="00704849">
        <w:rPr>
          <w:rFonts w:eastAsiaTheme="minorHAnsi"/>
        </w:rPr>
        <w:t>Residues in milk achieved a plateau concentration of app</w:t>
      </w:r>
      <w:r w:rsidR="00F73F76">
        <w:rPr>
          <w:rFonts w:eastAsiaTheme="minorHAnsi"/>
        </w:rPr>
        <w:t xml:space="preserve">roximately 0.091 mg/kg (phenyl) </w:t>
      </w:r>
      <w:r w:rsidR="00F73F76" w:rsidRPr="00704849">
        <w:rPr>
          <w:rFonts w:eastAsiaTheme="minorHAnsi"/>
        </w:rPr>
        <w:t xml:space="preserve">and 0.126 mg/kg (pyrazole), after </w:t>
      </w:r>
      <w:r w:rsidR="00FF0655">
        <w:rPr>
          <w:rFonts w:eastAsiaTheme="minorHAnsi"/>
        </w:rPr>
        <w:br/>
      </w:r>
      <w:r w:rsidR="00F73F76" w:rsidRPr="00704849">
        <w:rPr>
          <w:rFonts w:eastAsiaTheme="minorHAnsi"/>
        </w:rPr>
        <w:t>2 days</w:t>
      </w:r>
      <w:r w:rsidR="00F73F76">
        <w:rPr>
          <w:rFonts w:eastAsiaTheme="minorHAnsi"/>
        </w:rPr>
        <w:t>.</w:t>
      </w:r>
    </w:p>
    <w:p w14:paraId="6B1A56AB" w14:textId="2E630356" w:rsidR="00907378" w:rsidRDefault="00361808">
      <w:pPr>
        <w:pStyle w:val="APVMAText"/>
        <w:rPr>
          <w:rFonts w:eastAsiaTheme="minorHAnsi"/>
        </w:rPr>
      </w:pPr>
      <w:r w:rsidRPr="00844E53">
        <w:rPr>
          <w:rFonts w:eastAsiaTheme="minorHAnsi"/>
        </w:rPr>
        <w:t xml:space="preserve">Parent </w:t>
      </w:r>
      <w:r w:rsidR="001A6EC7">
        <w:rPr>
          <w:rFonts w:eastAsiaTheme="minorHAnsi"/>
        </w:rPr>
        <w:t>pydiflumetofen</w:t>
      </w:r>
      <w:r w:rsidRPr="00844E53">
        <w:rPr>
          <w:rFonts w:eastAsiaTheme="minorHAnsi"/>
        </w:rPr>
        <w:t xml:space="preserve"> was identified in milk and all tissues. Pa</w:t>
      </w:r>
      <w:r>
        <w:rPr>
          <w:rFonts w:eastAsiaTheme="minorHAnsi"/>
        </w:rPr>
        <w:t>rent %</w:t>
      </w:r>
      <w:r w:rsidR="00C81CBA">
        <w:rPr>
          <w:rFonts w:eastAsiaTheme="minorHAnsi"/>
        </w:rPr>
        <w:t xml:space="preserve"> </w:t>
      </w:r>
      <w:r>
        <w:rPr>
          <w:rFonts w:eastAsiaTheme="minorHAnsi"/>
        </w:rPr>
        <w:t xml:space="preserve">TRRs were greatest in fat </w:t>
      </w:r>
      <w:r w:rsidR="009547E4">
        <w:rPr>
          <w:rFonts w:eastAsiaTheme="minorHAnsi"/>
        </w:rPr>
        <w:t>(67</w:t>
      </w:r>
      <w:r w:rsidR="00FF0655">
        <w:rPr>
          <w:rFonts w:eastAsiaTheme="minorHAnsi"/>
        </w:rPr>
        <w:t>–</w:t>
      </w:r>
      <w:r w:rsidR="009547E4">
        <w:rPr>
          <w:rFonts w:eastAsiaTheme="minorHAnsi"/>
        </w:rPr>
        <w:t>74%</w:t>
      </w:r>
      <w:r w:rsidR="00C81CBA">
        <w:rPr>
          <w:rFonts w:eastAsiaTheme="minorHAnsi"/>
        </w:rPr>
        <w:t xml:space="preserve"> </w:t>
      </w:r>
      <w:r w:rsidR="009547E4">
        <w:rPr>
          <w:rFonts w:eastAsiaTheme="minorHAnsi"/>
        </w:rPr>
        <w:t>TRR), muscle (13</w:t>
      </w:r>
      <w:r w:rsidR="00FF0655">
        <w:rPr>
          <w:rFonts w:eastAsiaTheme="minorHAnsi"/>
        </w:rPr>
        <w:t>–</w:t>
      </w:r>
      <w:r w:rsidR="009547E4">
        <w:rPr>
          <w:rFonts w:eastAsiaTheme="minorHAnsi"/>
        </w:rPr>
        <w:t>24% TRR), milk (8.7</w:t>
      </w:r>
      <w:r w:rsidR="00FF0655">
        <w:rPr>
          <w:rFonts w:eastAsiaTheme="minorHAnsi"/>
        </w:rPr>
        <w:t>–</w:t>
      </w:r>
      <w:r w:rsidR="009547E4">
        <w:rPr>
          <w:rFonts w:eastAsiaTheme="minorHAnsi"/>
        </w:rPr>
        <w:t>16</w:t>
      </w:r>
      <w:r w:rsidRPr="00844E53">
        <w:rPr>
          <w:rFonts w:eastAsiaTheme="minorHAnsi"/>
        </w:rPr>
        <w:t xml:space="preserve">% </w:t>
      </w:r>
      <w:r w:rsidR="009547E4">
        <w:rPr>
          <w:rFonts w:eastAsiaTheme="minorHAnsi"/>
        </w:rPr>
        <w:t>TRR) and liver (2.0</w:t>
      </w:r>
      <w:r w:rsidR="00FF0655">
        <w:rPr>
          <w:rFonts w:eastAsiaTheme="minorHAnsi"/>
        </w:rPr>
        <w:t>–</w:t>
      </w:r>
      <w:r>
        <w:rPr>
          <w:rFonts w:eastAsiaTheme="minorHAnsi"/>
        </w:rPr>
        <w:t xml:space="preserve">8.2% TRR) with </w:t>
      </w:r>
      <w:r w:rsidRPr="00844E53">
        <w:rPr>
          <w:rFonts w:eastAsiaTheme="minorHAnsi"/>
        </w:rPr>
        <w:t>much smalle</w:t>
      </w:r>
      <w:r w:rsidR="009547E4">
        <w:rPr>
          <w:rFonts w:eastAsiaTheme="minorHAnsi"/>
        </w:rPr>
        <w:t>r %</w:t>
      </w:r>
      <w:r w:rsidR="00C81CBA">
        <w:rPr>
          <w:rFonts w:eastAsiaTheme="minorHAnsi"/>
        </w:rPr>
        <w:t xml:space="preserve"> </w:t>
      </w:r>
      <w:r w:rsidR="009547E4">
        <w:rPr>
          <w:rFonts w:eastAsiaTheme="minorHAnsi"/>
        </w:rPr>
        <w:t>TRRs being found in kidney (0.5</w:t>
      </w:r>
      <w:r w:rsidR="00FF0655">
        <w:rPr>
          <w:rFonts w:eastAsiaTheme="minorHAnsi"/>
        </w:rPr>
        <w:t>–</w:t>
      </w:r>
      <w:r w:rsidRPr="00844E53">
        <w:rPr>
          <w:rFonts w:eastAsiaTheme="minorHAnsi"/>
        </w:rPr>
        <w:t>0.8% TR</w:t>
      </w:r>
      <w:r>
        <w:rPr>
          <w:rFonts w:eastAsiaTheme="minorHAnsi"/>
        </w:rPr>
        <w:t xml:space="preserve">R). Absolute residues of parent </w:t>
      </w:r>
      <w:r w:rsidRPr="00844E53">
        <w:rPr>
          <w:rFonts w:eastAsiaTheme="minorHAnsi"/>
        </w:rPr>
        <w:t>were greatest in liver (≤</w:t>
      </w:r>
      <w:r>
        <w:rPr>
          <w:rFonts w:eastAsiaTheme="minorHAnsi"/>
        </w:rPr>
        <w:t xml:space="preserve"> </w:t>
      </w:r>
      <w:r w:rsidRPr="00844E53">
        <w:rPr>
          <w:rFonts w:eastAsiaTheme="minorHAnsi"/>
        </w:rPr>
        <w:t>0</w:t>
      </w:r>
      <w:r>
        <w:rPr>
          <w:rFonts w:eastAsiaTheme="minorHAnsi"/>
        </w:rPr>
        <w:t xml:space="preserve"> </w:t>
      </w:r>
      <w:r w:rsidRPr="00844E53">
        <w:rPr>
          <w:rFonts w:eastAsiaTheme="minorHAnsi"/>
        </w:rPr>
        <w:t>.570 mg/kg) and fat (≤</w:t>
      </w:r>
      <w:r>
        <w:rPr>
          <w:rFonts w:eastAsiaTheme="minorHAnsi"/>
        </w:rPr>
        <w:t xml:space="preserve"> </w:t>
      </w:r>
      <w:r w:rsidRPr="00844E53">
        <w:rPr>
          <w:rFonts w:eastAsiaTheme="minorHAnsi"/>
        </w:rPr>
        <w:t>0.206 mg/kg</w:t>
      </w:r>
      <w:r>
        <w:rPr>
          <w:rFonts w:eastAsiaTheme="minorHAnsi"/>
        </w:rPr>
        <w:t xml:space="preserve">) with lower residues (0.011 to </w:t>
      </w:r>
      <w:r w:rsidRPr="00844E53">
        <w:rPr>
          <w:rFonts w:eastAsiaTheme="minorHAnsi"/>
        </w:rPr>
        <w:t>0.025 mg/kg) present in muscle, milk and kidney</w:t>
      </w:r>
      <w:r>
        <w:rPr>
          <w:rFonts w:eastAsiaTheme="minorHAnsi"/>
        </w:rPr>
        <w:t>.</w:t>
      </w:r>
    </w:p>
    <w:p w14:paraId="6C7BC273" w14:textId="2BFE3D00" w:rsidR="00361808" w:rsidRPr="00844E53" w:rsidRDefault="00361808" w:rsidP="00361808">
      <w:pPr>
        <w:pStyle w:val="APVMAText"/>
        <w:rPr>
          <w:rFonts w:eastAsiaTheme="minorHAnsi"/>
        </w:rPr>
      </w:pPr>
      <w:r w:rsidRPr="00844E53">
        <w:rPr>
          <w:rFonts w:eastAsiaTheme="minorHAnsi"/>
        </w:rPr>
        <w:t xml:space="preserve">The </w:t>
      </w:r>
      <w:r w:rsidR="0087142F">
        <w:rPr>
          <w:rFonts w:eastAsiaTheme="minorHAnsi"/>
        </w:rPr>
        <w:t xml:space="preserve">most prominent </w:t>
      </w:r>
      <w:r w:rsidRPr="00844E53">
        <w:rPr>
          <w:rFonts w:eastAsiaTheme="minorHAnsi"/>
        </w:rPr>
        <w:t>metabolites</w:t>
      </w:r>
      <w:r w:rsidR="0087142F">
        <w:rPr>
          <w:rFonts w:eastAsiaTheme="minorHAnsi"/>
        </w:rPr>
        <w:t xml:space="preserve"> of pydiflumetofen</w:t>
      </w:r>
      <w:r w:rsidRPr="00844E53">
        <w:rPr>
          <w:rFonts w:eastAsiaTheme="minorHAnsi"/>
        </w:rPr>
        <w:t xml:space="preserve"> identified in </w:t>
      </w:r>
      <w:r w:rsidR="00C81CBA">
        <w:rPr>
          <w:rFonts w:eastAsiaTheme="minorHAnsi"/>
        </w:rPr>
        <w:t xml:space="preserve">goat </w:t>
      </w:r>
      <w:r w:rsidRPr="00844E53">
        <w:rPr>
          <w:rFonts w:eastAsiaTheme="minorHAnsi"/>
        </w:rPr>
        <w:t>tissues and milk were:</w:t>
      </w:r>
    </w:p>
    <w:p w14:paraId="62DF9802" w14:textId="77777777" w:rsidR="00361808" w:rsidRPr="00844E53" w:rsidRDefault="00361808" w:rsidP="00361808">
      <w:pPr>
        <w:pStyle w:val="APVMAText"/>
        <w:numPr>
          <w:ilvl w:val="0"/>
          <w:numId w:val="11"/>
        </w:numPr>
        <w:rPr>
          <w:rFonts w:eastAsiaTheme="minorHAnsi"/>
        </w:rPr>
      </w:pPr>
      <w:r w:rsidRPr="00844E53">
        <w:rPr>
          <w:rFonts w:eastAsiaTheme="minorHAnsi"/>
        </w:rPr>
        <w:t>2,4,6-TCP sulphate c</w:t>
      </w:r>
      <w:r w:rsidR="00623D02">
        <w:rPr>
          <w:rFonts w:eastAsiaTheme="minorHAnsi"/>
        </w:rPr>
        <w:t>onjugate (milk: 42</w:t>
      </w:r>
      <w:r w:rsidRPr="00844E53">
        <w:rPr>
          <w:rFonts w:eastAsiaTheme="minorHAnsi"/>
        </w:rPr>
        <w:t>% TRR; 0.051 mg/kg</w:t>
      </w:r>
      <w:r w:rsidR="009547E4">
        <w:rPr>
          <w:rFonts w:eastAsiaTheme="minorHAnsi"/>
        </w:rPr>
        <w:t>, phenyl label</w:t>
      </w:r>
      <w:r w:rsidRPr="00844E53">
        <w:rPr>
          <w:rFonts w:eastAsiaTheme="minorHAnsi"/>
        </w:rPr>
        <w:t>)</w:t>
      </w:r>
    </w:p>
    <w:p w14:paraId="36D763A9" w14:textId="77777777" w:rsidR="00361808" w:rsidRPr="00844E53" w:rsidRDefault="00361808" w:rsidP="00361808">
      <w:pPr>
        <w:pStyle w:val="APVMAText"/>
        <w:numPr>
          <w:ilvl w:val="0"/>
          <w:numId w:val="11"/>
        </w:numPr>
        <w:rPr>
          <w:rFonts w:eastAsiaTheme="minorHAnsi"/>
        </w:rPr>
      </w:pPr>
      <w:r w:rsidRPr="00844E53">
        <w:rPr>
          <w:rFonts w:eastAsiaTheme="minorHAnsi"/>
        </w:rPr>
        <w:t>SYN54</w:t>
      </w:r>
      <w:r w:rsidR="009547E4">
        <w:rPr>
          <w:rFonts w:eastAsiaTheme="minorHAnsi"/>
        </w:rPr>
        <w:t>8</w:t>
      </w:r>
      <w:r w:rsidR="00623D02">
        <w:rPr>
          <w:rFonts w:eastAsiaTheme="minorHAnsi"/>
        </w:rPr>
        <w:t>264 (milk: 29</w:t>
      </w:r>
      <w:r w:rsidRPr="00844E53">
        <w:rPr>
          <w:rFonts w:eastAsiaTheme="minorHAnsi"/>
        </w:rPr>
        <w:t>% TRR; 0.038 mg/kg</w:t>
      </w:r>
      <w:r w:rsidR="009547E4">
        <w:rPr>
          <w:rFonts w:eastAsiaTheme="minorHAnsi"/>
        </w:rPr>
        <w:t>, pyrazole label</w:t>
      </w:r>
      <w:r w:rsidRPr="00844E53">
        <w:rPr>
          <w:rFonts w:eastAsiaTheme="minorHAnsi"/>
        </w:rPr>
        <w:t>)</w:t>
      </w:r>
    </w:p>
    <w:p w14:paraId="0017298F" w14:textId="77777777" w:rsidR="00361808" w:rsidRPr="00844E53" w:rsidRDefault="00623D02" w:rsidP="00361808">
      <w:pPr>
        <w:pStyle w:val="APVMAText"/>
        <w:numPr>
          <w:ilvl w:val="0"/>
          <w:numId w:val="11"/>
        </w:numPr>
        <w:rPr>
          <w:rFonts w:eastAsiaTheme="minorHAnsi"/>
        </w:rPr>
      </w:pPr>
      <w:r>
        <w:rPr>
          <w:rFonts w:eastAsiaTheme="minorHAnsi"/>
        </w:rPr>
        <w:t>SYN508272 (muscle: 18% TRR; 0.024 mg/kg, milk: 11</w:t>
      </w:r>
      <w:r w:rsidR="00361808" w:rsidRPr="00844E53">
        <w:rPr>
          <w:rFonts w:eastAsiaTheme="minorHAnsi"/>
        </w:rPr>
        <w:t>%TRR; 0.014 mg/kg</w:t>
      </w:r>
      <w:r w:rsidR="009547E4">
        <w:rPr>
          <w:rFonts w:eastAsiaTheme="minorHAnsi"/>
        </w:rPr>
        <w:t>, pyrazole label</w:t>
      </w:r>
      <w:r w:rsidR="00361808" w:rsidRPr="00844E53">
        <w:rPr>
          <w:rFonts w:eastAsiaTheme="minorHAnsi"/>
        </w:rPr>
        <w:t>)</w:t>
      </w:r>
    </w:p>
    <w:p w14:paraId="13A1FA4A" w14:textId="77777777" w:rsidR="00361808" w:rsidRPr="00844E53" w:rsidRDefault="00623D02" w:rsidP="00361808">
      <w:pPr>
        <w:pStyle w:val="APVMAText"/>
        <w:numPr>
          <w:ilvl w:val="0"/>
          <w:numId w:val="11"/>
        </w:numPr>
        <w:rPr>
          <w:rFonts w:eastAsiaTheme="minorHAnsi"/>
        </w:rPr>
      </w:pPr>
      <w:r>
        <w:rPr>
          <w:rFonts w:eastAsiaTheme="minorHAnsi"/>
        </w:rPr>
        <w:t>SYN548263 (kidney: 17% TRR; 0.389 mg/kg, milk: 14</w:t>
      </w:r>
      <w:r w:rsidR="00361808" w:rsidRPr="00844E53">
        <w:rPr>
          <w:rFonts w:eastAsiaTheme="minorHAnsi"/>
        </w:rPr>
        <w:t>% TRR; 0.019 mg/kg</w:t>
      </w:r>
      <w:r w:rsidR="009547E4">
        <w:rPr>
          <w:rFonts w:eastAsiaTheme="minorHAnsi"/>
        </w:rPr>
        <w:t>, pyrazole label</w:t>
      </w:r>
      <w:r w:rsidR="00361808" w:rsidRPr="00844E53">
        <w:rPr>
          <w:rFonts w:eastAsiaTheme="minorHAnsi"/>
        </w:rPr>
        <w:t>)</w:t>
      </w:r>
    </w:p>
    <w:p w14:paraId="20F4A34B" w14:textId="77777777" w:rsidR="009547E4" w:rsidRDefault="009547E4">
      <w:pPr>
        <w:rPr>
          <w:rFonts w:eastAsiaTheme="minorHAnsi" w:cs="Arial"/>
          <w:u w:color="000000"/>
        </w:rPr>
      </w:pPr>
      <w:r>
        <w:rPr>
          <w:rFonts w:eastAsiaTheme="minorHAnsi"/>
        </w:rPr>
        <w:br w:type="page"/>
      </w:r>
    </w:p>
    <w:p w14:paraId="64294984" w14:textId="77777777" w:rsidR="00CA5C2E" w:rsidRPr="003E5159" w:rsidRDefault="00F73F76" w:rsidP="00CA5C2E">
      <w:pPr>
        <w:autoSpaceDE w:val="0"/>
        <w:autoSpaceDN w:val="0"/>
        <w:adjustRightInd w:val="0"/>
        <w:spacing w:line="360" w:lineRule="auto"/>
        <w:rPr>
          <w:rFonts w:eastAsiaTheme="minorHAnsi"/>
        </w:rPr>
      </w:pPr>
      <w:r>
        <w:rPr>
          <w:rFonts w:eastAsiaTheme="minorHAnsi"/>
        </w:rPr>
        <w:lastRenderedPageBreak/>
        <w:t>The proposed metabolic pathway for pydiflumetofen in lact</w:t>
      </w:r>
      <w:r w:rsidR="00CA5C2E">
        <w:rPr>
          <w:rFonts w:eastAsiaTheme="minorHAnsi"/>
        </w:rPr>
        <w:t xml:space="preserve">ating goats is summarised below. </w:t>
      </w:r>
      <w:r w:rsidR="00CA5C2E" w:rsidRPr="003E5159">
        <w:rPr>
          <w:rFonts w:eastAsiaTheme="minorHAnsi"/>
        </w:rPr>
        <w:t>The o</w:t>
      </w:r>
      <w:r w:rsidR="000F38E4">
        <w:rPr>
          <w:rFonts w:eastAsiaTheme="minorHAnsi"/>
        </w:rPr>
        <w:t>bserved metabolites of pydiflumetofen</w:t>
      </w:r>
      <w:r w:rsidR="00CA5C2E" w:rsidRPr="003E5159">
        <w:rPr>
          <w:rFonts w:eastAsiaTheme="minorHAnsi"/>
        </w:rPr>
        <w:t xml:space="preserve"> </w:t>
      </w:r>
      <w:r w:rsidR="00A66C24">
        <w:rPr>
          <w:rFonts w:eastAsiaTheme="minorHAnsi"/>
        </w:rPr>
        <w:t>were formed by</w:t>
      </w:r>
      <w:r w:rsidR="00CA5C2E" w:rsidRPr="003E5159">
        <w:rPr>
          <w:rFonts w:eastAsiaTheme="minorHAnsi"/>
        </w:rPr>
        <w:t>:</w:t>
      </w:r>
    </w:p>
    <w:p w14:paraId="1EF6328F" w14:textId="77777777" w:rsidR="00CA5C2E" w:rsidRPr="00CA5C2E" w:rsidRDefault="00CA5C2E" w:rsidP="00CA5C2E">
      <w:pPr>
        <w:pStyle w:val="ListParagraph"/>
        <w:numPr>
          <w:ilvl w:val="0"/>
          <w:numId w:val="15"/>
        </w:numPr>
        <w:autoSpaceDE w:val="0"/>
        <w:autoSpaceDN w:val="0"/>
        <w:adjustRightInd w:val="0"/>
        <w:spacing w:line="360" w:lineRule="auto"/>
        <w:rPr>
          <w:rFonts w:ascii="Arial" w:eastAsiaTheme="minorHAnsi" w:hAnsi="Arial" w:cs="Arial"/>
          <w:sz w:val="20"/>
          <w:szCs w:val="20"/>
        </w:rPr>
      </w:pPr>
      <w:r w:rsidRPr="00CA5C2E">
        <w:rPr>
          <w:rFonts w:ascii="Arial" w:eastAsiaTheme="minorHAnsi" w:hAnsi="Arial" w:cs="Arial"/>
          <w:sz w:val="20"/>
          <w:szCs w:val="20"/>
        </w:rPr>
        <w:t>N-demethylation of the pyrazole ring</w:t>
      </w:r>
    </w:p>
    <w:p w14:paraId="65FE571D" w14:textId="77777777" w:rsidR="00CA5C2E" w:rsidRPr="00CA5C2E" w:rsidRDefault="00CA5C2E" w:rsidP="00CA5C2E">
      <w:pPr>
        <w:pStyle w:val="ListParagraph"/>
        <w:numPr>
          <w:ilvl w:val="0"/>
          <w:numId w:val="15"/>
        </w:numPr>
        <w:autoSpaceDE w:val="0"/>
        <w:autoSpaceDN w:val="0"/>
        <w:adjustRightInd w:val="0"/>
        <w:spacing w:line="360" w:lineRule="auto"/>
        <w:rPr>
          <w:rFonts w:ascii="Arial" w:eastAsiaTheme="minorHAnsi" w:hAnsi="Arial" w:cs="Arial"/>
          <w:sz w:val="20"/>
          <w:szCs w:val="20"/>
        </w:rPr>
      </w:pPr>
      <w:r w:rsidRPr="00CA5C2E">
        <w:rPr>
          <w:rFonts w:ascii="Arial" w:eastAsiaTheme="minorHAnsi" w:hAnsi="Arial" w:cs="Arial"/>
          <w:sz w:val="20"/>
          <w:szCs w:val="20"/>
        </w:rPr>
        <w:t>N-demethoxylation of the amide nitrogen</w:t>
      </w:r>
    </w:p>
    <w:p w14:paraId="6960D218" w14:textId="77777777" w:rsidR="00CA5C2E" w:rsidRPr="00CA5C2E" w:rsidRDefault="00CA5C2E" w:rsidP="00CA5C2E">
      <w:pPr>
        <w:pStyle w:val="ListParagraph"/>
        <w:numPr>
          <w:ilvl w:val="0"/>
          <w:numId w:val="15"/>
        </w:numPr>
        <w:autoSpaceDE w:val="0"/>
        <w:autoSpaceDN w:val="0"/>
        <w:adjustRightInd w:val="0"/>
        <w:spacing w:line="360" w:lineRule="auto"/>
        <w:rPr>
          <w:rFonts w:ascii="Arial" w:eastAsiaTheme="minorHAnsi" w:hAnsi="Arial" w:cs="Arial"/>
          <w:sz w:val="20"/>
          <w:szCs w:val="20"/>
        </w:rPr>
      </w:pPr>
      <w:r w:rsidRPr="00CA5C2E">
        <w:rPr>
          <w:rFonts w:ascii="Arial" w:eastAsiaTheme="minorHAnsi" w:hAnsi="Arial" w:cs="Arial"/>
          <w:sz w:val="20"/>
          <w:szCs w:val="20"/>
        </w:rPr>
        <w:t>monohydroxylation of the benzyl methylene functionality</w:t>
      </w:r>
    </w:p>
    <w:p w14:paraId="4268C566" w14:textId="77777777" w:rsidR="00CA5C2E" w:rsidRPr="00CA5C2E" w:rsidRDefault="00CA5C2E" w:rsidP="00CA5C2E">
      <w:pPr>
        <w:pStyle w:val="ListParagraph"/>
        <w:numPr>
          <w:ilvl w:val="0"/>
          <w:numId w:val="15"/>
        </w:numPr>
        <w:autoSpaceDE w:val="0"/>
        <w:autoSpaceDN w:val="0"/>
        <w:adjustRightInd w:val="0"/>
        <w:spacing w:line="360" w:lineRule="auto"/>
        <w:rPr>
          <w:rFonts w:ascii="Arial" w:eastAsiaTheme="minorHAnsi" w:hAnsi="Arial" w:cs="Arial"/>
          <w:sz w:val="20"/>
          <w:szCs w:val="20"/>
        </w:rPr>
      </w:pPr>
      <w:r w:rsidRPr="00CA5C2E">
        <w:rPr>
          <w:rFonts w:ascii="Arial" w:eastAsiaTheme="minorHAnsi" w:hAnsi="Arial" w:cs="Arial"/>
          <w:sz w:val="20"/>
          <w:szCs w:val="20"/>
        </w:rPr>
        <w:t>monohydroxylation of the trichlorophenyl ring</w:t>
      </w:r>
    </w:p>
    <w:p w14:paraId="4869BC5C" w14:textId="77777777" w:rsidR="00CA5C2E" w:rsidRPr="00CA5C2E" w:rsidRDefault="00CA5C2E" w:rsidP="00CA5C2E">
      <w:pPr>
        <w:pStyle w:val="ListParagraph"/>
        <w:numPr>
          <w:ilvl w:val="0"/>
          <w:numId w:val="15"/>
        </w:numPr>
        <w:autoSpaceDE w:val="0"/>
        <w:autoSpaceDN w:val="0"/>
        <w:adjustRightInd w:val="0"/>
        <w:spacing w:after="0" w:line="360" w:lineRule="auto"/>
        <w:rPr>
          <w:rFonts w:ascii="Arial" w:eastAsiaTheme="minorHAnsi" w:hAnsi="Arial" w:cs="Arial"/>
          <w:sz w:val="20"/>
          <w:szCs w:val="20"/>
        </w:rPr>
      </w:pPr>
      <w:r w:rsidRPr="00CA5C2E">
        <w:rPr>
          <w:rFonts w:ascii="Arial" w:eastAsiaTheme="minorHAnsi" w:hAnsi="Arial" w:cs="Arial"/>
          <w:sz w:val="20"/>
          <w:szCs w:val="20"/>
        </w:rPr>
        <w:t>cleavage at the benzylic methylene, N-alkyl and amide linkages between the phenyl and pyrazole rings</w:t>
      </w:r>
    </w:p>
    <w:p w14:paraId="1B6BFB41" w14:textId="028C736F" w:rsidR="00361808" w:rsidRPr="00CA5C2E" w:rsidRDefault="00CA5C2E" w:rsidP="00CA5C2E">
      <w:pPr>
        <w:pStyle w:val="APVMAText"/>
        <w:numPr>
          <w:ilvl w:val="0"/>
          <w:numId w:val="15"/>
        </w:numPr>
        <w:spacing w:before="0" w:line="360" w:lineRule="auto"/>
        <w:rPr>
          <w:rFonts w:eastAsiaTheme="minorHAnsi"/>
          <w:szCs w:val="20"/>
        </w:rPr>
      </w:pPr>
      <w:r w:rsidRPr="00611823">
        <w:rPr>
          <w:rFonts w:eastAsiaTheme="minorHAnsi"/>
          <w:noProof/>
          <w:lang w:eastAsia="en-AU"/>
        </w:rPr>
        <w:drawing>
          <wp:anchor distT="0" distB="0" distL="114300" distR="114300" simplePos="0" relativeHeight="251654656" behindDoc="0" locked="0" layoutInCell="1" allowOverlap="1" wp14:anchorId="0C62823C" wp14:editId="0CD5DB2B">
            <wp:simplePos x="0" y="0"/>
            <wp:positionH relativeFrom="margin">
              <wp:align>left</wp:align>
            </wp:positionH>
            <wp:positionV relativeFrom="paragraph">
              <wp:posOffset>595630</wp:posOffset>
            </wp:positionV>
            <wp:extent cx="4981575" cy="5168265"/>
            <wp:effectExtent l="0" t="0" r="9525" b="0"/>
            <wp:wrapTopAndBottom/>
            <wp:docPr id="12" name="Picture 12" descr="The proposed metabolic pathway for pydiflumetofen in lactating goats is summarised in the picture. The observed metabolites of pydiflumetofen were formed by:&#10;• N-demethylation of the pyrazole ring&#10;• N-demethoxylation of the amide nitrogen&#10;• monohydroxylation of the benzyl methylene functionality&#10;• monohydroxylation of the trichlorophenyl ring&#10;• cleavage at the benzylic methylene, N-alkyl and amide linkages between the phenyl and pyrazole rings and conjugation of metabolites to form their glucuronide and/or sulphate ester analogues (all except hydroxy SYN545974)&#10;&#10;" title="proposed metabolic pathway for pydiflumetofen in lactating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81575" cy="5168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F0655">
        <w:rPr>
          <w:rFonts w:eastAsiaTheme="minorHAnsi"/>
          <w:szCs w:val="20"/>
        </w:rPr>
        <w:t>c</w:t>
      </w:r>
      <w:r w:rsidRPr="00CA5C2E">
        <w:rPr>
          <w:rFonts w:eastAsiaTheme="minorHAnsi"/>
          <w:szCs w:val="20"/>
        </w:rPr>
        <w:t>onjugation of metabolites to form their glucuronide and/or sulphate ester analogues (all except hydroxy SYN545974).</w:t>
      </w:r>
    </w:p>
    <w:p w14:paraId="18929A53" w14:textId="77777777" w:rsidR="00F73F76" w:rsidRDefault="00F73F76">
      <w:pPr>
        <w:pStyle w:val="APVMAText"/>
        <w:rPr>
          <w:rFonts w:eastAsiaTheme="minorHAnsi"/>
        </w:rPr>
      </w:pPr>
    </w:p>
    <w:p w14:paraId="4B370DFC" w14:textId="77777777" w:rsidR="00F73F76" w:rsidRPr="00F73F76" w:rsidRDefault="00F73F76" w:rsidP="00F73F76">
      <w:pPr>
        <w:pStyle w:val="APVMAText"/>
        <w:jc w:val="center"/>
        <w:rPr>
          <w:rFonts w:eastAsiaTheme="minorHAnsi"/>
          <w:i/>
        </w:rPr>
      </w:pPr>
      <w:r>
        <w:rPr>
          <w:rFonts w:eastAsiaTheme="minorHAnsi"/>
          <w:i/>
        </w:rPr>
        <w:t>Proposed Metabolic Pathway for Pydiflumetofen (SYN545974) in lactating goats</w:t>
      </w:r>
    </w:p>
    <w:p w14:paraId="1A20605B" w14:textId="77777777" w:rsidR="00361808" w:rsidRDefault="00361808">
      <w:pPr>
        <w:pStyle w:val="APVMAText"/>
        <w:rPr>
          <w:rFonts w:eastAsiaTheme="minorHAnsi"/>
        </w:rPr>
      </w:pPr>
    </w:p>
    <w:p w14:paraId="671D346F" w14:textId="77777777" w:rsidR="00361808" w:rsidRPr="00F73F76" w:rsidRDefault="00F73F76" w:rsidP="00FF0655">
      <w:pPr>
        <w:pStyle w:val="Heading4"/>
        <w:rPr>
          <w:rFonts w:eastAsiaTheme="minorHAnsi"/>
        </w:rPr>
      </w:pPr>
      <w:r>
        <w:rPr>
          <w:rFonts w:eastAsiaTheme="minorHAnsi"/>
        </w:rPr>
        <w:t>Laying hens</w:t>
      </w:r>
    </w:p>
    <w:p w14:paraId="18ED430C" w14:textId="77777777" w:rsidR="00B81459" w:rsidRDefault="00F73F76">
      <w:pPr>
        <w:pStyle w:val="APVMAText"/>
      </w:pPr>
      <w:r>
        <w:t>Six laying hens per radiolabelled treatment were dosed orally with [phenyl-U-</w:t>
      </w:r>
      <w:r>
        <w:rPr>
          <w:vertAlign w:val="superscript"/>
        </w:rPr>
        <w:t>14</w:t>
      </w:r>
      <w:r>
        <w:t>C]-SYN545974 or [pyrazole-5-</w:t>
      </w:r>
      <w:r>
        <w:rPr>
          <w:vertAlign w:val="superscript"/>
        </w:rPr>
        <w:t>14</w:t>
      </w:r>
      <w:r>
        <w:t xml:space="preserve">C]-SYN545974 for 14 days at a nominal rate of 30 mg ai equiv/kg dry matter intake. </w:t>
      </w:r>
      <w:r w:rsidR="00623D02">
        <w:t xml:space="preserve">Actual dose rates based on measured food consumption were approximately 56.3 and 56.9 mg ai equiv/kg dry matter intake  for the phenyl and pyrazole label respectively (3.3 and 3.6 mg ai equiv/kg bw). </w:t>
      </w:r>
      <w:r>
        <w:t>Excreta and eggs were collected daily, with eggs separated into yolk and white. The hens were sacrificed approximately 11 hours after administration of the final dose and tissues (liver, muscle, fat) taken for analysis.</w:t>
      </w:r>
      <w:r w:rsidR="00D913B1">
        <w:t xml:space="preserve"> </w:t>
      </w:r>
    </w:p>
    <w:p w14:paraId="66717B0F" w14:textId="6131E48C" w:rsidR="00361808" w:rsidRDefault="00D913B1">
      <w:pPr>
        <w:pStyle w:val="APVMAText"/>
        <w:rPr>
          <w:rFonts w:eastAsiaTheme="minorHAnsi"/>
        </w:rPr>
      </w:pPr>
      <w:r>
        <w:rPr>
          <w:rFonts w:eastAsiaTheme="minorHAnsi"/>
        </w:rPr>
        <w:t>Mean residues in egg yolks achieved a plateau concentration of approximately 0.344 mg/kg (phenyl) and 0.116 mg/kg (pyrazole) after 10 and 7 days of dosing, respectively. Mean residues in egg whites achieved a plateau concentration of approximately 0.064 mg/kg (phenyl) and 0.062 mg/kg (pyrazole) after 6 and 7 days of dosing, respectively.</w:t>
      </w:r>
    </w:p>
    <w:p w14:paraId="2A8AEE81" w14:textId="427AAB9A" w:rsidR="00D913B1" w:rsidRDefault="00D913B1">
      <w:pPr>
        <w:pStyle w:val="APVMAText"/>
        <w:rPr>
          <w:rFonts w:eastAsiaTheme="minorHAnsi"/>
        </w:rPr>
      </w:pPr>
      <w:r>
        <w:rPr>
          <w:rFonts w:eastAsiaTheme="minorHAnsi"/>
        </w:rPr>
        <w:t xml:space="preserve">Parent </w:t>
      </w:r>
      <w:r w:rsidR="001A6EC7">
        <w:rPr>
          <w:rFonts w:eastAsiaTheme="minorHAnsi"/>
        </w:rPr>
        <w:t>pydiflumetofen</w:t>
      </w:r>
      <w:r>
        <w:rPr>
          <w:rFonts w:eastAsiaTheme="minorHAnsi"/>
        </w:rPr>
        <w:t xml:space="preserve"> was identified in eggs and all tissues. </w:t>
      </w:r>
      <w:r w:rsidR="002D5EC2">
        <w:rPr>
          <w:rFonts w:eastAsiaTheme="minorHAnsi"/>
        </w:rPr>
        <w:t xml:space="preserve">The proportion of </w:t>
      </w:r>
      <w:r>
        <w:rPr>
          <w:rFonts w:eastAsiaTheme="minorHAnsi"/>
        </w:rPr>
        <w:t>TRR</w:t>
      </w:r>
      <w:r w:rsidR="002D5EC2">
        <w:rPr>
          <w:rFonts w:eastAsiaTheme="minorHAnsi"/>
        </w:rPr>
        <w:t xml:space="preserve"> as parent was</w:t>
      </w:r>
      <w:r>
        <w:rPr>
          <w:rFonts w:eastAsiaTheme="minorHAnsi"/>
        </w:rPr>
        <w:t xml:space="preserve"> greatest in egg white (</w:t>
      </w:r>
      <w:r w:rsidR="00623D02">
        <w:rPr>
          <w:rFonts w:eastAsiaTheme="minorHAnsi"/>
        </w:rPr>
        <w:t>27</w:t>
      </w:r>
      <w:r w:rsidR="00FF0655">
        <w:rPr>
          <w:rFonts w:eastAsiaTheme="minorHAnsi"/>
        </w:rPr>
        <w:t>–</w:t>
      </w:r>
      <w:r w:rsidR="00623D02">
        <w:rPr>
          <w:rFonts w:eastAsiaTheme="minorHAnsi"/>
        </w:rPr>
        <w:t>47</w:t>
      </w:r>
      <w:r>
        <w:rPr>
          <w:rFonts w:eastAsiaTheme="minorHAnsi"/>
        </w:rPr>
        <w:t>% TRR) and fat (</w:t>
      </w:r>
      <w:r w:rsidR="00623D02">
        <w:rPr>
          <w:rFonts w:eastAsiaTheme="minorHAnsi"/>
        </w:rPr>
        <w:t>17</w:t>
      </w:r>
      <w:r w:rsidR="00FF0655">
        <w:rPr>
          <w:rFonts w:eastAsiaTheme="minorHAnsi"/>
        </w:rPr>
        <w:t>–</w:t>
      </w:r>
      <w:r w:rsidR="00623D02">
        <w:rPr>
          <w:rFonts w:eastAsiaTheme="minorHAnsi"/>
        </w:rPr>
        <w:t>31</w:t>
      </w:r>
      <w:r>
        <w:rPr>
          <w:rFonts w:eastAsiaTheme="minorHAnsi"/>
        </w:rPr>
        <w:t xml:space="preserve">% TRR) with much smaller </w:t>
      </w:r>
      <w:r w:rsidR="002D5EC2">
        <w:rPr>
          <w:rFonts w:eastAsiaTheme="minorHAnsi"/>
        </w:rPr>
        <w:t>proportions</w:t>
      </w:r>
      <w:r>
        <w:rPr>
          <w:rFonts w:eastAsiaTheme="minorHAnsi"/>
        </w:rPr>
        <w:t xml:space="preserve"> being found in muscle </w:t>
      </w:r>
      <w:r w:rsidR="00FF0655">
        <w:rPr>
          <w:rFonts w:eastAsiaTheme="minorHAnsi"/>
        </w:rPr>
        <w:br/>
      </w:r>
      <w:r>
        <w:rPr>
          <w:rFonts w:eastAsiaTheme="minorHAnsi"/>
        </w:rPr>
        <w:t>(</w:t>
      </w:r>
      <w:r w:rsidR="00623D02">
        <w:rPr>
          <w:rFonts w:eastAsiaTheme="minorHAnsi"/>
        </w:rPr>
        <w:t>5</w:t>
      </w:r>
      <w:r w:rsidR="00FF0655">
        <w:rPr>
          <w:rFonts w:eastAsiaTheme="minorHAnsi"/>
        </w:rPr>
        <w:t>–</w:t>
      </w:r>
      <w:r w:rsidR="00623D02">
        <w:rPr>
          <w:rFonts w:eastAsiaTheme="minorHAnsi"/>
        </w:rPr>
        <w:t>9</w:t>
      </w:r>
      <w:r>
        <w:rPr>
          <w:rFonts w:eastAsiaTheme="minorHAnsi"/>
        </w:rPr>
        <w:t>% TRR), egg yolk (</w:t>
      </w:r>
      <w:r w:rsidR="00623D02">
        <w:rPr>
          <w:rFonts w:eastAsiaTheme="minorHAnsi"/>
        </w:rPr>
        <w:t>3</w:t>
      </w:r>
      <w:r w:rsidR="00FF0655">
        <w:rPr>
          <w:rFonts w:eastAsiaTheme="minorHAnsi"/>
        </w:rPr>
        <w:t>–</w:t>
      </w:r>
      <w:r w:rsidR="00623D02">
        <w:rPr>
          <w:rFonts w:eastAsiaTheme="minorHAnsi"/>
        </w:rPr>
        <w:t>11</w:t>
      </w:r>
      <w:r w:rsidR="00BB6781">
        <w:rPr>
          <w:rFonts w:eastAsiaTheme="minorHAnsi"/>
        </w:rPr>
        <w:t xml:space="preserve">% </w:t>
      </w:r>
      <w:r>
        <w:rPr>
          <w:rFonts w:eastAsiaTheme="minorHAnsi"/>
        </w:rPr>
        <w:t>TRR) and liver (</w:t>
      </w:r>
      <w:r w:rsidR="00623D02">
        <w:rPr>
          <w:rFonts w:eastAsiaTheme="minorHAnsi"/>
        </w:rPr>
        <w:t>0.5</w:t>
      </w:r>
      <w:r w:rsidR="00FF0655">
        <w:rPr>
          <w:rFonts w:eastAsiaTheme="minorHAnsi"/>
        </w:rPr>
        <w:t>–</w:t>
      </w:r>
      <w:r w:rsidR="00623D02">
        <w:rPr>
          <w:rFonts w:eastAsiaTheme="minorHAnsi"/>
        </w:rPr>
        <w:t>5</w:t>
      </w:r>
      <w:r>
        <w:rPr>
          <w:rFonts w:eastAsiaTheme="minorHAnsi"/>
        </w:rPr>
        <w:t>% TRR). Absolute residues of parent were greatest in egg white (</w:t>
      </w:r>
      <w:r w:rsidRPr="00446293">
        <w:rPr>
          <w:rFonts w:eastAsiaTheme="minorHAnsi"/>
        </w:rPr>
        <w:t>≤</w:t>
      </w:r>
      <w:r w:rsidR="00446293">
        <w:rPr>
          <w:rFonts w:eastAsiaTheme="minorHAnsi"/>
        </w:rPr>
        <w:t> </w:t>
      </w:r>
      <w:r>
        <w:rPr>
          <w:rFonts w:eastAsiaTheme="minorHAnsi"/>
        </w:rPr>
        <w:t>0.025mg/kg), liver (</w:t>
      </w:r>
      <w:r w:rsidRPr="00446293">
        <w:rPr>
          <w:rFonts w:eastAsiaTheme="minorHAnsi"/>
        </w:rPr>
        <w:t xml:space="preserve">≤ </w:t>
      </w:r>
      <w:r>
        <w:rPr>
          <w:rFonts w:eastAsiaTheme="minorHAnsi"/>
        </w:rPr>
        <w:t>0.021 mg/kg) and fat (0.017 mg/kg) with lower residues present in egg yolk (0.011 to 0.012 mg/kg) and muscle (0.001 to 0.002 mg/kg).</w:t>
      </w:r>
    </w:p>
    <w:p w14:paraId="2EEC8E9A" w14:textId="7AD0EEF2" w:rsidR="00D913B1" w:rsidRDefault="00D913B1" w:rsidP="00D913B1">
      <w:pPr>
        <w:pStyle w:val="APVMAText"/>
        <w:rPr>
          <w:rFonts w:eastAsiaTheme="minorHAnsi"/>
        </w:rPr>
      </w:pPr>
      <w:r>
        <w:rPr>
          <w:rFonts w:eastAsiaTheme="minorHAnsi"/>
        </w:rPr>
        <w:t xml:space="preserve">The most prominent metabolites of </w:t>
      </w:r>
      <w:r w:rsidR="001A6EC7">
        <w:rPr>
          <w:rFonts w:eastAsiaTheme="minorHAnsi"/>
        </w:rPr>
        <w:t>pydiflumetofen</w:t>
      </w:r>
      <w:r>
        <w:rPr>
          <w:rFonts w:eastAsiaTheme="minorHAnsi"/>
        </w:rPr>
        <w:t xml:space="preserve"> identified in</w:t>
      </w:r>
      <w:r w:rsidR="0087142F">
        <w:rPr>
          <w:rFonts w:eastAsiaTheme="minorHAnsi"/>
        </w:rPr>
        <w:t xml:space="preserve"> chicken</w:t>
      </w:r>
      <w:r>
        <w:rPr>
          <w:rFonts w:eastAsiaTheme="minorHAnsi"/>
        </w:rPr>
        <w:t xml:space="preserve"> tissues and eggs were:</w:t>
      </w:r>
    </w:p>
    <w:p w14:paraId="44276537" w14:textId="77777777" w:rsidR="00D913B1" w:rsidRPr="00312B71" w:rsidRDefault="00D913B1" w:rsidP="00D913B1">
      <w:pPr>
        <w:pStyle w:val="APVMAText"/>
        <w:numPr>
          <w:ilvl w:val="0"/>
          <w:numId w:val="13"/>
        </w:numPr>
        <w:rPr>
          <w:rFonts w:eastAsiaTheme="minorHAnsi"/>
        </w:rPr>
      </w:pPr>
      <w:r w:rsidRPr="00312B71">
        <w:rPr>
          <w:rFonts w:eastAsiaTheme="minorHAnsi"/>
        </w:rPr>
        <w:t>2,4,6-TCP sulphate conjugate (egg yolk: 67.8% TRR; 0.242 mg/kg, muscle: 48.4% TRR; 0.013 mg/kg, fat: 26.5% TRR; 0.027 mg/kg, egg white: 14.5% TRR; 0.008 mg/kg</w:t>
      </w:r>
      <w:r w:rsidR="000F38E4">
        <w:rPr>
          <w:rFonts w:eastAsiaTheme="minorHAnsi"/>
        </w:rPr>
        <w:t>, phenyl label</w:t>
      </w:r>
      <w:r w:rsidRPr="00312B71">
        <w:rPr>
          <w:rFonts w:eastAsiaTheme="minorHAnsi"/>
        </w:rPr>
        <w:t>)</w:t>
      </w:r>
    </w:p>
    <w:p w14:paraId="3662BC75" w14:textId="77777777" w:rsidR="00D913B1" w:rsidRPr="00312B71" w:rsidRDefault="00D913B1" w:rsidP="00D913B1">
      <w:pPr>
        <w:pStyle w:val="APVMAText"/>
        <w:numPr>
          <w:ilvl w:val="0"/>
          <w:numId w:val="13"/>
        </w:numPr>
        <w:rPr>
          <w:rFonts w:eastAsiaTheme="minorHAnsi"/>
        </w:rPr>
      </w:pPr>
      <w:r w:rsidRPr="00312B71">
        <w:rPr>
          <w:rFonts w:eastAsiaTheme="minorHAnsi"/>
        </w:rPr>
        <w:t>SYN508272 (muscle: 46.3% TRR; 0.010 mg/kg, egg white: 34.3% TRR; 0.018 mg/kg</w:t>
      </w:r>
      <w:r w:rsidR="000F38E4">
        <w:rPr>
          <w:rFonts w:eastAsiaTheme="minorHAnsi"/>
        </w:rPr>
        <w:t>, pyrazole label</w:t>
      </w:r>
      <w:r w:rsidRPr="00312B71">
        <w:rPr>
          <w:rFonts w:eastAsiaTheme="minorHAnsi"/>
        </w:rPr>
        <w:t>)</w:t>
      </w:r>
    </w:p>
    <w:p w14:paraId="04E4A74E" w14:textId="77777777" w:rsidR="00D913B1" w:rsidRPr="00D913B1" w:rsidRDefault="00D913B1" w:rsidP="00D913B1">
      <w:pPr>
        <w:pStyle w:val="APVMAText"/>
        <w:numPr>
          <w:ilvl w:val="0"/>
          <w:numId w:val="13"/>
        </w:numPr>
        <w:rPr>
          <w:rFonts w:eastAsiaTheme="minorHAnsi"/>
        </w:rPr>
      </w:pPr>
      <w:r>
        <w:rPr>
          <w:rFonts w:eastAsiaTheme="minorHAnsi"/>
        </w:rPr>
        <w:t>NOA449410 (egg white: 15.4% TRR; 0.008 mg/kg</w:t>
      </w:r>
      <w:r w:rsidR="000F38E4">
        <w:rPr>
          <w:rFonts w:eastAsiaTheme="minorHAnsi"/>
        </w:rPr>
        <w:t>, pyrazole label</w:t>
      </w:r>
      <w:r>
        <w:rPr>
          <w:rFonts w:eastAsiaTheme="minorHAnsi"/>
        </w:rPr>
        <w:t>)</w:t>
      </w:r>
    </w:p>
    <w:p w14:paraId="52F303CC" w14:textId="77777777" w:rsidR="000F38E4" w:rsidRDefault="000F38E4">
      <w:pPr>
        <w:rPr>
          <w:rFonts w:cs="Arial"/>
          <w:u w:color="000000"/>
          <w:lang w:val="en-GB"/>
        </w:rPr>
      </w:pPr>
      <w:r>
        <w:rPr>
          <w:lang w:val="en-GB"/>
        </w:rPr>
        <w:br w:type="page"/>
      </w:r>
    </w:p>
    <w:p w14:paraId="4FE5863F" w14:textId="77777777" w:rsidR="000F38E4" w:rsidRPr="000F38E4" w:rsidRDefault="00D913B1" w:rsidP="000F38E4">
      <w:pPr>
        <w:autoSpaceDE w:val="0"/>
        <w:autoSpaceDN w:val="0"/>
        <w:adjustRightInd w:val="0"/>
        <w:spacing w:line="360" w:lineRule="auto"/>
        <w:rPr>
          <w:rFonts w:eastAsiaTheme="minorHAnsi" w:cs="Arial"/>
          <w:szCs w:val="20"/>
        </w:rPr>
      </w:pPr>
      <w:r w:rsidRPr="000F38E4">
        <w:rPr>
          <w:rFonts w:cs="Arial"/>
          <w:szCs w:val="20"/>
          <w:lang w:val="en-GB"/>
        </w:rPr>
        <w:lastRenderedPageBreak/>
        <w:t xml:space="preserve">The proposed metabolic pathway for pydiflumetofen in </w:t>
      </w:r>
      <w:r w:rsidR="000F38E4" w:rsidRPr="000F38E4">
        <w:rPr>
          <w:rFonts w:cs="Arial"/>
          <w:szCs w:val="20"/>
          <w:lang w:val="en-GB"/>
        </w:rPr>
        <w:t xml:space="preserve">laying hens is summarised below. </w:t>
      </w:r>
      <w:r w:rsidR="000F38E4" w:rsidRPr="000F38E4">
        <w:rPr>
          <w:rFonts w:eastAsiaTheme="minorHAnsi" w:cs="Arial"/>
          <w:szCs w:val="20"/>
        </w:rPr>
        <w:t xml:space="preserve">The observed metabolites of </w:t>
      </w:r>
      <w:r w:rsidR="00A66C24">
        <w:rPr>
          <w:rFonts w:eastAsiaTheme="minorHAnsi" w:cs="Arial"/>
          <w:szCs w:val="20"/>
        </w:rPr>
        <w:t>pydiflumetofen</w:t>
      </w:r>
      <w:r w:rsidR="000F38E4" w:rsidRPr="000F38E4">
        <w:rPr>
          <w:rFonts w:eastAsiaTheme="minorHAnsi" w:cs="Arial"/>
          <w:szCs w:val="20"/>
        </w:rPr>
        <w:t xml:space="preserve"> </w:t>
      </w:r>
      <w:r w:rsidR="00A66C24">
        <w:rPr>
          <w:rFonts w:eastAsiaTheme="minorHAnsi" w:cs="Arial"/>
          <w:szCs w:val="20"/>
        </w:rPr>
        <w:t>were formed by</w:t>
      </w:r>
      <w:r w:rsidR="000F38E4" w:rsidRPr="000F38E4">
        <w:rPr>
          <w:rFonts w:eastAsiaTheme="minorHAnsi" w:cs="Arial"/>
          <w:szCs w:val="20"/>
        </w:rPr>
        <w:t>:</w:t>
      </w:r>
    </w:p>
    <w:p w14:paraId="335BF043" w14:textId="77777777" w:rsidR="000F38E4" w:rsidRPr="000F38E4" w:rsidRDefault="000F38E4" w:rsidP="000F38E4">
      <w:pPr>
        <w:pStyle w:val="ListParagraph"/>
        <w:numPr>
          <w:ilvl w:val="0"/>
          <w:numId w:val="16"/>
        </w:numPr>
        <w:autoSpaceDE w:val="0"/>
        <w:autoSpaceDN w:val="0"/>
        <w:adjustRightInd w:val="0"/>
        <w:spacing w:after="0" w:line="360" w:lineRule="auto"/>
        <w:rPr>
          <w:rFonts w:ascii="Arial" w:eastAsiaTheme="minorHAnsi" w:hAnsi="Arial" w:cs="Arial"/>
          <w:sz w:val="20"/>
          <w:szCs w:val="20"/>
        </w:rPr>
      </w:pPr>
      <w:r w:rsidRPr="000F38E4">
        <w:rPr>
          <w:rFonts w:ascii="Arial" w:eastAsiaTheme="minorHAnsi" w:hAnsi="Arial" w:cs="Arial"/>
          <w:sz w:val="20"/>
          <w:szCs w:val="20"/>
        </w:rPr>
        <w:t>N-demethylation of the pyrazole ring</w:t>
      </w:r>
    </w:p>
    <w:p w14:paraId="691CF7DB" w14:textId="77777777" w:rsidR="000F38E4" w:rsidRPr="000F38E4" w:rsidRDefault="000F38E4" w:rsidP="000F38E4">
      <w:pPr>
        <w:pStyle w:val="ListParagraph"/>
        <w:numPr>
          <w:ilvl w:val="0"/>
          <w:numId w:val="16"/>
        </w:numPr>
        <w:autoSpaceDE w:val="0"/>
        <w:autoSpaceDN w:val="0"/>
        <w:adjustRightInd w:val="0"/>
        <w:spacing w:after="0" w:line="360" w:lineRule="auto"/>
        <w:rPr>
          <w:rFonts w:ascii="Arial" w:eastAsiaTheme="minorHAnsi" w:hAnsi="Arial" w:cs="Arial"/>
          <w:sz w:val="20"/>
          <w:szCs w:val="20"/>
        </w:rPr>
      </w:pPr>
      <w:r w:rsidRPr="000F38E4">
        <w:rPr>
          <w:rFonts w:ascii="Arial" w:eastAsiaTheme="minorHAnsi" w:hAnsi="Arial" w:cs="Arial"/>
          <w:sz w:val="20"/>
          <w:szCs w:val="20"/>
        </w:rPr>
        <w:t>N-demethoxylation of the amide nitrogen</w:t>
      </w:r>
    </w:p>
    <w:p w14:paraId="175D6B45" w14:textId="77777777" w:rsidR="000F38E4" w:rsidRPr="000F38E4" w:rsidRDefault="000F38E4" w:rsidP="000F38E4">
      <w:pPr>
        <w:pStyle w:val="ListParagraph"/>
        <w:numPr>
          <w:ilvl w:val="0"/>
          <w:numId w:val="16"/>
        </w:numPr>
        <w:autoSpaceDE w:val="0"/>
        <w:autoSpaceDN w:val="0"/>
        <w:adjustRightInd w:val="0"/>
        <w:spacing w:after="0" w:line="360" w:lineRule="auto"/>
        <w:rPr>
          <w:rFonts w:ascii="Arial" w:eastAsiaTheme="minorHAnsi" w:hAnsi="Arial" w:cs="Arial"/>
          <w:sz w:val="20"/>
          <w:szCs w:val="20"/>
        </w:rPr>
      </w:pPr>
      <w:r w:rsidRPr="000F38E4">
        <w:rPr>
          <w:rFonts w:ascii="Arial" w:eastAsiaTheme="minorHAnsi" w:hAnsi="Arial" w:cs="Arial"/>
          <w:sz w:val="20"/>
          <w:szCs w:val="20"/>
        </w:rPr>
        <w:t>monohydroxylation of the benzyl methylene functionality</w:t>
      </w:r>
    </w:p>
    <w:p w14:paraId="75E90051" w14:textId="77777777" w:rsidR="000F38E4" w:rsidRPr="000F38E4" w:rsidRDefault="000F38E4" w:rsidP="000F38E4">
      <w:pPr>
        <w:pStyle w:val="ListParagraph"/>
        <w:numPr>
          <w:ilvl w:val="0"/>
          <w:numId w:val="16"/>
        </w:numPr>
        <w:autoSpaceDE w:val="0"/>
        <w:autoSpaceDN w:val="0"/>
        <w:adjustRightInd w:val="0"/>
        <w:spacing w:after="0" w:line="360" w:lineRule="auto"/>
        <w:rPr>
          <w:rFonts w:ascii="Arial" w:eastAsiaTheme="minorHAnsi" w:hAnsi="Arial" w:cs="Arial"/>
          <w:sz w:val="20"/>
          <w:szCs w:val="20"/>
        </w:rPr>
      </w:pPr>
      <w:r w:rsidRPr="000F38E4">
        <w:rPr>
          <w:rFonts w:ascii="Arial" w:eastAsiaTheme="minorHAnsi" w:hAnsi="Arial" w:cs="Arial"/>
          <w:sz w:val="20"/>
          <w:szCs w:val="20"/>
        </w:rPr>
        <w:t>monohydroxylation of the trichlorophenyl ring</w:t>
      </w:r>
    </w:p>
    <w:p w14:paraId="06BE23DB" w14:textId="77777777" w:rsidR="000F38E4" w:rsidRPr="000F38E4" w:rsidRDefault="000F38E4" w:rsidP="000F38E4">
      <w:pPr>
        <w:pStyle w:val="ListParagraph"/>
        <w:numPr>
          <w:ilvl w:val="0"/>
          <w:numId w:val="16"/>
        </w:numPr>
        <w:autoSpaceDE w:val="0"/>
        <w:autoSpaceDN w:val="0"/>
        <w:adjustRightInd w:val="0"/>
        <w:spacing w:after="0" w:line="360" w:lineRule="auto"/>
        <w:rPr>
          <w:rFonts w:ascii="Arial" w:eastAsiaTheme="minorHAnsi" w:hAnsi="Arial" w:cs="Arial"/>
          <w:sz w:val="20"/>
          <w:szCs w:val="20"/>
        </w:rPr>
      </w:pPr>
      <w:r w:rsidRPr="000F38E4">
        <w:rPr>
          <w:rFonts w:ascii="Arial" w:eastAsiaTheme="minorHAnsi" w:hAnsi="Arial" w:cs="Arial"/>
          <w:sz w:val="20"/>
          <w:szCs w:val="20"/>
        </w:rPr>
        <w:t>cleavage at the benzylic methylene, N-alkyl and amide linkages between the phenyl and pyrazole rings</w:t>
      </w:r>
    </w:p>
    <w:p w14:paraId="477248EC" w14:textId="21BF062C" w:rsidR="00F73F76" w:rsidRPr="000F38E4" w:rsidRDefault="00FF0655" w:rsidP="000F38E4">
      <w:pPr>
        <w:pStyle w:val="APVMAText"/>
        <w:numPr>
          <w:ilvl w:val="0"/>
          <w:numId w:val="16"/>
        </w:numPr>
        <w:spacing w:before="0" w:line="360" w:lineRule="auto"/>
        <w:rPr>
          <w:szCs w:val="20"/>
          <w:lang w:val="en-GB"/>
        </w:rPr>
      </w:pPr>
      <w:r>
        <w:rPr>
          <w:rFonts w:eastAsiaTheme="minorHAnsi"/>
          <w:szCs w:val="20"/>
        </w:rPr>
        <w:t>c</w:t>
      </w:r>
      <w:r w:rsidR="000F38E4" w:rsidRPr="000F38E4">
        <w:rPr>
          <w:rFonts w:eastAsiaTheme="minorHAnsi"/>
          <w:szCs w:val="20"/>
        </w:rPr>
        <w:t>onjugation of metabolites to form their glucuronide and/or sulphate ester analogues (all except hydroxy SYN545974).</w:t>
      </w:r>
    </w:p>
    <w:p w14:paraId="066460B3" w14:textId="77777777" w:rsidR="00D913B1" w:rsidRDefault="00D913B1" w:rsidP="00D913B1">
      <w:pPr>
        <w:pStyle w:val="APVMAText"/>
        <w:jc w:val="center"/>
        <w:rPr>
          <w:lang w:val="en-GB"/>
        </w:rPr>
      </w:pPr>
      <w:r w:rsidRPr="00975D3B">
        <w:rPr>
          <w:noProof/>
          <w:lang w:eastAsia="en-AU"/>
        </w:rPr>
        <w:drawing>
          <wp:anchor distT="0" distB="0" distL="114300" distR="114300" simplePos="0" relativeHeight="251655680" behindDoc="0" locked="0" layoutInCell="1" allowOverlap="1" wp14:anchorId="1CBBA0A7" wp14:editId="557B431F">
            <wp:simplePos x="0" y="0"/>
            <wp:positionH relativeFrom="margin">
              <wp:align>left</wp:align>
            </wp:positionH>
            <wp:positionV relativeFrom="paragraph">
              <wp:posOffset>0</wp:posOffset>
            </wp:positionV>
            <wp:extent cx="5400675" cy="5181600"/>
            <wp:effectExtent l="0" t="0" r="9525" b="0"/>
            <wp:wrapTopAndBottom/>
            <wp:docPr id="13" name="Picture 13" descr="Picture shows the proposed metabolic pathway for pydiflumetofen in laying hens. The observed metabolites of pydiflumetofen were formed by:&#10;• N-demethylation of the pyrazole ring&#10;• N-demethoxylation of the amide nitrogen&#10;• monohydroxylation of the benzyl methylene functionality&#10;• monohydroxylation of the trichlorophenyl ring&#10;• cleavage at the benzylic methylene, N-alkyl and amide linkages between the phenyl and pyrazole rings&#10;• Conjugation of metabolites to form their glucuronide and/or sulphate ester analogues (all except hydroxy SYN545974).&#10;" title="Proposed Metabolic Pathway for Pydiflumetofen (SYN545974) in laying 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0675" cy="5181600"/>
                    </a:xfrm>
                    <a:prstGeom prst="rect">
                      <a:avLst/>
                    </a:prstGeom>
                    <a:noFill/>
                    <a:ln>
                      <a:noFill/>
                    </a:ln>
                  </pic:spPr>
                </pic:pic>
              </a:graphicData>
            </a:graphic>
            <wp14:sizeRelH relativeFrom="page">
              <wp14:pctWidth>0</wp14:pctWidth>
            </wp14:sizeRelH>
            <wp14:sizeRelV relativeFrom="page">
              <wp14:pctHeight>0</wp14:pctHeight>
            </wp14:sizeRelV>
          </wp:anchor>
        </w:drawing>
      </w:r>
      <w:r>
        <w:rPr>
          <w:i/>
          <w:lang w:val="en-GB"/>
        </w:rPr>
        <w:t>Proposed Metabolic Pathway for Pydiflumetofen (SYN545974) in laying hens</w:t>
      </w:r>
    </w:p>
    <w:p w14:paraId="53DE7A22" w14:textId="77777777" w:rsidR="00D913B1" w:rsidRDefault="00D913B1">
      <w:pPr>
        <w:pStyle w:val="APVMAText"/>
        <w:rPr>
          <w:lang w:val="en-GB"/>
        </w:rPr>
      </w:pPr>
    </w:p>
    <w:p w14:paraId="190052A8" w14:textId="77777777" w:rsidR="00F73F76" w:rsidRDefault="00AD04C2" w:rsidP="00AD04C2">
      <w:pPr>
        <w:pStyle w:val="Heading2"/>
        <w:rPr>
          <w:lang w:val="en-GB"/>
        </w:rPr>
      </w:pPr>
      <w:bookmarkStart w:id="21" w:name="_Toc507406664"/>
      <w:r>
        <w:rPr>
          <w:lang w:val="en-GB"/>
        </w:rPr>
        <w:lastRenderedPageBreak/>
        <w:t>Analytical methods</w:t>
      </w:r>
      <w:bookmarkEnd w:id="21"/>
    </w:p>
    <w:p w14:paraId="3C6FA483" w14:textId="77777777" w:rsidR="00AD04C2" w:rsidRPr="00F51521" w:rsidRDefault="00F51521" w:rsidP="00C015B2">
      <w:pPr>
        <w:pStyle w:val="Heading3"/>
        <w:rPr>
          <w:lang w:val="en-GB"/>
        </w:rPr>
      </w:pPr>
      <w:r>
        <w:rPr>
          <w:lang w:val="en-GB"/>
        </w:rPr>
        <w:t>Plant commodities</w:t>
      </w:r>
    </w:p>
    <w:p w14:paraId="2207193F" w14:textId="2370055F" w:rsidR="00AD04C2" w:rsidRDefault="00F51521">
      <w:pPr>
        <w:pStyle w:val="APVMAText"/>
        <w:rPr>
          <w:lang w:val="en-GB"/>
        </w:rPr>
      </w:pPr>
      <w:r w:rsidRPr="00AC3260">
        <w:t xml:space="preserve">For high water content and dry crop categories, the representative sample </w:t>
      </w:r>
      <w:r>
        <w:t>was</w:t>
      </w:r>
      <w:r w:rsidR="000F38E4">
        <w:t xml:space="preserve"> extracted twice with</w:t>
      </w:r>
      <w:r w:rsidRPr="00AC3260">
        <w:t xml:space="preserve"> acetonitril</w:t>
      </w:r>
      <w:r w:rsidR="000F38E4">
        <w:t>e/water</w:t>
      </w:r>
      <w:r w:rsidRPr="00AC3260">
        <w:t xml:space="preserve"> using </w:t>
      </w:r>
      <w:r>
        <w:t xml:space="preserve">a </w:t>
      </w:r>
      <w:r w:rsidRPr="00AC3260">
        <w:t xml:space="preserve">homogenizer at high speed. The extracts </w:t>
      </w:r>
      <w:r>
        <w:t>we</w:t>
      </w:r>
      <w:r w:rsidRPr="00AC3260">
        <w:t xml:space="preserve">re combined after removal of solids by centrifugation. An aliquot of sample extract </w:t>
      </w:r>
      <w:r>
        <w:t>wa</w:t>
      </w:r>
      <w:r w:rsidRPr="00AC3260">
        <w:t xml:space="preserve">s diluted and processed via SPE procedures prior to final reconstitution and subjected to residue determination. Alternatively, an aliquot of sample extract </w:t>
      </w:r>
      <w:r>
        <w:t>wa</w:t>
      </w:r>
      <w:r w:rsidRPr="00AC3260">
        <w:t xml:space="preserve">s filtered or treated with C18 via dispersive SPE procedure and diluted prior to final analysis </w:t>
      </w:r>
      <w:r>
        <w:t>if instrument sensitivity allowed</w:t>
      </w:r>
      <w:r w:rsidRPr="00AC3260">
        <w:t xml:space="preserve"> with minimum matrix interferences. Residue determination </w:t>
      </w:r>
      <w:r>
        <w:t>wa</w:t>
      </w:r>
      <w:r w:rsidRPr="00AC3260">
        <w:t xml:space="preserve">s achieved by high performance liquid chromatography with triple quadrupole mass spectrometric detection (LC-MS/MS) using electrospray ionization techniques. The limit of quantification (LOQ) of the method </w:t>
      </w:r>
      <w:r>
        <w:t>has been established at 0.01 mg/kg</w:t>
      </w:r>
      <w:r w:rsidRPr="00AC3260">
        <w:t xml:space="preserve"> for </w:t>
      </w:r>
      <w:r w:rsidR="001A6EC7">
        <w:t>pydiflumetofen</w:t>
      </w:r>
      <w:r w:rsidRPr="00AC3260">
        <w:t xml:space="preserve"> in crop commodities.</w:t>
      </w:r>
    </w:p>
    <w:p w14:paraId="05604FB2" w14:textId="77777777" w:rsidR="00AD04C2" w:rsidRPr="00F51521" w:rsidRDefault="00F51521" w:rsidP="00C015B2">
      <w:pPr>
        <w:pStyle w:val="Heading3"/>
        <w:rPr>
          <w:lang w:val="en-GB"/>
        </w:rPr>
      </w:pPr>
      <w:r>
        <w:rPr>
          <w:lang w:val="en-GB"/>
        </w:rPr>
        <w:t>Animal commodities</w:t>
      </w:r>
    </w:p>
    <w:p w14:paraId="5ADE0FEB" w14:textId="7279D44D" w:rsidR="00F51521" w:rsidRDefault="004523A3">
      <w:pPr>
        <w:pStyle w:val="APVMAText"/>
        <w:rPr>
          <w:lang w:val="en-GB"/>
        </w:rPr>
      </w:pPr>
      <w:r>
        <w:t>A method was provided</w:t>
      </w:r>
      <w:r w:rsidR="001A6EC7">
        <w:t xml:space="preserve"> for the determination of p</w:t>
      </w:r>
      <w:r w:rsidR="00F51521">
        <w:t xml:space="preserve">ydiflumetofen in bovine fat, muscle, liver, kidney, milk, blood and hens eggs. The LOQ for the method was 0.01 mg/kg. Bovine muscle, liver, kidney, milk, blood and hens eggs were extracted by homogenizing in acetonitrile/water. For the extraction of bovine fat the sample was dissolved in hexane before liquid/liquid </w:t>
      </w:r>
      <w:r w:rsidR="00AB1E60">
        <w:t>partitioning</w:t>
      </w:r>
      <w:r w:rsidR="000F38E4">
        <w:t xml:space="preserve"> into acetonitrile/water</w:t>
      </w:r>
      <w:r w:rsidR="00F51521">
        <w:t>. Samples were centrifuged and an aliquot diluted with water for final determination by LC-MS/MS. Alternatively, samples may be cleaned up by Solid Phase Extracti</w:t>
      </w:r>
      <w:r w:rsidR="000F38E4">
        <w:t>on (SPE)</w:t>
      </w:r>
      <w:r w:rsidR="00F51521">
        <w:t xml:space="preserve"> prior to analysis.</w:t>
      </w:r>
    </w:p>
    <w:p w14:paraId="14158350" w14:textId="385C7F4E" w:rsidR="00F51521" w:rsidRDefault="004523A3">
      <w:pPr>
        <w:pStyle w:val="APVMAText"/>
        <w:rPr>
          <w:lang w:val="en-GB"/>
        </w:rPr>
      </w:pPr>
      <w:r>
        <w:t>F</w:t>
      </w:r>
      <w:r w:rsidR="00F51521">
        <w:t>or the determination of 2,4,6-trichlorophenol (2,4,6-TCP) in bovine fat, muscle, liver, kidney, milk, blood and hen eggs</w:t>
      </w:r>
      <w:r>
        <w:t>,</w:t>
      </w:r>
      <w:r w:rsidR="00F51521">
        <w:t xml:space="preserve"> </w:t>
      </w:r>
      <w:r>
        <w:t>a</w:t>
      </w:r>
      <w:r w:rsidR="00F51521">
        <w:t>n enzyme hydrolysis procedure is employed to release 2,4,6-TCP from conjugates. The LOQ for the method was 0.01 mg/kg. Bovine muscle, liver, kidney, milk, blood and hens eggs were extracted by homogenizi</w:t>
      </w:r>
      <w:r w:rsidR="000F38E4">
        <w:t>ng in acetonitrile/water</w:t>
      </w:r>
      <w:r w:rsidR="00F51521">
        <w:t>. For the extraction of bovine fat the sample was dissolved i</w:t>
      </w:r>
      <w:r w:rsidR="00AB1E60">
        <w:t>n hexane before liquid/liquid partit</w:t>
      </w:r>
      <w:r w:rsidR="00F51521">
        <w:t xml:space="preserve">ioning into acetonitrile/water. Samples were centrifuged (except fat samples) and an aliquot concentrated to </w:t>
      </w:r>
      <w:r w:rsidR="00FD4649">
        <w:t>the aqueous remainder. Samples we</w:t>
      </w:r>
      <w:r w:rsidR="00F51521">
        <w:t xml:space="preserve">re buffered with sodium acetate containing </w:t>
      </w:r>
      <w:r w:rsidR="00FF0655">
        <w:br/>
      </w:r>
      <w:r w:rsidR="00F51521">
        <w:t>β-glucuronidase and diluted with water</w:t>
      </w:r>
      <w:r w:rsidR="0087142F">
        <w:t xml:space="preserve"> prior to incubation</w:t>
      </w:r>
      <w:r w:rsidR="00F51521">
        <w:t>. Samples were cleaned up by Solid Phase Extraction (SPE) prior to analysis by LC-MS/MS.</w:t>
      </w:r>
    </w:p>
    <w:p w14:paraId="185B5ED8" w14:textId="1DFD5B7A" w:rsidR="00AD04C2" w:rsidRDefault="004523A3">
      <w:pPr>
        <w:pStyle w:val="APVMAText"/>
        <w:rPr>
          <w:lang w:val="en-GB"/>
        </w:rPr>
      </w:pPr>
      <w:r>
        <w:t>A method was provided</w:t>
      </w:r>
      <w:r w:rsidR="00F51521">
        <w:t xml:space="preserve"> for the determination of SYN548264 and SYN508272 in bovin</w:t>
      </w:r>
      <w:r w:rsidR="001442E6">
        <w:t>e milk. The LOQ for the method wa</w:t>
      </w:r>
      <w:r w:rsidR="00F51521">
        <w:t xml:space="preserve">s 0.01 mg/kg. </w:t>
      </w:r>
      <w:r w:rsidR="00F51521" w:rsidRPr="009F365C">
        <w:t>SYN548264 and SYN508272</w:t>
      </w:r>
      <w:r w:rsidR="00F51521">
        <w:t xml:space="preserve"> were extracted from milk by shaking with acetonitrile. An aliquot of the extract was diluted with water/acetonitrile prior to analysis by LC-MS/MS, using matrix matched calibration.</w:t>
      </w:r>
    </w:p>
    <w:p w14:paraId="04524297" w14:textId="629A4BFE" w:rsidR="00F51521" w:rsidRDefault="004523A3">
      <w:pPr>
        <w:pStyle w:val="APVMAText"/>
        <w:rPr>
          <w:lang w:val="en-GB"/>
        </w:rPr>
      </w:pPr>
      <w:r>
        <w:t>A method was provided</w:t>
      </w:r>
      <w:r w:rsidR="00F51521">
        <w:t xml:space="preserve"> for the determination of free and conjugated SYN547897 and SYN548263 in kidney and</w:t>
      </w:r>
      <w:r w:rsidR="001442E6">
        <w:t xml:space="preserve"> liver. The LOQ for the method wa</w:t>
      </w:r>
      <w:r w:rsidR="00F51521">
        <w:t>s 0.01 mg/kg. Samples of liver or kidney were extracted by homogenisation</w:t>
      </w:r>
      <w:r w:rsidR="000F38E4">
        <w:t xml:space="preserve"> with acetonitrile/water</w:t>
      </w:r>
      <w:r w:rsidR="00F51521">
        <w:t>. The extracts were centrifuged and an aliquot fil</w:t>
      </w:r>
      <w:r w:rsidR="000F38E4">
        <w:t>tered</w:t>
      </w:r>
      <w:r w:rsidR="00F51521">
        <w:t xml:space="preserve"> and evaporated to the aqueous remainder. The mixture was buffered with aqueous sodium acetate containing </w:t>
      </w:r>
      <w:r w:rsidR="00FF0655">
        <w:br/>
      </w:r>
      <w:r w:rsidR="00F51521">
        <w:t xml:space="preserve">β-glucuronidase and diluted with water. Conjugates of SYN547897 and SYN548263 were hydrolysed by incubation. Samples were diluted </w:t>
      </w:r>
      <w:r w:rsidR="00F51521" w:rsidRPr="00D01EB4">
        <w:t>and cleaned up by Solid Phase Extraction (SPE)</w:t>
      </w:r>
      <w:r w:rsidR="00F51521">
        <w:t xml:space="preserve"> prior to analysis by </w:t>
      </w:r>
      <w:r w:rsidR="00FF0655">
        <w:br/>
      </w:r>
      <w:r w:rsidR="00F51521">
        <w:t>LC-MS/MS.</w:t>
      </w:r>
    </w:p>
    <w:p w14:paraId="62D13E38" w14:textId="77777777" w:rsidR="00F51521" w:rsidRDefault="001735AD" w:rsidP="001735AD">
      <w:pPr>
        <w:pStyle w:val="Heading2"/>
        <w:rPr>
          <w:lang w:val="en-GB"/>
        </w:rPr>
      </w:pPr>
      <w:bookmarkStart w:id="22" w:name="_Toc507406665"/>
      <w:r>
        <w:rPr>
          <w:lang w:val="en-GB"/>
        </w:rPr>
        <w:lastRenderedPageBreak/>
        <w:t>Stability of residues in stored analytical samples</w:t>
      </w:r>
      <w:bookmarkEnd w:id="22"/>
    </w:p>
    <w:p w14:paraId="104CE05C" w14:textId="77777777" w:rsidR="001735AD" w:rsidRPr="001735AD" w:rsidRDefault="001735AD" w:rsidP="00C015B2">
      <w:pPr>
        <w:pStyle w:val="Heading3"/>
      </w:pPr>
      <w:r>
        <w:t>Plant commodities</w:t>
      </w:r>
    </w:p>
    <w:p w14:paraId="7047E01E" w14:textId="77777777" w:rsidR="00F51521" w:rsidRDefault="001735AD">
      <w:pPr>
        <w:pStyle w:val="APVMAText"/>
        <w:rPr>
          <w:lang w:val="en-GB"/>
        </w:rPr>
      </w:pPr>
      <w:r>
        <w:t>The stabili</w:t>
      </w:r>
      <w:r w:rsidR="000F38E4">
        <w:t xml:space="preserve">ty of </w:t>
      </w:r>
      <w:r w:rsidR="000B4A67">
        <w:t>p</w:t>
      </w:r>
      <w:r w:rsidR="000F38E4">
        <w:t>ydiflumetofen</w:t>
      </w:r>
      <w:r>
        <w:t xml:space="preserve"> in seven different plant matrices (lettuce, orange, oilseed rape seed, potato, beans without pods, wheat grain and straw) when stored frozen at ≤ -18</w:t>
      </w:r>
      <w:r>
        <w:rPr>
          <w:vertAlign w:val="superscript"/>
        </w:rPr>
        <w:t>o</w:t>
      </w:r>
      <w:r>
        <w:t xml:space="preserve">C was investigated. </w:t>
      </w:r>
      <w:r w:rsidR="000F38E4">
        <w:t>Residues of pydiflumetofen</w:t>
      </w:r>
      <w:r w:rsidRPr="00CD3746">
        <w:t xml:space="preserve"> were confirmed to be stable in </w:t>
      </w:r>
      <w:r>
        <w:t xml:space="preserve">these </w:t>
      </w:r>
      <w:r w:rsidRPr="00CD3746">
        <w:t>plant matrices when stored deep frozen at ≤-18°C for at least 23 months.</w:t>
      </w:r>
    </w:p>
    <w:p w14:paraId="106DCFAB" w14:textId="0D2BB2ED" w:rsidR="00F51521" w:rsidRDefault="000F38E4">
      <w:pPr>
        <w:pStyle w:val="APVMAText"/>
        <w:rPr>
          <w:lang w:val="en-GB"/>
        </w:rPr>
      </w:pPr>
      <w:r>
        <w:t>The stability of pydiflumetofen</w:t>
      </w:r>
      <w:r w:rsidR="001735AD">
        <w:t xml:space="preserve"> in plant processed commodities from corn (flour, meal a</w:t>
      </w:r>
      <w:r w:rsidR="0002532E">
        <w:t>nd oil), soya bean (flour, milk and</w:t>
      </w:r>
      <w:r w:rsidR="001735AD">
        <w:t xml:space="preserve"> oil), grape (raisin) and apple fractions (dried fruit and juice) under freezer storage conditions was also investigated. No a</w:t>
      </w:r>
      <w:r>
        <w:t>pparent degradation of pydiflumetofen</w:t>
      </w:r>
      <w:r w:rsidR="001735AD">
        <w:t xml:space="preserve"> was observed over the first 12 months of freezer storage in any of the matrices.</w:t>
      </w:r>
    </w:p>
    <w:p w14:paraId="5FC494D5" w14:textId="01E487CC" w:rsidR="001735AD" w:rsidRDefault="001735AD">
      <w:pPr>
        <w:pStyle w:val="APVMAText"/>
        <w:rPr>
          <w:lang w:val="en-GB"/>
        </w:rPr>
      </w:pPr>
      <w:r>
        <w:t>In the residue trials submitted, all samples were maintained under freezer conditions, (ie</w:t>
      </w:r>
      <w:r w:rsidR="00FF0655">
        <w:t xml:space="preserve"> </w:t>
      </w:r>
      <w:r>
        <w:t xml:space="preserve">–18 </w:t>
      </w:r>
      <w:r>
        <w:sym w:font="Symbol" w:char="F0B0"/>
      </w:r>
      <w:r>
        <w:t>C) prior to</w:t>
      </w:r>
      <w:r w:rsidR="000F38E4">
        <w:t xml:space="preserve"> analysis and tested within ~18</w:t>
      </w:r>
      <w:r>
        <w:t xml:space="preserve"> months of collection</w:t>
      </w:r>
      <w:r w:rsidR="007114A9">
        <w:t xml:space="preserve">. </w:t>
      </w:r>
      <w:r>
        <w:t>This is acceptable for the purposes of the current application.</w:t>
      </w:r>
    </w:p>
    <w:p w14:paraId="138E94AF" w14:textId="77777777" w:rsidR="001735AD" w:rsidRPr="001735AD" w:rsidRDefault="001735AD" w:rsidP="00C015B2">
      <w:pPr>
        <w:pStyle w:val="Heading3"/>
        <w:rPr>
          <w:lang w:val="en-GB"/>
        </w:rPr>
      </w:pPr>
      <w:r>
        <w:rPr>
          <w:lang w:val="en-GB"/>
        </w:rPr>
        <w:t>Animal commodities</w:t>
      </w:r>
    </w:p>
    <w:p w14:paraId="5FEAC73A" w14:textId="77777777" w:rsidR="001735AD" w:rsidRDefault="001735AD">
      <w:pPr>
        <w:pStyle w:val="APVMAText"/>
        <w:rPr>
          <w:lang w:val="en-GB"/>
        </w:rPr>
      </w:pPr>
      <w:r>
        <w:t>Residu</w:t>
      </w:r>
      <w:r w:rsidR="000B4A67">
        <w:t>es of p</w:t>
      </w:r>
      <w:r w:rsidR="000F38E4">
        <w:t>ydiflumetofen</w:t>
      </w:r>
      <w:r>
        <w:t xml:space="preserve"> have been shown to be stable in bovine muscle, liver, fat, milk and eggs when stored frozen for at least </w:t>
      </w:r>
      <w:r w:rsidR="00AA4C96">
        <w:t>12</w:t>
      </w:r>
      <w:r>
        <w:t xml:space="preserve"> months at -20</w:t>
      </w:r>
      <w:r>
        <w:rPr>
          <w:vertAlign w:val="superscript"/>
        </w:rPr>
        <w:t>o</w:t>
      </w:r>
      <w:r>
        <w:t>C.</w:t>
      </w:r>
    </w:p>
    <w:p w14:paraId="4CE9EB1D" w14:textId="77777777" w:rsidR="00F73F76" w:rsidRDefault="001735AD">
      <w:pPr>
        <w:pStyle w:val="APVMAText"/>
        <w:rPr>
          <w:lang w:val="en-GB"/>
        </w:rPr>
      </w:pPr>
      <w:r>
        <w:t>A study investigated the storage stability of conjugated 2,4,6-trichlorophenol in animal matrices (bovine muscle, liver, kidney, fat, whole milk and egg) stored frozen for up to 12 months at  -18</w:t>
      </w:r>
      <w:r w:rsidRPr="00C328F5">
        <w:rPr>
          <w:vertAlign w:val="superscript"/>
        </w:rPr>
        <w:t>o</w:t>
      </w:r>
      <w:r>
        <w:t>C. There was no significant decrease (&gt;30%) in the observed residue levels of conjugated 2,4,6-TCP in any of the animal matrices studied after deep frozen storage for 1</w:t>
      </w:r>
      <w:r w:rsidR="003E1A48">
        <w:t>2</w:t>
      </w:r>
      <w:r>
        <w:t xml:space="preserve"> month</w:t>
      </w:r>
      <w:r w:rsidR="003E1A48">
        <w:t>s</w:t>
      </w:r>
      <w:r>
        <w:t>.</w:t>
      </w:r>
    </w:p>
    <w:p w14:paraId="44ED98B8" w14:textId="1D79D1C3" w:rsidR="001735AD" w:rsidRDefault="001735AD">
      <w:pPr>
        <w:pStyle w:val="APVMAText"/>
        <w:rPr>
          <w:lang w:val="en-GB"/>
        </w:rPr>
      </w:pPr>
      <w:r w:rsidRPr="00A914F9">
        <w:rPr>
          <w:rFonts w:eastAsiaTheme="minorHAnsi"/>
          <w:color w:val="000000"/>
        </w:rPr>
        <w:t>Residues of SYN548264 and SYN508272 have been shown to be stable in milk when stored deep frozen at &lt;-18</w:t>
      </w:r>
      <w:r w:rsidRPr="00A914F9">
        <w:rPr>
          <w:rFonts w:eastAsiaTheme="minorHAnsi"/>
          <w:color w:val="000000"/>
          <w:vertAlign w:val="superscript"/>
        </w:rPr>
        <w:t>o</w:t>
      </w:r>
      <w:r w:rsidRPr="00A914F9">
        <w:rPr>
          <w:rFonts w:eastAsiaTheme="minorHAnsi"/>
          <w:color w:val="000000"/>
        </w:rPr>
        <w:t>C for up to twelve months.</w:t>
      </w:r>
    </w:p>
    <w:p w14:paraId="6A0894DF" w14:textId="77777777" w:rsidR="001735AD" w:rsidRDefault="001735AD">
      <w:pPr>
        <w:pStyle w:val="APVMAText"/>
        <w:rPr>
          <w:lang w:val="en-GB"/>
        </w:rPr>
      </w:pPr>
      <w:r w:rsidRPr="00A914F9">
        <w:rPr>
          <w:rFonts w:eastAsiaTheme="minorHAnsi"/>
          <w:color w:val="000000"/>
        </w:rPr>
        <w:t>Residues of SYN54</w:t>
      </w:r>
      <w:r>
        <w:rPr>
          <w:rFonts w:eastAsiaTheme="minorHAnsi"/>
          <w:color w:val="000000"/>
        </w:rPr>
        <w:t>7</w:t>
      </w:r>
      <w:r w:rsidRPr="00A914F9">
        <w:rPr>
          <w:rFonts w:eastAsiaTheme="minorHAnsi"/>
          <w:color w:val="000000"/>
        </w:rPr>
        <w:t xml:space="preserve">897 declined over time when stored deep frozen. Loses of </w:t>
      </w:r>
      <w:r w:rsidRPr="00A914F9">
        <w:rPr>
          <w:rFonts w:eastAsiaTheme="minorHAnsi"/>
          <w:i/>
          <w:iCs/>
          <w:color w:val="000000"/>
        </w:rPr>
        <w:t xml:space="preserve">ca </w:t>
      </w:r>
      <w:r w:rsidRPr="00A914F9">
        <w:rPr>
          <w:rFonts w:eastAsiaTheme="minorHAnsi"/>
          <w:color w:val="000000"/>
        </w:rPr>
        <w:t xml:space="preserve">30% in liver and </w:t>
      </w:r>
      <w:r w:rsidRPr="00A914F9">
        <w:rPr>
          <w:rFonts w:eastAsiaTheme="minorHAnsi"/>
          <w:i/>
          <w:iCs/>
          <w:color w:val="000000"/>
        </w:rPr>
        <w:t xml:space="preserve">ca </w:t>
      </w:r>
      <w:r w:rsidRPr="00A914F9">
        <w:rPr>
          <w:rFonts w:eastAsiaTheme="minorHAnsi"/>
          <w:color w:val="000000"/>
        </w:rPr>
        <w:t>20% in kidney were observed up to 11 months of storage. Loses of &gt;30% where measured after 12 months storage.</w:t>
      </w:r>
    </w:p>
    <w:p w14:paraId="66441A88" w14:textId="6570E381" w:rsidR="001735AD" w:rsidRDefault="001735AD">
      <w:pPr>
        <w:pStyle w:val="APVMAText"/>
        <w:rPr>
          <w:lang w:val="en-GB"/>
        </w:rPr>
      </w:pPr>
      <w:r w:rsidRPr="00A914F9">
        <w:rPr>
          <w:rFonts w:eastAsiaTheme="minorHAnsi"/>
          <w:color w:val="000000"/>
        </w:rPr>
        <w:t>Residues of SYN548263 have been shown to be stable in kidney when stored deep frozen at &lt;-18</w:t>
      </w:r>
      <w:r w:rsidRPr="00A914F9">
        <w:rPr>
          <w:rFonts w:eastAsiaTheme="minorHAnsi"/>
          <w:color w:val="000000"/>
          <w:vertAlign w:val="superscript"/>
        </w:rPr>
        <w:t>o</w:t>
      </w:r>
      <w:r w:rsidRPr="00A914F9">
        <w:rPr>
          <w:rFonts w:eastAsiaTheme="minorHAnsi"/>
          <w:color w:val="000000"/>
        </w:rPr>
        <w:t>C for up to twelve months.</w:t>
      </w:r>
    </w:p>
    <w:p w14:paraId="5DBAC658" w14:textId="77777777" w:rsidR="001735AD" w:rsidRDefault="001735AD">
      <w:pPr>
        <w:pStyle w:val="APVMAText"/>
        <w:rPr>
          <w:lang w:val="en-GB"/>
        </w:rPr>
      </w:pPr>
      <w:r>
        <w:t>In the cow and hen animal transfer studies provided by the applicant, the maximum storage period for samples prior to analysis was 326 days. This is acceptable for the purposes of the current application.</w:t>
      </w:r>
    </w:p>
    <w:p w14:paraId="6158103C" w14:textId="77777777" w:rsidR="001735AD" w:rsidRDefault="001735AD" w:rsidP="001735AD">
      <w:pPr>
        <w:pStyle w:val="Heading2"/>
        <w:rPr>
          <w:lang w:val="en-GB"/>
        </w:rPr>
      </w:pPr>
      <w:bookmarkStart w:id="23" w:name="_Toc507406666"/>
      <w:r>
        <w:rPr>
          <w:lang w:val="en-GB"/>
        </w:rPr>
        <w:lastRenderedPageBreak/>
        <w:t>Residue definition</w:t>
      </w:r>
      <w:bookmarkEnd w:id="23"/>
    </w:p>
    <w:p w14:paraId="0A73A7B7" w14:textId="77777777" w:rsidR="001735AD" w:rsidRPr="001735AD" w:rsidRDefault="001735AD" w:rsidP="00C015B2">
      <w:pPr>
        <w:pStyle w:val="Heading3"/>
        <w:rPr>
          <w:lang w:val="en-GB"/>
        </w:rPr>
      </w:pPr>
      <w:r>
        <w:rPr>
          <w:lang w:val="en-GB"/>
        </w:rPr>
        <w:t>Plants</w:t>
      </w:r>
    </w:p>
    <w:p w14:paraId="11F5C9C3" w14:textId="77777777" w:rsidR="001735AD" w:rsidRDefault="001735AD">
      <w:pPr>
        <w:pStyle w:val="APVMAText"/>
        <w:rPr>
          <w:lang w:val="en-GB"/>
        </w:rPr>
      </w:pPr>
      <w:r>
        <w:rPr>
          <w:rFonts w:eastAsiaTheme="minorHAnsi"/>
        </w:rPr>
        <w:t>Given that parent was the major component of the residue in plants, with all other metabolites forming &lt; 10% of the</w:t>
      </w:r>
      <w:r w:rsidR="000F38E4">
        <w:rPr>
          <w:rFonts w:eastAsiaTheme="minorHAnsi"/>
        </w:rPr>
        <w:t xml:space="preserve"> TRR in primary crops and ≤ 13</w:t>
      </w:r>
      <w:r>
        <w:rPr>
          <w:rFonts w:eastAsiaTheme="minorHAnsi"/>
        </w:rPr>
        <w:t>% of the TRR in confined rotational crops, the recommended residue definition for commodities of plant origin is parent compound only. This definition is suitable both for enforcement of MRLs and for dietary risk assessment.</w:t>
      </w:r>
    </w:p>
    <w:p w14:paraId="1D49ECBF" w14:textId="77777777" w:rsidR="001735AD" w:rsidRPr="00235666" w:rsidRDefault="001735AD" w:rsidP="00C015B2">
      <w:pPr>
        <w:pStyle w:val="Heading3"/>
        <w:rPr>
          <w:rFonts w:eastAsiaTheme="minorHAnsi"/>
        </w:rPr>
      </w:pPr>
      <w:r w:rsidRPr="00235666">
        <w:rPr>
          <w:rFonts w:eastAsiaTheme="minorHAnsi"/>
        </w:rPr>
        <w:t>Animals</w:t>
      </w:r>
    </w:p>
    <w:p w14:paraId="380C29FD" w14:textId="77777777" w:rsidR="001735AD" w:rsidRDefault="001735AD" w:rsidP="00235666">
      <w:pPr>
        <w:pStyle w:val="APVMAText"/>
        <w:rPr>
          <w:rFonts w:eastAsiaTheme="minorHAnsi"/>
        </w:rPr>
      </w:pPr>
      <w:r w:rsidRPr="00235666">
        <w:rPr>
          <w:rFonts w:eastAsiaTheme="minorHAnsi"/>
        </w:rPr>
        <w:t>The metabolism of pydiflumetofen in livestock was more complex than that observed in plants. In the goat and hen metabolism studies parent compound was detected in all tissues and milk/eggs.</w:t>
      </w:r>
    </w:p>
    <w:p w14:paraId="45B39724" w14:textId="722B50D0" w:rsidR="001735AD" w:rsidRPr="00235666" w:rsidRDefault="001735AD" w:rsidP="00235666">
      <w:pPr>
        <w:pStyle w:val="APVMAText"/>
        <w:rPr>
          <w:rFonts w:eastAsiaTheme="minorHAnsi"/>
        </w:rPr>
      </w:pPr>
      <w:r>
        <w:rPr>
          <w:rFonts w:eastAsiaTheme="minorHAnsi"/>
        </w:rPr>
        <w:t>In goats, p</w:t>
      </w:r>
      <w:r w:rsidRPr="00844E53">
        <w:rPr>
          <w:rFonts w:eastAsiaTheme="minorHAnsi"/>
        </w:rPr>
        <w:t xml:space="preserve">arent </w:t>
      </w:r>
      <w:r w:rsidR="001A6EC7">
        <w:rPr>
          <w:rFonts w:eastAsiaTheme="minorHAnsi"/>
        </w:rPr>
        <w:t>pydiflumetofen</w:t>
      </w:r>
      <w:r w:rsidRPr="00844E53">
        <w:rPr>
          <w:rFonts w:eastAsiaTheme="minorHAnsi"/>
        </w:rPr>
        <w:t xml:space="preserve"> was identified in milk and all tissues. </w:t>
      </w:r>
      <w:r w:rsidR="005938D6">
        <w:rPr>
          <w:rFonts w:eastAsiaTheme="minorHAnsi"/>
        </w:rPr>
        <w:t>The proportion of TRR as parent was</w:t>
      </w:r>
      <w:r>
        <w:rPr>
          <w:rFonts w:eastAsiaTheme="minorHAnsi"/>
        </w:rPr>
        <w:t xml:space="preserve"> greatest in fat </w:t>
      </w:r>
      <w:r w:rsidRPr="00844E53">
        <w:rPr>
          <w:rFonts w:eastAsiaTheme="minorHAnsi"/>
        </w:rPr>
        <w:t>(≤</w:t>
      </w:r>
      <w:r w:rsidR="00C324C8">
        <w:rPr>
          <w:rFonts w:eastAsiaTheme="minorHAnsi"/>
        </w:rPr>
        <w:t> </w:t>
      </w:r>
      <w:r w:rsidR="00BB6781">
        <w:rPr>
          <w:rFonts w:eastAsiaTheme="minorHAnsi"/>
        </w:rPr>
        <w:t>74</w:t>
      </w:r>
      <w:r w:rsidRPr="00844E53">
        <w:rPr>
          <w:rFonts w:eastAsiaTheme="minorHAnsi"/>
        </w:rPr>
        <w:t>%</w:t>
      </w:r>
      <w:r w:rsidR="00C324C8">
        <w:rPr>
          <w:rFonts w:eastAsiaTheme="minorHAnsi"/>
        </w:rPr>
        <w:t xml:space="preserve"> </w:t>
      </w:r>
      <w:r w:rsidRPr="00844E53">
        <w:rPr>
          <w:rFonts w:eastAsiaTheme="minorHAnsi"/>
        </w:rPr>
        <w:t>TRR), muscle (≤</w:t>
      </w:r>
      <w:r>
        <w:rPr>
          <w:rFonts w:eastAsiaTheme="minorHAnsi"/>
        </w:rPr>
        <w:t xml:space="preserve"> </w:t>
      </w:r>
      <w:r w:rsidR="00BB6781">
        <w:rPr>
          <w:rFonts w:eastAsiaTheme="minorHAnsi"/>
        </w:rPr>
        <w:t>24</w:t>
      </w:r>
      <w:r w:rsidRPr="00844E53">
        <w:rPr>
          <w:rFonts w:eastAsiaTheme="minorHAnsi"/>
        </w:rPr>
        <w:t>% TRR), milk (≤</w:t>
      </w:r>
      <w:r>
        <w:rPr>
          <w:rFonts w:eastAsiaTheme="minorHAnsi"/>
        </w:rPr>
        <w:t xml:space="preserve"> </w:t>
      </w:r>
      <w:r w:rsidR="00BB6781">
        <w:rPr>
          <w:rFonts w:eastAsiaTheme="minorHAnsi"/>
        </w:rPr>
        <w:t>16</w:t>
      </w:r>
      <w:r w:rsidRPr="00844E53">
        <w:rPr>
          <w:rFonts w:eastAsiaTheme="minorHAnsi"/>
        </w:rPr>
        <w:t xml:space="preserve">% </w:t>
      </w:r>
      <w:r>
        <w:rPr>
          <w:rFonts w:eastAsiaTheme="minorHAnsi"/>
        </w:rPr>
        <w:t xml:space="preserve">TRR) and liver (≤ 8.2% TRR) with </w:t>
      </w:r>
      <w:r w:rsidRPr="00844E53">
        <w:rPr>
          <w:rFonts w:eastAsiaTheme="minorHAnsi"/>
        </w:rPr>
        <w:t>much smaller %TRRs being found in kidney (≤</w:t>
      </w:r>
      <w:r>
        <w:rPr>
          <w:rFonts w:eastAsiaTheme="minorHAnsi"/>
        </w:rPr>
        <w:t xml:space="preserve"> </w:t>
      </w:r>
      <w:r w:rsidRPr="00844E53">
        <w:rPr>
          <w:rFonts w:eastAsiaTheme="minorHAnsi"/>
        </w:rPr>
        <w:t>0.8% TR</w:t>
      </w:r>
      <w:r>
        <w:rPr>
          <w:rFonts w:eastAsiaTheme="minorHAnsi"/>
        </w:rPr>
        <w:t xml:space="preserve">R). Absolute residues of parent </w:t>
      </w:r>
      <w:r w:rsidRPr="00844E53">
        <w:rPr>
          <w:rFonts w:eastAsiaTheme="minorHAnsi"/>
        </w:rPr>
        <w:t xml:space="preserve">were greatest in liver </w:t>
      </w:r>
      <w:r w:rsidR="00FF0655">
        <w:rPr>
          <w:rFonts w:eastAsiaTheme="minorHAnsi"/>
        </w:rPr>
        <w:br/>
      </w:r>
      <w:r w:rsidRPr="00844E53">
        <w:rPr>
          <w:rFonts w:eastAsiaTheme="minorHAnsi"/>
        </w:rPr>
        <w:t>(≤</w:t>
      </w:r>
      <w:r>
        <w:rPr>
          <w:rFonts w:eastAsiaTheme="minorHAnsi"/>
        </w:rPr>
        <w:t xml:space="preserve"> </w:t>
      </w:r>
      <w:r w:rsidRPr="00844E53">
        <w:rPr>
          <w:rFonts w:eastAsiaTheme="minorHAnsi"/>
        </w:rPr>
        <w:t>0.570 mg/kg) and fat (≤</w:t>
      </w:r>
      <w:r>
        <w:rPr>
          <w:rFonts w:eastAsiaTheme="minorHAnsi"/>
        </w:rPr>
        <w:t xml:space="preserve"> </w:t>
      </w:r>
      <w:r w:rsidRPr="00844E53">
        <w:rPr>
          <w:rFonts w:eastAsiaTheme="minorHAnsi"/>
        </w:rPr>
        <w:t>0.206 mg/kg</w:t>
      </w:r>
      <w:r>
        <w:rPr>
          <w:rFonts w:eastAsiaTheme="minorHAnsi"/>
        </w:rPr>
        <w:t xml:space="preserve">) with lower residues (0.011 to </w:t>
      </w:r>
      <w:r w:rsidRPr="00844E53">
        <w:rPr>
          <w:rFonts w:eastAsiaTheme="minorHAnsi"/>
        </w:rPr>
        <w:t>0.025 mg/kg) present in muscle, milk and kidney.</w:t>
      </w:r>
    </w:p>
    <w:p w14:paraId="15BA1DD1" w14:textId="4B77F7A8" w:rsidR="001735AD" w:rsidRPr="00235666" w:rsidRDefault="001735AD" w:rsidP="00235666">
      <w:pPr>
        <w:pStyle w:val="APVMAText"/>
        <w:rPr>
          <w:rFonts w:eastAsiaTheme="minorHAnsi"/>
        </w:rPr>
      </w:pPr>
      <w:r w:rsidRPr="00235666">
        <w:rPr>
          <w:rFonts w:eastAsiaTheme="minorHAnsi"/>
        </w:rPr>
        <w:t xml:space="preserve">In hens, </w:t>
      </w:r>
      <w:r w:rsidR="00A2254A">
        <w:rPr>
          <w:rFonts w:eastAsiaTheme="minorHAnsi"/>
        </w:rPr>
        <w:t>the proportion of TRR as parent was</w:t>
      </w:r>
      <w:r>
        <w:rPr>
          <w:rFonts w:eastAsiaTheme="minorHAnsi"/>
        </w:rPr>
        <w:t xml:space="preserve"> greatest in egg white (</w:t>
      </w:r>
      <w:r w:rsidRPr="00235666">
        <w:rPr>
          <w:rFonts w:eastAsiaTheme="minorHAnsi"/>
        </w:rPr>
        <w:t xml:space="preserve">≤ </w:t>
      </w:r>
      <w:r w:rsidR="00BB6781">
        <w:rPr>
          <w:rFonts w:eastAsiaTheme="minorHAnsi"/>
        </w:rPr>
        <w:t>47</w:t>
      </w:r>
      <w:r>
        <w:rPr>
          <w:rFonts w:eastAsiaTheme="minorHAnsi"/>
        </w:rPr>
        <w:t>% TRR) and fat (</w:t>
      </w:r>
      <w:r w:rsidRPr="00235666">
        <w:rPr>
          <w:rFonts w:eastAsiaTheme="minorHAnsi"/>
        </w:rPr>
        <w:t xml:space="preserve">≤ </w:t>
      </w:r>
      <w:r w:rsidR="00BB6781">
        <w:rPr>
          <w:rFonts w:eastAsiaTheme="minorHAnsi"/>
        </w:rPr>
        <w:t>31</w:t>
      </w:r>
      <w:r>
        <w:rPr>
          <w:rFonts w:eastAsiaTheme="minorHAnsi"/>
        </w:rPr>
        <w:t>% TRR) with much smaller %TRRs being found in muscle (</w:t>
      </w:r>
      <w:r w:rsidRPr="00235666">
        <w:rPr>
          <w:rFonts w:eastAsiaTheme="minorHAnsi"/>
        </w:rPr>
        <w:t xml:space="preserve">≤ </w:t>
      </w:r>
      <w:r>
        <w:rPr>
          <w:rFonts w:eastAsiaTheme="minorHAnsi"/>
        </w:rPr>
        <w:t>8.7% TRR), egg yolk (</w:t>
      </w:r>
      <w:r w:rsidRPr="00235666">
        <w:rPr>
          <w:rFonts w:eastAsiaTheme="minorHAnsi"/>
        </w:rPr>
        <w:t xml:space="preserve">≤ </w:t>
      </w:r>
      <w:r w:rsidR="00BB6781">
        <w:rPr>
          <w:rFonts w:eastAsiaTheme="minorHAnsi"/>
        </w:rPr>
        <w:t>11%</w:t>
      </w:r>
      <w:r>
        <w:rPr>
          <w:rFonts w:eastAsiaTheme="minorHAnsi"/>
        </w:rPr>
        <w:t xml:space="preserve"> TRR) and liver (</w:t>
      </w:r>
      <w:r w:rsidRPr="00235666">
        <w:rPr>
          <w:rFonts w:eastAsiaTheme="minorHAnsi"/>
        </w:rPr>
        <w:t>≤ </w:t>
      </w:r>
      <w:r>
        <w:rPr>
          <w:rFonts w:eastAsiaTheme="minorHAnsi"/>
        </w:rPr>
        <w:t>5.3% TRR). Absolute residues of parent were greatest in egg white (</w:t>
      </w:r>
      <w:r w:rsidRPr="00235666">
        <w:rPr>
          <w:rFonts w:eastAsiaTheme="minorHAnsi"/>
        </w:rPr>
        <w:t xml:space="preserve">≤ </w:t>
      </w:r>
      <w:r>
        <w:rPr>
          <w:rFonts w:eastAsiaTheme="minorHAnsi"/>
        </w:rPr>
        <w:t>0.025mg/kg), liver (</w:t>
      </w:r>
      <w:r w:rsidRPr="00235666">
        <w:rPr>
          <w:rFonts w:eastAsiaTheme="minorHAnsi"/>
        </w:rPr>
        <w:t>≤ </w:t>
      </w:r>
      <w:r>
        <w:rPr>
          <w:rFonts w:eastAsiaTheme="minorHAnsi"/>
        </w:rPr>
        <w:t>0.021 mg/kg) and fat (0.017 mg/kg) with lower residues present in egg yolk (0.011 to 0.012 mg/kg) and muscle (0.001 to 0.002 mg/kg).</w:t>
      </w:r>
    </w:p>
    <w:p w14:paraId="20169752" w14:textId="77777777" w:rsidR="001735AD" w:rsidRPr="00235666" w:rsidRDefault="001735AD" w:rsidP="00235666">
      <w:pPr>
        <w:pStyle w:val="APVMAText"/>
        <w:rPr>
          <w:rFonts w:eastAsiaTheme="minorHAnsi"/>
        </w:rPr>
      </w:pPr>
      <w:r w:rsidRPr="00235666">
        <w:rPr>
          <w:rFonts w:eastAsiaTheme="minorHAnsi"/>
        </w:rPr>
        <w:t xml:space="preserve">A major metabolite in both goats and hens was </w:t>
      </w:r>
      <w:r w:rsidRPr="00312B71">
        <w:rPr>
          <w:rFonts w:eastAsiaTheme="minorHAnsi"/>
        </w:rPr>
        <w:t>2,4,6-TCP sulphate conjugate</w:t>
      </w:r>
      <w:r w:rsidR="00BB6781">
        <w:rPr>
          <w:rFonts w:eastAsiaTheme="minorHAnsi"/>
        </w:rPr>
        <w:t xml:space="preserve"> (milk: 42</w:t>
      </w:r>
      <w:r>
        <w:rPr>
          <w:rFonts w:eastAsiaTheme="minorHAnsi"/>
        </w:rPr>
        <w:t xml:space="preserve">% TRR; 0.051 mg/kg, </w:t>
      </w:r>
      <w:r w:rsidR="00BB6781">
        <w:rPr>
          <w:rFonts w:eastAsiaTheme="minorHAnsi"/>
        </w:rPr>
        <w:t>egg yolk: 6</w:t>
      </w:r>
      <w:r w:rsidRPr="00312B71">
        <w:rPr>
          <w:rFonts w:eastAsiaTheme="minorHAnsi"/>
        </w:rPr>
        <w:t xml:space="preserve">8% TRR; 0.242 mg/kg, </w:t>
      </w:r>
      <w:r>
        <w:rPr>
          <w:rFonts w:eastAsiaTheme="minorHAnsi"/>
        </w:rPr>
        <w:t xml:space="preserve">hen </w:t>
      </w:r>
      <w:r w:rsidR="00BB6781">
        <w:rPr>
          <w:rFonts w:eastAsiaTheme="minorHAnsi"/>
        </w:rPr>
        <w:t>muscle: 48</w:t>
      </w:r>
      <w:r w:rsidRPr="00312B71">
        <w:rPr>
          <w:rFonts w:eastAsiaTheme="minorHAnsi"/>
        </w:rPr>
        <w:t xml:space="preserve">% TRR; 0.013 mg/kg, </w:t>
      </w:r>
      <w:r>
        <w:rPr>
          <w:rFonts w:eastAsiaTheme="minorHAnsi"/>
        </w:rPr>
        <w:t xml:space="preserve">hen </w:t>
      </w:r>
      <w:r w:rsidR="00BB6781">
        <w:rPr>
          <w:rFonts w:eastAsiaTheme="minorHAnsi"/>
        </w:rPr>
        <w:t>fat: 26</w:t>
      </w:r>
      <w:r w:rsidRPr="00312B71">
        <w:rPr>
          <w:rFonts w:eastAsiaTheme="minorHAnsi"/>
        </w:rPr>
        <w:t>% T</w:t>
      </w:r>
      <w:r w:rsidR="00BB6781">
        <w:rPr>
          <w:rFonts w:eastAsiaTheme="minorHAnsi"/>
        </w:rPr>
        <w:t>RR; 0.027 mg/kg, egg white: 14</w:t>
      </w:r>
      <w:r w:rsidRPr="00312B71">
        <w:rPr>
          <w:rFonts w:eastAsiaTheme="minorHAnsi"/>
        </w:rPr>
        <w:t>% TRR; 0.008 mg/kg)</w:t>
      </w:r>
      <w:r>
        <w:rPr>
          <w:rFonts w:eastAsiaTheme="minorHAnsi"/>
        </w:rPr>
        <w:t>. As this was the highest absolute residue in milk and was also significant in poultry commodities it will be included in the residue def</w:t>
      </w:r>
      <w:r w:rsidR="00991FF4">
        <w:rPr>
          <w:rFonts w:eastAsiaTheme="minorHAnsi"/>
        </w:rPr>
        <w:t>inition for</w:t>
      </w:r>
      <w:r>
        <w:rPr>
          <w:rFonts w:eastAsiaTheme="minorHAnsi"/>
        </w:rPr>
        <w:t xml:space="preserve"> risk assessment.</w:t>
      </w:r>
      <w:r w:rsidR="00991FF4">
        <w:rPr>
          <w:rFonts w:eastAsiaTheme="minorHAnsi"/>
        </w:rPr>
        <w:t xml:space="preserve"> This metabolite will not be included in the enforcement definition as parent is a suitable marker for misuse for more matrices, noting also that a separate analytical method is required for 2,4,6-TCP and that it is not expected to occur in animal matrices based on the estimated livestock dietary burden.</w:t>
      </w:r>
    </w:p>
    <w:p w14:paraId="1DB7E7B4" w14:textId="77777777" w:rsidR="001735AD" w:rsidRPr="00235666" w:rsidRDefault="001735AD" w:rsidP="00235666">
      <w:pPr>
        <w:pStyle w:val="APVMAText"/>
        <w:rPr>
          <w:rFonts w:eastAsiaTheme="minorHAnsi"/>
        </w:rPr>
      </w:pPr>
      <w:r w:rsidRPr="00235666">
        <w:rPr>
          <w:rFonts w:eastAsiaTheme="minorHAnsi"/>
        </w:rPr>
        <w:t xml:space="preserve">A metabolite that occurred in both goats and hens was </w:t>
      </w:r>
      <w:r w:rsidRPr="00312B71">
        <w:rPr>
          <w:rFonts w:eastAsiaTheme="minorHAnsi"/>
        </w:rPr>
        <w:t>SYN508272 (</w:t>
      </w:r>
      <w:r>
        <w:rPr>
          <w:rFonts w:eastAsiaTheme="minorHAnsi"/>
        </w:rPr>
        <w:t xml:space="preserve">goat </w:t>
      </w:r>
      <w:r w:rsidR="00BB6781">
        <w:rPr>
          <w:rFonts w:eastAsiaTheme="minorHAnsi"/>
        </w:rPr>
        <w:t>muscle: 18</w:t>
      </w:r>
      <w:r w:rsidRPr="00844E53">
        <w:rPr>
          <w:rFonts w:eastAsiaTheme="minorHAnsi"/>
        </w:rPr>
        <w:t>% TRR; 0.024 mg/</w:t>
      </w:r>
      <w:r>
        <w:rPr>
          <w:rFonts w:eastAsiaTheme="minorHAnsi"/>
        </w:rPr>
        <w:t xml:space="preserve">kg, milk: 11.0%TRR; 0.014 mg/kg, hen </w:t>
      </w:r>
      <w:r w:rsidRPr="00312B71">
        <w:rPr>
          <w:rFonts w:eastAsiaTheme="minorHAnsi"/>
        </w:rPr>
        <w:t xml:space="preserve">muscle: 46.3% TRR; 0.010 </w:t>
      </w:r>
      <w:r w:rsidR="00BB6781">
        <w:rPr>
          <w:rFonts w:eastAsiaTheme="minorHAnsi"/>
        </w:rPr>
        <w:t>mg/kg, egg white: 34</w:t>
      </w:r>
      <w:r w:rsidRPr="00312B71">
        <w:rPr>
          <w:rFonts w:eastAsiaTheme="minorHAnsi"/>
        </w:rPr>
        <w:t>% TRR; 0.018 mg/kg)</w:t>
      </w:r>
      <w:r>
        <w:rPr>
          <w:rFonts w:eastAsiaTheme="minorHAnsi"/>
        </w:rPr>
        <w:t>. As this metabolite occurred at relatively low absolute levels it will not be included in the residue definition.</w:t>
      </w:r>
    </w:p>
    <w:p w14:paraId="33409FBC" w14:textId="19B73B9B" w:rsidR="001735AD" w:rsidRDefault="001735AD" w:rsidP="00235666">
      <w:pPr>
        <w:pStyle w:val="APVMAText"/>
        <w:rPr>
          <w:rFonts w:eastAsiaTheme="minorHAnsi"/>
        </w:rPr>
      </w:pPr>
      <w:r w:rsidRPr="00235666">
        <w:rPr>
          <w:rFonts w:eastAsiaTheme="minorHAnsi"/>
        </w:rPr>
        <w:t xml:space="preserve">A major metabolite in goat only was </w:t>
      </w:r>
      <w:r w:rsidRPr="00844E53">
        <w:rPr>
          <w:rFonts w:eastAsiaTheme="minorHAnsi"/>
        </w:rPr>
        <w:t>SYN548263 (kidney: 16.6% TRR; 0.389 mg/kg, milk: 14.2% TRR; 0.019 mg/kg)</w:t>
      </w:r>
      <w:r>
        <w:rPr>
          <w:rFonts w:eastAsiaTheme="minorHAnsi"/>
        </w:rPr>
        <w:t>. This was the highest absolute residue in goat kidney. However, it was not a significant residue in the dairy cattle transfer study (&lt;0.01 mg/kg after dosing at 15 ppm)</w:t>
      </w:r>
      <w:r w:rsidR="0087142F">
        <w:rPr>
          <w:rFonts w:eastAsiaTheme="minorHAnsi"/>
        </w:rPr>
        <w:t xml:space="preserve"> and therefore</w:t>
      </w:r>
      <w:r>
        <w:rPr>
          <w:rFonts w:eastAsiaTheme="minorHAnsi"/>
        </w:rPr>
        <w:t xml:space="preserve"> will not be included in the residue definition for animal commodities.</w:t>
      </w:r>
    </w:p>
    <w:p w14:paraId="1EF3C01F" w14:textId="77777777" w:rsidR="00FF0655" w:rsidRDefault="00FF0655" w:rsidP="00235666">
      <w:pPr>
        <w:pStyle w:val="APVMAText"/>
        <w:rPr>
          <w:rFonts w:eastAsiaTheme="minorHAnsi"/>
        </w:rPr>
        <w:sectPr w:rsidR="00FF0655">
          <w:headerReference w:type="default" r:id="rId36"/>
          <w:pgSz w:w="11906" w:h="16838" w:code="9"/>
          <w:pgMar w:top="2835" w:right="1134" w:bottom="1134" w:left="1134" w:header="1701" w:footer="680" w:gutter="0"/>
          <w:cols w:space="708"/>
          <w:docGrid w:linePitch="360"/>
        </w:sectPr>
      </w:pPr>
    </w:p>
    <w:p w14:paraId="513CC3BE" w14:textId="5702BC04" w:rsidR="001735AD" w:rsidRDefault="001735AD" w:rsidP="00235666">
      <w:pPr>
        <w:pStyle w:val="APVMAText"/>
        <w:rPr>
          <w:rFonts w:eastAsiaTheme="minorHAnsi"/>
        </w:rPr>
      </w:pPr>
      <w:r>
        <w:rPr>
          <w:rFonts w:eastAsiaTheme="minorHAnsi"/>
        </w:rPr>
        <w:lastRenderedPageBreak/>
        <w:t xml:space="preserve">A metabolite found in liver and kidney in the goat metabolism study was SYN547897 </w:t>
      </w:r>
      <w:r w:rsidR="00FF0655">
        <w:rPr>
          <w:rFonts w:eastAsiaTheme="minorHAnsi"/>
        </w:rPr>
        <w:br/>
      </w:r>
      <w:r>
        <w:rPr>
          <w:rFonts w:eastAsiaTheme="minorHAnsi"/>
        </w:rPr>
        <w:t>(up to 3%</w:t>
      </w:r>
      <w:r w:rsidR="00BB6781">
        <w:rPr>
          <w:rFonts w:eastAsiaTheme="minorHAnsi"/>
        </w:rPr>
        <w:t xml:space="preserve"> TRR</w:t>
      </w:r>
      <w:r>
        <w:rPr>
          <w:rFonts w:eastAsiaTheme="minorHAnsi"/>
        </w:rPr>
        <w:t>, 0.268 mg/kg). As this was the major residue in liver and kidney in the dairy cattle transfer study it will be included in the residue def</w:t>
      </w:r>
      <w:r w:rsidR="007B49B3">
        <w:rPr>
          <w:rFonts w:eastAsiaTheme="minorHAnsi"/>
        </w:rPr>
        <w:t>inition for</w:t>
      </w:r>
      <w:r>
        <w:rPr>
          <w:rFonts w:eastAsiaTheme="minorHAnsi"/>
        </w:rPr>
        <w:t xml:space="preserve"> risk assessmen</w:t>
      </w:r>
      <w:r w:rsidR="007B49B3">
        <w:rPr>
          <w:rFonts w:eastAsiaTheme="minorHAnsi"/>
        </w:rPr>
        <w:t>t</w:t>
      </w:r>
      <w:r>
        <w:rPr>
          <w:rFonts w:eastAsiaTheme="minorHAnsi"/>
        </w:rPr>
        <w:t>.</w:t>
      </w:r>
      <w:r w:rsidR="007B49B3">
        <w:rPr>
          <w:rFonts w:eastAsiaTheme="minorHAnsi"/>
        </w:rPr>
        <w:t xml:space="preserve"> This metabolite will not be included in the enforcement definition as parent is a suitable marker for misuse for more matrices, noting also that a separate analytical method is required for SYN547897 and that it is not expected to occur in animal matrices based on the estimated livestock dietary burden.</w:t>
      </w:r>
    </w:p>
    <w:p w14:paraId="232E1EB3" w14:textId="48F7BB03" w:rsidR="001735AD" w:rsidRPr="00235666" w:rsidRDefault="001735AD" w:rsidP="00235666">
      <w:pPr>
        <w:pStyle w:val="APVMAText"/>
        <w:rPr>
          <w:rFonts w:eastAsiaTheme="minorHAnsi"/>
        </w:rPr>
      </w:pPr>
      <w:r>
        <w:rPr>
          <w:rFonts w:eastAsiaTheme="minorHAnsi"/>
        </w:rPr>
        <w:t>NOA449410 was found in both g</w:t>
      </w:r>
      <w:r w:rsidR="00BB6781">
        <w:rPr>
          <w:rFonts w:eastAsiaTheme="minorHAnsi"/>
        </w:rPr>
        <w:t>oats and hens (goat kidney: 12</w:t>
      </w:r>
      <w:r>
        <w:rPr>
          <w:rFonts w:eastAsiaTheme="minorHAnsi"/>
        </w:rPr>
        <w:t>% T</w:t>
      </w:r>
      <w:r w:rsidR="00BB6781">
        <w:rPr>
          <w:rFonts w:eastAsiaTheme="minorHAnsi"/>
        </w:rPr>
        <w:t>RR, 0.275 mg/kg; egg white: 15</w:t>
      </w:r>
      <w:r>
        <w:rPr>
          <w:rFonts w:eastAsiaTheme="minorHAnsi"/>
        </w:rPr>
        <w:t>% TRR; 0.008 mg/kg). This was a significant residue in goat kidney, but was not the highest absolute residue. It will not be included in the enfo</w:t>
      </w:r>
      <w:r w:rsidR="007B49B3">
        <w:rPr>
          <w:rFonts w:eastAsiaTheme="minorHAnsi"/>
        </w:rPr>
        <w:t>rcement definition as parent is a suitable marker</w:t>
      </w:r>
      <w:r>
        <w:rPr>
          <w:rFonts w:eastAsiaTheme="minorHAnsi"/>
        </w:rPr>
        <w:t xml:space="preserve"> for misuse. </w:t>
      </w:r>
      <w:r w:rsidRPr="00235666">
        <w:rPr>
          <w:rFonts w:eastAsiaTheme="minorHAnsi"/>
        </w:rPr>
        <w:t xml:space="preserve">NOA449410 will also not be included in the definition for dietary risk assessment for pydiflumetofen for commodities of animal origin as it </w:t>
      </w:r>
      <w:r w:rsidR="00E151CF">
        <w:rPr>
          <w:rFonts w:eastAsiaTheme="minorHAnsi"/>
        </w:rPr>
        <w:t xml:space="preserve">is considered </w:t>
      </w:r>
      <w:r w:rsidRPr="00235666">
        <w:rPr>
          <w:rFonts w:eastAsiaTheme="minorHAnsi"/>
        </w:rPr>
        <w:t>to be of low toxicological concern.</w:t>
      </w:r>
    </w:p>
    <w:p w14:paraId="3B5C883A" w14:textId="77777777" w:rsidR="001735AD" w:rsidRPr="00235666" w:rsidRDefault="000F38E4" w:rsidP="00235666">
      <w:pPr>
        <w:pStyle w:val="APVMAText"/>
        <w:rPr>
          <w:rFonts w:eastAsiaTheme="minorHAnsi"/>
        </w:rPr>
      </w:pPr>
      <w:r>
        <w:rPr>
          <w:rFonts w:eastAsiaTheme="minorHAnsi"/>
        </w:rPr>
        <w:t>Based on the goat and hen metabolism studies and the dietary burden expected as a result of the uses considered here, t</w:t>
      </w:r>
      <w:r w:rsidR="001735AD" w:rsidRPr="00235666">
        <w:rPr>
          <w:rFonts w:eastAsiaTheme="minorHAnsi"/>
        </w:rPr>
        <w:t>he recommended residue definition of commodities of animal origi</w:t>
      </w:r>
      <w:r w:rsidR="007B49B3">
        <w:rPr>
          <w:rFonts w:eastAsiaTheme="minorHAnsi"/>
        </w:rPr>
        <w:t>n for enforcement is pydiflumetofen. The recommended residue definition for commodities of animal origin for risk assessment</w:t>
      </w:r>
      <w:r w:rsidR="001735AD" w:rsidRPr="00235666">
        <w:rPr>
          <w:rFonts w:eastAsiaTheme="minorHAnsi"/>
        </w:rPr>
        <w:t xml:space="preserve"> </w:t>
      </w:r>
      <w:r w:rsidR="007B49B3">
        <w:rPr>
          <w:rFonts w:eastAsiaTheme="minorHAnsi"/>
        </w:rPr>
        <w:t>is the sum of pydiflumetofen,</w:t>
      </w:r>
      <w:r w:rsidR="001735AD" w:rsidRPr="00235666">
        <w:rPr>
          <w:rFonts w:eastAsiaTheme="minorHAnsi"/>
        </w:rPr>
        <w:t xml:space="preserve"> 2,4,6-trichlorophenyl (free and conjugated) </w:t>
      </w:r>
      <w:r w:rsidR="007B49B3">
        <w:rPr>
          <w:rFonts w:eastAsiaTheme="minorHAnsi"/>
        </w:rPr>
        <w:t>and</w:t>
      </w:r>
      <w:r w:rsidR="001735AD" w:rsidRPr="00235666">
        <w:rPr>
          <w:rFonts w:eastAsiaTheme="minorHAnsi"/>
        </w:rPr>
        <w:t xml:space="preserve"> 3-difluoromethyl-1-methyl-1H-pyrazole-4-carboxylic acid methoxy-[1-methyl-2-(2,4,6-trichloro-3-hydroxy-phenyl)-ethyl]-amide (SYN5478</w:t>
      </w:r>
      <w:r w:rsidR="007B49B3">
        <w:rPr>
          <w:rFonts w:eastAsiaTheme="minorHAnsi"/>
        </w:rPr>
        <w:t>97), expressed as pydiflumetofen.</w:t>
      </w:r>
    </w:p>
    <w:p w14:paraId="67E2F2AF" w14:textId="77777777" w:rsidR="001735AD" w:rsidRDefault="00235666" w:rsidP="00235666">
      <w:pPr>
        <w:pStyle w:val="Heading2"/>
        <w:rPr>
          <w:lang w:val="en-GB"/>
        </w:rPr>
      </w:pPr>
      <w:bookmarkStart w:id="24" w:name="_Toc507406667"/>
      <w:r>
        <w:rPr>
          <w:lang w:val="en-GB"/>
        </w:rPr>
        <w:t>Residue trials</w:t>
      </w:r>
      <w:bookmarkEnd w:id="24"/>
    </w:p>
    <w:p w14:paraId="088506B5" w14:textId="77777777" w:rsidR="001735AD" w:rsidRPr="00235666" w:rsidRDefault="00235666" w:rsidP="00C015B2">
      <w:pPr>
        <w:pStyle w:val="Heading3"/>
        <w:rPr>
          <w:lang w:val="en-GB"/>
        </w:rPr>
      </w:pPr>
      <w:r>
        <w:rPr>
          <w:lang w:val="en-GB"/>
        </w:rPr>
        <w:t>Canola</w:t>
      </w:r>
    </w:p>
    <w:p w14:paraId="725F0D24" w14:textId="07DE22DC" w:rsidR="0032309D" w:rsidRDefault="0032309D">
      <w:pPr>
        <w:pStyle w:val="APVMAText"/>
      </w:pPr>
      <w:r>
        <w:t>The proposed maximum GAP for canola is for a single application at the 4</w:t>
      </w:r>
      <w:r w:rsidR="00FF0655">
        <w:t>–</w:t>
      </w:r>
      <w:r>
        <w:t>6 leaf stage (BBCH14-16) at up to 120 g ai/ha. The proposed harvest withholding period is “Not required when used as directed”, the proposed grazing withholding period is 6 weeks.</w:t>
      </w:r>
    </w:p>
    <w:p w14:paraId="4388118B" w14:textId="3F773321" w:rsidR="00235666" w:rsidRPr="0032309D" w:rsidRDefault="00235666">
      <w:pPr>
        <w:pStyle w:val="APVMAText"/>
      </w:pPr>
      <w:r>
        <w:t xml:space="preserve">In Australian trials which are most representative of the proposed GAP, residues in the seed at harvest </w:t>
      </w:r>
      <w:r w:rsidR="00FF0655">
        <w:br/>
      </w:r>
      <w:r>
        <w:t>110</w:t>
      </w:r>
      <w:r w:rsidR="00FF0655">
        <w:t>–</w:t>
      </w:r>
      <w:r>
        <w:t>189 days after application at 99</w:t>
      </w:r>
      <w:r w:rsidR="00FF0655">
        <w:t>–</w:t>
      </w:r>
      <w:r>
        <w:t>116 g ai/ha at the 4</w:t>
      </w:r>
      <w:r w:rsidR="00FF0655">
        <w:t>–</w:t>
      </w:r>
      <w:r>
        <w:t xml:space="preserve">6 leaf growth stage were &lt;0.01 (n = 4) mg/kg. (actual </w:t>
      </w:r>
      <w:r w:rsidR="00222197">
        <w:t xml:space="preserve">estimated </w:t>
      </w:r>
      <w:r>
        <w:t>values ranged from 0.003</w:t>
      </w:r>
      <w:r w:rsidR="00FF0655">
        <w:t>–</w:t>
      </w:r>
      <w:r>
        <w:t xml:space="preserve">0.006 mg/kg, all </w:t>
      </w:r>
      <w:r w:rsidR="00A2254A">
        <w:t xml:space="preserve">between the LOD and </w:t>
      </w:r>
      <w:r>
        <w:t>LOQ). In EU trials involving a single treatment at 200 g ai/ha at BBCH 65</w:t>
      </w:r>
      <w:r w:rsidR="00FF0655">
        <w:t>–</w:t>
      </w:r>
      <w:r>
        <w:t>71 (46</w:t>
      </w:r>
      <w:r w:rsidR="00FF0655">
        <w:t>–</w:t>
      </w:r>
      <w:r>
        <w:t>85 days before harvest) residues in the seed were &lt;0.01 (6), 0.01 (2), 0.02, 0.03, 0.04 and 0.05 mg/kg.</w:t>
      </w:r>
      <w:r w:rsidR="007B49B3">
        <w:t xml:space="preserve"> Scaled for the proposed application rate of </w:t>
      </w:r>
      <w:r w:rsidR="00FF0655">
        <w:br/>
      </w:r>
      <w:r w:rsidR="007B49B3">
        <w:t>120 g ai/ha residues in the EU trials were &lt;0.01 (8), 0.01, 0.02 (2) and 0.03 mg/kg.</w:t>
      </w:r>
    </w:p>
    <w:p w14:paraId="5615D7E3" w14:textId="342D5FDD" w:rsidR="00235666" w:rsidRDefault="00235666">
      <w:pPr>
        <w:pStyle w:val="APVMAText"/>
      </w:pPr>
      <w:r>
        <w:t xml:space="preserve">Based on the Australian and EU data for </w:t>
      </w:r>
      <w:r w:rsidR="00EF4DEA">
        <w:t xml:space="preserve">canola </w:t>
      </w:r>
      <w:r>
        <w:t>seed, the OECD calculator recommends an MRL of</w:t>
      </w:r>
      <w:r w:rsidR="00FF0655">
        <w:br/>
      </w:r>
      <w:r>
        <w:t>0.</w:t>
      </w:r>
      <w:r w:rsidR="007B49B3">
        <w:t>04</w:t>
      </w:r>
      <w:r>
        <w:t xml:space="preserve"> mg/kg. This MRL will likely be conservative as the EU data involves </w:t>
      </w:r>
      <w:r w:rsidR="007B49B3">
        <w:t>application at a</w:t>
      </w:r>
      <w:r>
        <w:t xml:space="preserve"> later growth sta</w:t>
      </w:r>
      <w:r w:rsidR="007B49B3">
        <w:t>ge than proposed. An MRL of 0.05</w:t>
      </w:r>
      <w:r>
        <w:t xml:space="preserve"> mg/kg is proposed for pydiflumetofen on SO 0495 Rape seed [can</w:t>
      </w:r>
      <w:r w:rsidR="005767C8">
        <w:t>ola] in conjunction with a harvest withholding period of</w:t>
      </w:r>
      <w:r>
        <w:t xml:space="preserve"> </w:t>
      </w:r>
      <w:r w:rsidRPr="005767C8">
        <w:t>“Not required when used as directed”</w:t>
      </w:r>
      <w:r w:rsidR="005767C8">
        <w:t xml:space="preserve"> and a latest growth stage for application of 4</w:t>
      </w:r>
      <w:r w:rsidR="00FF0655">
        <w:t>–</w:t>
      </w:r>
      <w:r w:rsidR="005767C8">
        <w:t>6 leaf</w:t>
      </w:r>
      <w:r w:rsidRPr="005767C8">
        <w:t>.</w:t>
      </w:r>
    </w:p>
    <w:p w14:paraId="3C83F50C" w14:textId="4C4DB0D3" w:rsidR="003E5A48" w:rsidRDefault="003E5A48">
      <w:pPr>
        <w:pStyle w:val="APVMAText"/>
        <w:rPr>
          <w:lang w:val="en-GB"/>
        </w:rPr>
      </w:pPr>
      <w:r>
        <w:t>Residues did not concentrate on processing to refined canola oil (average processing factor 0.37×). It is therefore not necessary to establish a separate MRL for this commodity.</w:t>
      </w:r>
    </w:p>
    <w:p w14:paraId="22D64923" w14:textId="77777777" w:rsidR="00FF0655" w:rsidRDefault="00FF0655">
      <w:pPr>
        <w:pStyle w:val="APVMAText"/>
        <w:sectPr w:rsidR="00FF0655">
          <w:pgSz w:w="11906" w:h="16838" w:code="9"/>
          <w:pgMar w:top="2835" w:right="1134" w:bottom="1134" w:left="1134" w:header="1701" w:footer="680" w:gutter="0"/>
          <w:cols w:space="708"/>
          <w:docGrid w:linePitch="360"/>
        </w:sectPr>
      </w:pPr>
    </w:p>
    <w:p w14:paraId="1F0809DE" w14:textId="4D278EA2" w:rsidR="00235666" w:rsidRDefault="00235666">
      <w:pPr>
        <w:pStyle w:val="APVMAText"/>
        <w:rPr>
          <w:lang w:val="en-GB"/>
        </w:rPr>
      </w:pPr>
      <w:r>
        <w:lastRenderedPageBreak/>
        <w:t xml:space="preserve">In Australian trials which are most representative of the proposed GAP, residues in the hay at harvest </w:t>
      </w:r>
      <w:r w:rsidR="00FF0655">
        <w:br/>
      </w:r>
      <w:r>
        <w:t>110</w:t>
      </w:r>
      <w:r w:rsidR="00FF0655">
        <w:t>–</w:t>
      </w:r>
      <w:r>
        <w:t>189 days after application at 99</w:t>
      </w:r>
      <w:r w:rsidR="00FF0655">
        <w:t>–</w:t>
      </w:r>
      <w:r>
        <w:t>116 g ai/ha at the 4</w:t>
      </w:r>
      <w:r w:rsidR="00FF0655">
        <w:t>–</w:t>
      </w:r>
      <w:r>
        <w:t xml:space="preserve">6 leaf growth stage were 0.02, 0.02, 0.03 and </w:t>
      </w:r>
      <w:r w:rsidR="00FF0655">
        <w:br/>
      </w:r>
      <w:r>
        <w:t xml:space="preserve">0.03 mg/kg (dry weight). Residues in canola forage in these trials at 42 days after application were </w:t>
      </w:r>
      <w:r w:rsidR="00FF0655">
        <w:br/>
      </w:r>
      <w:r>
        <w:t>0.83, 0.83, 1.09 and 1.38 mg/kg dry weight. In EU trials involving treatment at 200 g ai/ha at BBCH 65</w:t>
      </w:r>
      <w:r w:rsidR="00FF0655">
        <w:t>–</w:t>
      </w:r>
      <w:r>
        <w:t>71 residues in plant material at 42 DAT were 0.07, 0.11, 0.17, 0.18, 0.18, 0.23, 0.25 and 0.48 mg/kg fresh weight. Correcting for an assumed dry matter content of 30%, the HR in the EU trials is 1.6 mg/kg.</w:t>
      </w:r>
    </w:p>
    <w:p w14:paraId="126F3A6E" w14:textId="7E86806E" w:rsidR="00235666" w:rsidRDefault="00EF4DEA">
      <w:pPr>
        <w:pStyle w:val="APVMAText"/>
        <w:rPr>
          <w:lang w:val="en-GB"/>
        </w:rPr>
      </w:pPr>
      <w:r>
        <w:t>Based on the Australian and EU forage data the OE</w:t>
      </w:r>
      <w:r w:rsidR="005B777A">
        <w:t>CD MRL calculator recommends an</w:t>
      </w:r>
      <w:r>
        <w:t xml:space="preserve"> MRL of 3 mg/kg. Based on the data for hay/straw at harvest in the Australian trials the OECD MRL calculator recommends an MRL of 0.08 mg/kg</w:t>
      </w:r>
      <w:r w:rsidR="00222197">
        <w:t>,</w:t>
      </w:r>
      <w:r>
        <w:t xml:space="preserve"> noting the data set is small. An MRL of 3 mg/kg is proposed for pydiflumetofen on canola forage in conjunction with a 6 week grazing withholding period. An MRL of 0.1 mg/kg is proposed for Canola straw and fodder (dry).</w:t>
      </w:r>
    </w:p>
    <w:p w14:paraId="50214AF4" w14:textId="37731CA9" w:rsidR="00EF4DEA" w:rsidRPr="00C015B2" w:rsidRDefault="00EF4DEA">
      <w:pPr>
        <w:pStyle w:val="APVMAText"/>
      </w:pPr>
      <w:r>
        <w:t xml:space="preserve">The highest transfer factor for canola meal </w:t>
      </w:r>
      <w:r w:rsidR="003E5A48">
        <w:t xml:space="preserve">(which is a feed for livestock) </w:t>
      </w:r>
      <w:r>
        <w:t>was 0.09×. Applying this to the HR of canola seed of 0.</w:t>
      </w:r>
      <w:r w:rsidR="007B49B3">
        <w:t>03 mg/kg gives an HR-P of 0.003</w:t>
      </w:r>
      <w:r>
        <w:t xml:space="preserve"> mg/kg. A Table 4 entry of 0.01 mg/kg is recommended for pydiflumetofen on canola meal. The STMR-P for canola meal is 0.01 × 0.09 = 0.001 mg/kg.</w:t>
      </w:r>
    </w:p>
    <w:p w14:paraId="284546F0" w14:textId="77777777" w:rsidR="00EF4DEA" w:rsidRPr="00EF4DEA" w:rsidRDefault="00EF4DEA" w:rsidP="00C015B2">
      <w:pPr>
        <w:pStyle w:val="Heading3"/>
        <w:rPr>
          <w:lang w:val="en-GB"/>
        </w:rPr>
      </w:pPr>
      <w:r>
        <w:rPr>
          <w:lang w:val="en-GB"/>
        </w:rPr>
        <w:t>Potatoes</w:t>
      </w:r>
    </w:p>
    <w:p w14:paraId="04BF25EE" w14:textId="672A43F0" w:rsidR="0032309D" w:rsidRDefault="0032309D" w:rsidP="0032309D">
      <w:pPr>
        <w:pStyle w:val="APVMAText"/>
      </w:pPr>
      <w:r>
        <w:t xml:space="preserve">The proposed use on potatoes </w:t>
      </w:r>
      <w:r w:rsidR="00222197">
        <w:t>is for</w:t>
      </w:r>
      <w:r>
        <w:t xml:space="preserve"> application of pydiflumetofen at up to 75 g ai/ha with a minimum 7 day re-treatment interval and a 7 day harvest withholding period.</w:t>
      </w:r>
    </w:p>
    <w:p w14:paraId="341ECC8A" w14:textId="361FE0C4" w:rsidR="00EF4DEA" w:rsidRDefault="00EF4DEA">
      <w:pPr>
        <w:pStyle w:val="APVMAText"/>
        <w:rPr>
          <w:lang w:val="en-GB"/>
        </w:rPr>
      </w:pPr>
      <w:r>
        <w:t>In Australian trials, residues of pydiflumetofen in potato tubers at 7 days after the last of 3 applications at the nominal rate of 75 g ai/ha (1×) were &lt;0.01 (n = 6) mg/kg. In European trials, residues of pydiflumetofen in potato tubers at 7 days after the last of 3 application at the nominal rate of 70 g ai/ha (~1×) were &lt;0.01</w:t>
      </w:r>
      <w:r w:rsidR="00FF0655">
        <w:br/>
      </w:r>
      <w:r>
        <w:t>(n = 7) mg/kg.</w:t>
      </w:r>
    </w:p>
    <w:p w14:paraId="1C99A300" w14:textId="77777777" w:rsidR="00EF4DEA" w:rsidRDefault="00EF4DEA">
      <w:pPr>
        <w:pStyle w:val="APVMAText"/>
        <w:rPr>
          <w:lang w:val="en-GB"/>
        </w:rPr>
      </w:pPr>
      <w:r>
        <w:t>An MRL of *0.01 mg/kg is recommended for pydiflumetofen on VR 0589 Potato in conjunction with a 7 day withholding period.</w:t>
      </w:r>
    </w:p>
    <w:p w14:paraId="4D0EFACF" w14:textId="77777777" w:rsidR="00EF4DEA" w:rsidRPr="00EF4DEA" w:rsidRDefault="00EF4DEA" w:rsidP="00C015B2">
      <w:pPr>
        <w:pStyle w:val="Heading3"/>
        <w:rPr>
          <w:lang w:val="en-GB"/>
        </w:rPr>
      </w:pPr>
      <w:r>
        <w:rPr>
          <w:lang w:val="en-GB"/>
        </w:rPr>
        <w:t>Grapes</w:t>
      </w:r>
    </w:p>
    <w:p w14:paraId="52B8BFCC" w14:textId="77777777" w:rsidR="0032309D" w:rsidRDefault="0032309D" w:rsidP="0032309D">
      <w:pPr>
        <w:pStyle w:val="APVMAText"/>
      </w:pPr>
      <w:r>
        <w:t>The proposed use of pydiflumetofen on grapes is for 2 applications at 4 g ai/100L with a minimum 14 days between applications, with application up until pre-flowering EL-19 (BBCH 49). The proposed harvest withholding period is “Not required when used as directed”.</w:t>
      </w:r>
    </w:p>
    <w:p w14:paraId="14A2E4D5" w14:textId="77777777" w:rsidR="00EF4DEA" w:rsidRDefault="00EF4DEA">
      <w:pPr>
        <w:pStyle w:val="APVMAText"/>
        <w:rPr>
          <w:lang w:val="en-GB"/>
        </w:rPr>
      </w:pPr>
      <w:r>
        <w:t>In Australian table grape trials, residues of pydiflumetofen in grapes at 35 days after the last of 3 applications at 4 g ai/100 L were 0.04 (3) and 0.05 mg/kg. In Australian wine grape trials, residues of pydiflumetofen in grapes at harvest after 3 applications at 4 g ai/100 L with the last application at EL-31 were 0.03 (3), 0.04 (2) and 0.05 mg/kg.</w:t>
      </w:r>
    </w:p>
    <w:p w14:paraId="48316C30" w14:textId="74760553" w:rsidR="0032309D" w:rsidRDefault="00EF4DEA">
      <w:pPr>
        <w:pStyle w:val="APVMAText"/>
      </w:pPr>
      <w:r>
        <w:t xml:space="preserve">Based on the Australian data involving application at 4 g ai/100 L the OECD MRL calculator recommends an </w:t>
      </w:r>
      <w:r w:rsidR="0032309D">
        <w:t>unrounded MRL of 0.12 mg/kg, noting that the HR was 0.05 mg/kg</w:t>
      </w:r>
      <w:r>
        <w:t>. I</w:t>
      </w:r>
      <w:r w:rsidR="007B49B3">
        <w:t>t is proposed that an MRL of 0.1</w:t>
      </w:r>
      <w:r>
        <w:t xml:space="preserve"> mg/kg be established for pydiflumetofen on FB 0269 Grapes</w:t>
      </w:r>
      <w:r w:rsidR="005767C8">
        <w:t xml:space="preserve"> in conjunction with a harvest</w:t>
      </w:r>
      <w:r w:rsidR="004944BF">
        <w:t xml:space="preserve"> withholding period </w:t>
      </w:r>
      <w:r w:rsidR="005767C8" w:rsidRPr="005767C8">
        <w:t>of</w:t>
      </w:r>
      <w:r w:rsidR="004E6F40">
        <w:t xml:space="preserve"> ‘</w:t>
      </w:r>
      <w:r w:rsidR="004944BF" w:rsidRPr="005767C8">
        <w:t>Not required when used as directed</w:t>
      </w:r>
      <w:r w:rsidR="004E6F40">
        <w:t>’</w:t>
      </w:r>
      <w:r w:rsidR="005767C8">
        <w:t xml:space="preserve"> and a latest growth stage for application of EL19</w:t>
      </w:r>
      <w:r>
        <w:t xml:space="preserve">. </w:t>
      </w:r>
    </w:p>
    <w:p w14:paraId="2B1038BE" w14:textId="0BB27C35" w:rsidR="00EF4DEA" w:rsidRDefault="00EF4DEA">
      <w:pPr>
        <w:pStyle w:val="APVMAText"/>
        <w:rPr>
          <w:lang w:val="en-GB"/>
        </w:rPr>
      </w:pPr>
      <w:r>
        <w:lastRenderedPageBreak/>
        <w:t>It is noted that residues in wine after 3 applications to grapes at 4 g ai/100 L up to growth stage EL-31 were all &lt;0.003 (n = 6) mg/kg.</w:t>
      </w:r>
      <w:r w:rsidR="0032309D">
        <w:t xml:space="preserve"> Processing studies from the US and EU also showed that residues of pydiflumetofen do not concentrate in wine or juice (Processing factors ranged from 0.02</w:t>
      </w:r>
      <w:r w:rsidR="004E6F40">
        <w:t>–</w:t>
      </w:r>
      <w:r w:rsidR="0032309D">
        <w:t>0.57×).</w:t>
      </w:r>
    </w:p>
    <w:p w14:paraId="285D998E" w14:textId="7CD1EF08" w:rsidR="00EF4DEA" w:rsidRDefault="00EF4DEA">
      <w:pPr>
        <w:pStyle w:val="APVMAText"/>
        <w:rPr>
          <w:lang w:val="en-GB"/>
        </w:rPr>
      </w:pPr>
      <w:r>
        <w:t xml:space="preserve">Transfer factors for processing to raisins were 1.96, 2.40, 2.81 and 3.14×. Based on a HR in grapes of </w:t>
      </w:r>
      <w:r w:rsidR="004E6F40">
        <w:br/>
      </w:r>
      <w:r>
        <w:t xml:space="preserve">0.05 mg/kg and a highest processing factor of 3.14×, the HR-P for raisins is 0.16 mg/kg. An MRL of </w:t>
      </w:r>
      <w:r w:rsidR="004E6F40">
        <w:br/>
      </w:r>
      <w:r>
        <w:t>0.3 mg/kg is proposed for pydiflumetofen on DF 0269 Dried grapes (=Currants, Raisins and Sultanas).</w:t>
      </w:r>
    </w:p>
    <w:p w14:paraId="29D8AFD5" w14:textId="77777777" w:rsidR="00235666" w:rsidRDefault="00EF4DEA">
      <w:pPr>
        <w:pStyle w:val="APVMAText"/>
        <w:rPr>
          <w:lang w:val="en-GB"/>
        </w:rPr>
      </w:pPr>
      <w:r>
        <w:t>Transfer factors for dry pomace were 9.91, 10.57, 19.26 and 28.94×. Based on a HR in grapes of 0.05 mg/kg and a highest processing factor of 28.94× the HR-P for dry pomace is 1.45 mg/kg. An MRL of 2 mg/kg is recommended for pydiflumetofen on AB 0269 Grape pomace, dry. The STMR-P for grape pomace dry is 0.04 × 14.92 = 0.060 mg/kg.</w:t>
      </w:r>
    </w:p>
    <w:p w14:paraId="78DE50A6" w14:textId="77777777" w:rsidR="00EF4DEA" w:rsidRPr="00EF4DEA" w:rsidRDefault="00EF4DEA" w:rsidP="00C015B2">
      <w:pPr>
        <w:pStyle w:val="Heading3"/>
        <w:rPr>
          <w:lang w:val="en-GB"/>
        </w:rPr>
      </w:pPr>
      <w:r>
        <w:rPr>
          <w:lang w:val="en-GB"/>
        </w:rPr>
        <w:t>Rotational crops</w:t>
      </w:r>
    </w:p>
    <w:p w14:paraId="03C8DB15" w14:textId="77777777" w:rsidR="00EF4DEA" w:rsidRDefault="00EF4DEA">
      <w:pPr>
        <w:pStyle w:val="APVMAText"/>
        <w:rPr>
          <w:lang w:val="en-GB"/>
        </w:rPr>
      </w:pPr>
      <w:r>
        <w:t>Considering the available rotational crop data, low residues of pydiflumetofen may be expected to occur in cereal straw in following crops that have not been directly treated (estimated HR 0.06 mg/kg). To cover this possibility, an MRL of 0.1 mg/kg is proposed for pydiflumetofen on Primary feed commodities [except Canola forage; and Canola straw and fodder (dry)].</w:t>
      </w:r>
    </w:p>
    <w:p w14:paraId="4B8961F6" w14:textId="77777777" w:rsidR="00EF4DEA" w:rsidRDefault="00EF4DEA">
      <w:pPr>
        <w:pStyle w:val="APVMAText"/>
        <w:rPr>
          <w:lang w:val="en-GB"/>
        </w:rPr>
      </w:pPr>
      <w:r>
        <w:t>Residues of pydiflumetofen in other food commodities from rotational crops are expected to be below the LOQ of 0.01 mg/kg. An MRL of *0.01 mg/kg is proposed for pydiflumetofen on “All other foods”</w:t>
      </w:r>
      <w:r w:rsidR="0032309D">
        <w:t xml:space="preserve"> for rotational crop purposes</w:t>
      </w:r>
      <w:r>
        <w:t>.</w:t>
      </w:r>
    </w:p>
    <w:p w14:paraId="57A64DDA" w14:textId="77777777" w:rsidR="004E6F40" w:rsidRDefault="004E6F40" w:rsidP="002E355A">
      <w:pPr>
        <w:pStyle w:val="Heading2"/>
        <w:rPr>
          <w:lang w:val="en-GB"/>
        </w:rPr>
        <w:sectPr w:rsidR="004E6F40">
          <w:pgSz w:w="11906" w:h="16838" w:code="9"/>
          <w:pgMar w:top="2835" w:right="1134" w:bottom="1134" w:left="1134" w:header="1701" w:footer="680" w:gutter="0"/>
          <w:cols w:space="708"/>
          <w:docGrid w:linePitch="360"/>
        </w:sectPr>
      </w:pPr>
    </w:p>
    <w:p w14:paraId="707FF015" w14:textId="1CCBF5ED" w:rsidR="00EF4DEA" w:rsidRDefault="002E355A" w:rsidP="002E355A">
      <w:pPr>
        <w:pStyle w:val="Heading2"/>
        <w:rPr>
          <w:lang w:val="en-GB"/>
        </w:rPr>
      </w:pPr>
      <w:bookmarkStart w:id="25" w:name="_Toc507406668"/>
      <w:r>
        <w:rPr>
          <w:lang w:val="en-GB"/>
        </w:rPr>
        <w:lastRenderedPageBreak/>
        <w:t>Animal commodity MRLs</w:t>
      </w:r>
      <w:bookmarkEnd w:id="25"/>
    </w:p>
    <w:p w14:paraId="772A4E09" w14:textId="77777777" w:rsidR="00EF4DEA" w:rsidRDefault="002E355A" w:rsidP="00C015B2">
      <w:pPr>
        <w:pStyle w:val="Heading3"/>
        <w:rPr>
          <w:lang w:val="en-GB"/>
        </w:rPr>
      </w:pPr>
      <w:r>
        <w:rPr>
          <w:lang w:val="en-GB"/>
        </w:rPr>
        <w:t>Ruminants</w:t>
      </w:r>
    </w:p>
    <w:p w14:paraId="2D00AB94" w14:textId="77777777" w:rsidR="002E355A" w:rsidRPr="002E355A" w:rsidRDefault="002E355A">
      <w:pPr>
        <w:pStyle w:val="APVMAText"/>
        <w:rPr>
          <w:lang w:val="en-GB"/>
        </w:rPr>
      </w:pPr>
      <w:r>
        <w:rPr>
          <w:rFonts w:eastAsiaTheme="minorEastAsia"/>
        </w:rPr>
        <w:t>Animal transfer studies were considered for lactating cattle where animals were dosed with pydiflumetofen for 28 days at 15, 45 or 150 ppm in the feed</w:t>
      </w:r>
      <w:r w:rsidR="00A66C24">
        <w:rPr>
          <w:rFonts w:eastAsiaTheme="minorEastAsia"/>
        </w:rPr>
        <w:t>. It</w:t>
      </w:r>
      <w:r w:rsidR="0032309D">
        <w:rPr>
          <w:rFonts w:eastAsiaTheme="minorEastAsia"/>
        </w:rPr>
        <w:t xml:space="preserve"> is noted that this study did not include a depuration phase</w:t>
      </w:r>
      <w:r>
        <w:rPr>
          <w:rFonts w:eastAsiaTheme="minorEastAsia"/>
        </w:rPr>
        <w:t>. The results of this study and the estimated livestock burdens are considered here.</w:t>
      </w:r>
    </w:p>
    <w:p w14:paraId="0DC30D6F" w14:textId="77777777" w:rsidR="00EF4DEA" w:rsidRDefault="002E355A">
      <w:pPr>
        <w:pStyle w:val="APVMAText"/>
        <w:rPr>
          <w:rFonts w:eastAsiaTheme="minorEastAsia"/>
        </w:rPr>
      </w:pPr>
      <w:r>
        <w:rPr>
          <w:rFonts w:eastAsiaTheme="minorEastAsia"/>
        </w:rPr>
        <w:t xml:space="preserve">For beef cattle the estimated maximum livestock dietary burden is 1.6 ppm based on a diet of 100% canola forage. For dairy cattle the estimated maximum livestock dietary burden is 0.7 ppm based on a diet of 40% canola forage, 20% grape pomace, 10% potato culls and 15% canola meal. Based on the animal transfer study residues </w:t>
      </w:r>
      <w:r w:rsidR="0032309D">
        <w:rPr>
          <w:rFonts w:eastAsiaTheme="minorEastAsia"/>
        </w:rPr>
        <w:t xml:space="preserve">of parent pydiflumetofen or its metabolites </w:t>
      </w:r>
      <w:r>
        <w:rPr>
          <w:rFonts w:eastAsiaTheme="minorEastAsia"/>
        </w:rPr>
        <w:t>above the LOQ are not expected to occur in tissues or milk as a result of these feeding levels as summarised in the following table:</w:t>
      </w:r>
    </w:p>
    <w:p w14:paraId="0EE70570" w14:textId="77777777" w:rsidR="002E355A" w:rsidRPr="00A54A75" w:rsidRDefault="002E355A" w:rsidP="004E6F40">
      <w:pPr>
        <w:pStyle w:val="Heading4"/>
        <w:rPr>
          <w:rFonts w:eastAsiaTheme="minorEastAsia"/>
        </w:rPr>
      </w:pPr>
      <w:r>
        <w:rPr>
          <w:rFonts w:eastAsiaTheme="minorEastAsia"/>
        </w:rPr>
        <w:t>C</w:t>
      </w:r>
      <w:r w:rsidRPr="00A54A75">
        <w:rPr>
          <w:rFonts w:eastAsiaTheme="minorEastAsia"/>
        </w:rPr>
        <w:t>attle</w:t>
      </w:r>
      <w:r>
        <w:rPr>
          <w:rFonts w:eastAsiaTheme="minorEastAsia"/>
        </w:rPr>
        <w:t xml:space="preserve"> </w:t>
      </w:r>
    </w:p>
    <w:tbl>
      <w:tblPr>
        <w:tblW w:w="5000" w:type="pct"/>
        <w:tblLook w:val="00A0" w:firstRow="1" w:lastRow="0" w:firstColumn="1" w:lastColumn="0" w:noHBand="0" w:noVBand="0"/>
        <w:tblCaption w:val="Estimated residues in animal commodities (cattle)"/>
        <w:tblDescription w:val="This table provides a description of the residues transferred to animal commodities following exposure at the estimated dietary burden of the agricultural chemical residue in the diet of cattle."/>
      </w:tblPr>
      <w:tblGrid>
        <w:gridCol w:w="2697"/>
        <w:gridCol w:w="1387"/>
        <w:gridCol w:w="1386"/>
        <w:gridCol w:w="1386"/>
        <w:gridCol w:w="1386"/>
        <w:gridCol w:w="1386"/>
      </w:tblGrid>
      <w:tr w:rsidR="002E355A" w:rsidRPr="00A54A75" w14:paraId="755117B4" w14:textId="77777777" w:rsidTr="004E6F40">
        <w:trPr>
          <w:tblHeader/>
        </w:trPr>
        <w:tc>
          <w:tcPr>
            <w:tcW w:w="1400" w:type="pct"/>
            <w:vMerge w:val="restart"/>
            <w:tcBorders>
              <w:top w:val="single" w:sz="4" w:space="0" w:color="auto"/>
              <w:left w:val="single" w:sz="4" w:space="0" w:color="auto"/>
            </w:tcBorders>
            <w:shd w:val="clear" w:color="auto" w:fill="D9D9D9" w:themeFill="background1" w:themeFillShade="D9"/>
            <w:vAlign w:val="center"/>
          </w:tcPr>
          <w:p w14:paraId="4FC8504F" w14:textId="63A59522" w:rsidR="002E355A" w:rsidRPr="00A54A75" w:rsidRDefault="002E355A" w:rsidP="004E6F40">
            <w:pPr>
              <w:pStyle w:val="APVMATableHead"/>
            </w:pPr>
            <w:r w:rsidRPr="00A54A75">
              <w:t>Feedin</w:t>
            </w:r>
            <w:r>
              <w:t>g</w:t>
            </w:r>
            <w:r w:rsidRPr="00A54A75">
              <w:t xml:space="preserve"> level (</w:t>
            </w:r>
            <w:r w:rsidR="004E6F40" w:rsidRPr="00A54A75">
              <w:rPr>
                <w:caps w:val="0"/>
              </w:rPr>
              <w:t>ppm</w:t>
            </w:r>
            <w:r w:rsidRPr="00A54A75">
              <w:t>)</w:t>
            </w:r>
          </w:p>
        </w:tc>
        <w:tc>
          <w:tcPr>
            <w:tcW w:w="720" w:type="pct"/>
            <w:tcBorders>
              <w:top w:val="single" w:sz="4" w:space="0" w:color="auto"/>
            </w:tcBorders>
            <w:shd w:val="clear" w:color="auto" w:fill="D9D9D9" w:themeFill="background1" w:themeFillShade="D9"/>
          </w:tcPr>
          <w:p w14:paraId="52BDD07F" w14:textId="77777777" w:rsidR="002E355A" w:rsidRPr="00A54A75" w:rsidRDefault="002E355A" w:rsidP="004E6F40">
            <w:pPr>
              <w:pStyle w:val="APVMATableHead"/>
            </w:pPr>
            <w:r>
              <w:t>M</w:t>
            </w:r>
            <w:r w:rsidRPr="00A54A75">
              <w:t>ilk</w:t>
            </w:r>
          </w:p>
        </w:tc>
        <w:tc>
          <w:tcPr>
            <w:tcW w:w="720" w:type="pct"/>
            <w:tcBorders>
              <w:top w:val="single" w:sz="4" w:space="0" w:color="auto"/>
            </w:tcBorders>
            <w:shd w:val="clear" w:color="auto" w:fill="D9D9D9" w:themeFill="background1" w:themeFillShade="D9"/>
          </w:tcPr>
          <w:p w14:paraId="56F48442" w14:textId="77777777" w:rsidR="002E355A" w:rsidRPr="00A54A75" w:rsidRDefault="002E355A" w:rsidP="004E6F40">
            <w:pPr>
              <w:pStyle w:val="APVMATableHead"/>
            </w:pPr>
            <w:r>
              <w:t>M</w:t>
            </w:r>
            <w:r w:rsidRPr="00A54A75">
              <w:t>uscle</w:t>
            </w:r>
          </w:p>
        </w:tc>
        <w:tc>
          <w:tcPr>
            <w:tcW w:w="720" w:type="pct"/>
            <w:tcBorders>
              <w:top w:val="single" w:sz="4" w:space="0" w:color="auto"/>
            </w:tcBorders>
            <w:shd w:val="clear" w:color="auto" w:fill="D9D9D9" w:themeFill="background1" w:themeFillShade="D9"/>
          </w:tcPr>
          <w:p w14:paraId="7D82B5EF" w14:textId="77777777" w:rsidR="002E355A" w:rsidRPr="00A54A75" w:rsidRDefault="002E355A" w:rsidP="004E6F40">
            <w:pPr>
              <w:pStyle w:val="APVMATableHead"/>
            </w:pPr>
            <w:r>
              <w:t>L</w:t>
            </w:r>
            <w:r w:rsidRPr="00A54A75">
              <w:t>iver</w:t>
            </w:r>
          </w:p>
        </w:tc>
        <w:tc>
          <w:tcPr>
            <w:tcW w:w="720" w:type="pct"/>
            <w:tcBorders>
              <w:top w:val="single" w:sz="4" w:space="0" w:color="auto"/>
            </w:tcBorders>
            <w:shd w:val="clear" w:color="auto" w:fill="D9D9D9" w:themeFill="background1" w:themeFillShade="D9"/>
          </w:tcPr>
          <w:p w14:paraId="1A8A897D" w14:textId="77777777" w:rsidR="002E355A" w:rsidRPr="00A54A75" w:rsidRDefault="002E355A" w:rsidP="004E6F40">
            <w:pPr>
              <w:pStyle w:val="APVMATableHead"/>
            </w:pPr>
            <w:r>
              <w:t>K</w:t>
            </w:r>
            <w:r w:rsidRPr="00A54A75">
              <w:t>idney</w:t>
            </w:r>
          </w:p>
        </w:tc>
        <w:tc>
          <w:tcPr>
            <w:tcW w:w="721" w:type="pct"/>
            <w:tcBorders>
              <w:top w:val="single" w:sz="4" w:space="0" w:color="auto"/>
              <w:right w:val="single" w:sz="4" w:space="0" w:color="auto"/>
            </w:tcBorders>
            <w:shd w:val="clear" w:color="auto" w:fill="D9D9D9" w:themeFill="background1" w:themeFillShade="D9"/>
          </w:tcPr>
          <w:p w14:paraId="4FC93708" w14:textId="77777777" w:rsidR="002E355A" w:rsidRPr="00A54A75" w:rsidRDefault="002E355A" w:rsidP="004E6F40">
            <w:pPr>
              <w:pStyle w:val="APVMATableHead"/>
            </w:pPr>
            <w:r>
              <w:t>F</w:t>
            </w:r>
            <w:r w:rsidRPr="00A54A75">
              <w:t>at</w:t>
            </w:r>
          </w:p>
        </w:tc>
      </w:tr>
      <w:tr w:rsidR="002E355A" w:rsidRPr="00A54A75" w14:paraId="3313161F" w14:textId="77777777" w:rsidTr="004E6F40">
        <w:trPr>
          <w:tblHeader/>
        </w:trPr>
        <w:tc>
          <w:tcPr>
            <w:tcW w:w="1400" w:type="pct"/>
            <w:vMerge/>
            <w:tcBorders>
              <w:left w:val="single" w:sz="4" w:space="0" w:color="auto"/>
              <w:bottom w:val="single" w:sz="6" w:space="0" w:color="000000"/>
            </w:tcBorders>
            <w:shd w:val="clear" w:color="auto" w:fill="D9D9D9" w:themeFill="background1" w:themeFillShade="D9"/>
          </w:tcPr>
          <w:p w14:paraId="43074083" w14:textId="77777777" w:rsidR="002E355A" w:rsidRPr="00A54A75" w:rsidRDefault="002E355A" w:rsidP="004E6F40">
            <w:pPr>
              <w:pStyle w:val="APVMATableHead"/>
            </w:pPr>
          </w:p>
        </w:tc>
        <w:tc>
          <w:tcPr>
            <w:tcW w:w="3600" w:type="pct"/>
            <w:gridSpan w:val="5"/>
            <w:tcBorders>
              <w:bottom w:val="single" w:sz="6" w:space="0" w:color="000000"/>
              <w:right w:val="single" w:sz="4" w:space="0" w:color="auto"/>
            </w:tcBorders>
            <w:shd w:val="clear" w:color="auto" w:fill="D9D9D9" w:themeFill="background1" w:themeFillShade="D9"/>
          </w:tcPr>
          <w:p w14:paraId="0842BFA1" w14:textId="77777777" w:rsidR="002E355A" w:rsidRDefault="002E355A" w:rsidP="004E6F40">
            <w:pPr>
              <w:pStyle w:val="APVMATableHead"/>
            </w:pPr>
            <w:r>
              <w:t xml:space="preserve">SYN545974 + 2,4,6-TCP </w:t>
            </w:r>
          </w:p>
          <w:p w14:paraId="03BE3565" w14:textId="5019DF80" w:rsidR="002E355A" w:rsidRPr="00A54A75" w:rsidRDefault="002E355A" w:rsidP="004E6F40">
            <w:pPr>
              <w:pStyle w:val="APVMATableHead"/>
            </w:pPr>
            <w:r>
              <w:t xml:space="preserve">+ SYN547897 </w:t>
            </w:r>
            <w:r w:rsidRPr="00A54A75">
              <w:t>(</w:t>
            </w:r>
            <w:r w:rsidR="004E6F40" w:rsidRPr="00A54A75">
              <w:rPr>
                <w:caps w:val="0"/>
              </w:rPr>
              <w:t>mg/kg</w:t>
            </w:r>
            <w:r w:rsidRPr="00A54A75">
              <w:t>)</w:t>
            </w:r>
          </w:p>
        </w:tc>
      </w:tr>
      <w:tr w:rsidR="002E355A" w:rsidRPr="004E6F40" w14:paraId="6B5ABE2B" w14:textId="77777777" w:rsidTr="00D641E2">
        <w:trPr>
          <w:trHeight w:val="340"/>
        </w:trPr>
        <w:tc>
          <w:tcPr>
            <w:tcW w:w="1400" w:type="pct"/>
            <w:tcBorders>
              <w:left w:val="single" w:sz="4" w:space="0" w:color="auto"/>
            </w:tcBorders>
          </w:tcPr>
          <w:p w14:paraId="7E44601A" w14:textId="77777777" w:rsidR="002E355A" w:rsidRPr="004E6F40" w:rsidRDefault="002E355A" w:rsidP="004E6F40">
            <w:pPr>
              <w:pStyle w:val="APVMATableText"/>
            </w:pPr>
            <w:r w:rsidRPr="004E6F40">
              <w:t>15 (actual)</w:t>
            </w:r>
          </w:p>
        </w:tc>
        <w:tc>
          <w:tcPr>
            <w:tcW w:w="720" w:type="pct"/>
          </w:tcPr>
          <w:p w14:paraId="2027B22B" w14:textId="77777777" w:rsidR="002E355A" w:rsidRPr="004E6F40" w:rsidRDefault="002E355A" w:rsidP="004E6F40">
            <w:pPr>
              <w:pStyle w:val="APVMATableText"/>
            </w:pPr>
            <w:r w:rsidRPr="004E6F40">
              <w:t>&lt;0.01 + &lt;0.01</w:t>
            </w:r>
          </w:p>
        </w:tc>
        <w:tc>
          <w:tcPr>
            <w:tcW w:w="720" w:type="pct"/>
          </w:tcPr>
          <w:p w14:paraId="2DEAE4AD" w14:textId="77777777" w:rsidR="002E355A" w:rsidRPr="004E6F40" w:rsidRDefault="002E355A" w:rsidP="004E6F40">
            <w:pPr>
              <w:pStyle w:val="APVMATableText"/>
            </w:pPr>
            <w:r w:rsidRPr="004E6F40">
              <w:t>&lt;0.01 + &lt;0.01</w:t>
            </w:r>
          </w:p>
        </w:tc>
        <w:tc>
          <w:tcPr>
            <w:tcW w:w="720" w:type="pct"/>
          </w:tcPr>
          <w:p w14:paraId="27539E83" w14:textId="77777777" w:rsidR="002E355A" w:rsidRPr="004E6F40" w:rsidRDefault="002E355A" w:rsidP="004E6F40">
            <w:pPr>
              <w:pStyle w:val="APVMATableText"/>
            </w:pPr>
            <w:r w:rsidRPr="004E6F40">
              <w:t>0.02 + &lt;0.01</w:t>
            </w:r>
          </w:p>
          <w:p w14:paraId="4DF4BD03" w14:textId="77777777" w:rsidR="002E355A" w:rsidRPr="004E6F40" w:rsidRDefault="002E355A" w:rsidP="004E6F40">
            <w:pPr>
              <w:pStyle w:val="APVMATableText"/>
            </w:pPr>
            <w:r w:rsidRPr="004E6F40">
              <w:t>+ 0.06</w:t>
            </w:r>
          </w:p>
        </w:tc>
        <w:tc>
          <w:tcPr>
            <w:tcW w:w="720" w:type="pct"/>
          </w:tcPr>
          <w:p w14:paraId="4104097C" w14:textId="77777777" w:rsidR="002E355A" w:rsidRPr="004E6F40" w:rsidRDefault="002E355A" w:rsidP="004E6F40">
            <w:pPr>
              <w:pStyle w:val="APVMATableText"/>
            </w:pPr>
            <w:r w:rsidRPr="004E6F40">
              <w:t>&lt;0.01 + 0.01</w:t>
            </w:r>
          </w:p>
          <w:p w14:paraId="52ECBB61" w14:textId="77777777" w:rsidR="002E355A" w:rsidRPr="004E6F40" w:rsidRDefault="002E355A" w:rsidP="004E6F40">
            <w:pPr>
              <w:pStyle w:val="APVMATableText"/>
            </w:pPr>
            <w:r w:rsidRPr="004E6F40">
              <w:t>+ 0.06</w:t>
            </w:r>
          </w:p>
        </w:tc>
        <w:tc>
          <w:tcPr>
            <w:tcW w:w="721" w:type="pct"/>
            <w:tcBorders>
              <w:right w:val="single" w:sz="4" w:space="0" w:color="auto"/>
            </w:tcBorders>
          </w:tcPr>
          <w:p w14:paraId="5EDD5034" w14:textId="77777777" w:rsidR="002E355A" w:rsidRPr="004E6F40" w:rsidRDefault="002E355A" w:rsidP="004E6F40">
            <w:pPr>
              <w:pStyle w:val="APVMATableText"/>
            </w:pPr>
            <w:r w:rsidRPr="004E6F40">
              <w:t>0.02 + &lt;0.01</w:t>
            </w:r>
          </w:p>
        </w:tc>
      </w:tr>
      <w:tr w:rsidR="002E355A" w:rsidRPr="004E6F40" w14:paraId="0E2F3FE4" w14:textId="77777777" w:rsidTr="00D641E2">
        <w:trPr>
          <w:trHeight w:val="338"/>
        </w:trPr>
        <w:tc>
          <w:tcPr>
            <w:tcW w:w="1400" w:type="pct"/>
            <w:tcBorders>
              <w:left w:val="single" w:sz="4" w:space="0" w:color="auto"/>
            </w:tcBorders>
          </w:tcPr>
          <w:p w14:paraId="133E6B50" w14:textId="5CD9479C" w:rsidR="002E355A" w:rsidRPr="004E6F40" w:rsidRDefault="002E355A" w:rsidP="004E6F40">
            <w:pPr>
              <w:pStyle w:val="APVMATableText"/>
            </w:pPr>
            <w:r w:rsidRPr="004E6F40">
              <w:t>1.6</w:t>
            </w:r>
            <w:r w:rsidR="004E6F40">
              <w:t>–</w:t>
            </w:r>
            <w:r w:rsidRPr="004E6F40">
              <w:t>beef, estimated burden</w:t>
            </w:r>
          </w:p>
        </w:tc>
        <w:tc>
          <w:tcPr>
            <w:tcW w:w="720" w:type="pct"/>
          </w:tcPr>
          <w:p w14:paraId="5CA7A0EC" w14:textId="77777777" w:rsidR="002E355A" w:rsidRPr="004E6F40" w:rsidRDefault="002E355A" w:rsidP="004E6F40">
            <w:pPr>
              <w:pStyle w:val="APVMATableText"/>
            </w:pPr>
            <w:r w:rsidRPr="004E6F40">
              <w:t>&lt;0.01 + &lt;0.01</w:t>
            </w:r>
          </w:p>
        </w:tc>
        <w:tc>
          <w:tcPr>
            <w:tcW w:w="720" w:type="pct"/>
          </w:tcPr>
          <w:p w14:paraId="25D554CE" w14:textId="77777777" w:rsidR="002E355A" w:rsidRPr="004E6F40" w:rsidRDefault="002E355A" w:rsidP="004E6F40">
            <w:pPr>
              <w:pStyle w:val="APVMATableText"/>
            </w:pPr>
            <w:r w:rsidRPr="004E6F40">
              <w:t>&lt;0.01 + &lt;0.01</w:t>
            </w:r>
          </w:p>
        </w:tc>
        <w:tc>
          <w:tcPr>
            <w:tcW w:w="720" w:type="pct"/>
          </w:tcPr>
          <w:p w14:paraId="042318DD" w14:textId="77777777" w:rsidR="002E355A" w:rsidRPr="004E6F40" w:rsidRDefault="002E355A" w:rsidP="004E6F40">
            <w:pPr>
              <w:pStyle w:val="APVMATableText"/>
            </w:pPr>
            <w:r w:rsidRPr="004E6F40">
              <w:t>&lt;0.01 + &lt;0.01</w:t>
            </w:r>
          </w:p>
          <w:p w14:paraId="517D8856" w14:textId="77777777" w:rsidR="002E355A" w:rsidRPr="004E6F40" w:rsidRDefault="002E355A" w:rsidP="004E6F40">
            <w:pPr>
              <w:pStyle w:val="APVMATableText"/>
            </w:pPr>
            <w:r w:rsidRPr="004E6F40">
              <w:t>&lt;0.01</w:t>
            </w:r>
          </w:p>
        </w:tc>
        <w:tc>
          <w:tcPr>
            <w:tcW w:w="720" w:type="pct"/>
          </w:tcPr>
          <w:p w14:paraId="57E431F8" w14:textId="77777777" w:rsidR="002E355A" w:rsidRPr="004E6F40" w:rsidRDefault="002E355A" w:rsidP="004E6F40">
            <w:pPr>
              <w:pStyle w:val="APVMATableText"/>
            </w:pPr>
            <w:r w:rsidRPr="004E6F40">
              <w:t>&lt;0.01 + &lt;0.01</w:t>
            </w:r>
          </w:p>
          <w:p w14:paraId="685DD20E" w14:textId="77777777" w:rsidR="002E355A" w:rsidRPr="004E6F40" w:rsidRDefault="002E355A" w:rsidP="004E6F40">
            <w:pPr>
              <w:pStyle w:val="APVMATableText"/>
            </w:pPr>
            <w:r w:rsidRPr="004E6F40">
              <w:t>&lt;0.01</w:t>
            </w:r>
          </w:p>
        </w:tc>
        <w:tc>
          <w:tcPr>
            <w:tcW w:w="721" w:type="pct"/>
            <w:tcBorders>
              <w:right w:val="single" w:sz="4" w:space="0" w:color="auto"/>
            </w:tcBorders>
          </w:tcPr>
          <w:p w14:paraId="7250508E" w14:textId="77777777" w:rsidR="002E355A" w:rsidRPr="004E6F40" w:rsidRDefault="002E355A" w:rsidP="004E6F40">
            <w:pPr>
              <w:pStyle w:val="APVMATableText"/>
            </w:pPr>
            <w:r w:rsidRPr="004E6F40">
              <w:t>&lt;0.01 + &lt;0.01</w:t>
            </w:r>
          </w:p>
        </w:tc>
      </w:tr>
      <w:tr w:rsidR="002E355A" w:rsidRPr="004E6F40" w14:paraId="69C5D5BE" w14:textId="77777777" w:rsidTr="00D641E2">
        <w:trPr>
          <w:trHeight w:val="338"/>
        </w:trPr>
        <w:tc>
          <w:tcPr>
            <w:tcW w:w="1400" w:type="pct"/>
            <w:tcBorders>
              <w:left w:val="single" w:sz="4" w:space="0" w:color="auto"/>
              <w:bottom w:val="single" w:sz="4" w:space="0" w:color="auto"/>
            </w:tcBorders>
          </w:tcPr>
          <w:p w14:paraId="45B2BB4F" w14:textId="674279CC" w:rsidR="002E355A" w:rsidRPr="004E6F40" w:rsidRDefault="002E355A" w:rsidP="004E6F40">
            <w:pPr>
              <w:pStyle w:val="APVMATableText"/>
            </w:pPr>
            <w:r w:rsidRPr="004E6F40">
              <w:t>0.7</w:t>
            </w:r>
            <w:r w:rsidR="004E6F40">
              <w:t>–</w:t>
            </w:r>
            <w:r w:rsidRPr="004E6F40">
              <w:t>dairy, estimated burden</w:t>
            </w:r>
          </w:p>
        </w:tc>
        <w:tc>
          <w:tcPr>
            <w:tcW w:w="720" w:type="pct"/>
            <w:tcBorders>
              <w:bottom w:val="single" w:sz="4" w:space="0" w:color="auto"/>
            </w:tcBorders>
          </w:tcPr>
          <w:p w14:paraId="74C8A95A" w14:textId="77777777" w:rsidR="002E355A" w:rsidRPr="004E6F40" w:rsidRDefault="002E355A" w:rsidP="004E6F40">
            <w:pPr>
              <w:pStyle w:val="APVMATableText"/>
            </w:pPr>
            <w:r w:rsidRPr="004E6F40">
              <w:t>&lt;0.01 + &lt;0.01</w:t>
            </w:r>
          </w:p>
        </w:tc>
        <w:tc>
          <w:tcPr>
            <w:tcW w:w="720" w:type="pct"/>
            <w:tcBorders>
              <w:bottom w:val="single" w:sz="4" w:space="0" w:color="auto"/>
            </w:tcBorders>
          </w:tcPr>
          <w:p w14:paraId="5115D1DD" w14:textId="77777777" w:rsidR="002E355A" w:rsidRPr="004E6F40" w:rsidRDefault="002E355A" w:rsidP="004E6F40">
            <w:pPr>
              <w:pStyle w:val="APVMATableText"/>
            </w:pPr>
            <w:r w:rsidRPr="004E6F40">
              <w:t>&lt;0.01 + &lt;0.01</w:t>
            </w:r>
          </w:p>
        </w:tc>
        <w:tc>
          <w:tcPr>
            <w:tcW w:w="720" w:type="pct"/>
            <w:tcBorders>
              <w:bottom w:val="single" w:sz="4" w:space="0" w:color="auto"/>
            </w:tcBorders>
          </w:tcPr>
          <w:p w14:paraId="4D20E1FA" w14:textId="77777777" w:rsidR="002E355A" w:rsidRPr="004E6F40" w:rsidRDefault="002E355A" w:rsidP="004E6F40">
            <w:pPr>
              <w:pStyle w:val="APVMATableText"/>
            </w:pPr>
            <w:r w:rsidRPr="004E6F40">
              <w:t>&lt;0.01 + &lt;0.01</w:t>
            </w:r>
          </w:p>
          <w:p w14:paraId="018A13BC" w14:textId="77777777" w:rsidR="002E355A" w:rsidRPr="004E6F40" w:rsidRDefault="002E355A" w:rsidP="004E6F40">
            <w:pPr>
              <w:pStyle w:val="APVMATableText"/>
            </w:pPr>
            <w:r w:rsidRPr="004E6F40">
              <w:t>&lt;0.01</w:t>
            </w:r>
          </w:p>
        </w:tc>
        <w:tc>
          <w:tcPr>
            <w:tcW w:w="720" w:type="pct"/>
            <w:tcBorders>
              <w:bottom w:val="single" w:sz="4" w:space="0" w:color="auto"/>
            </w:tcBorders>
          </w:tcPr>
          <w:p w14:paraId="2923B398" w14:textId="77777777" w:rsidR="002E355A" w:rsidRPr="004E6F40" w:rsidRDefault="002E355A" w:rsidP="004E6F40">
            <w:pPr>
              <w:pStyle w:val="APVMATableText"/>
            </w:pPr>
            <w:r w:rsidRPr="004E6F40">
              <w:t>&lt;0.01 + &lt;0.01</w:t>
            </w:r>
          </w:p>
          <w:p w14:paraId="59AD8CB5" w14:textId="77777777" w:rsidR="002E355A" w:rsidRPr="004E6F40" w:rsidRDefault="002E355A" w:rsidP="004E6F40">
            <w:pPr>
              <w:pStyle w:val="APVMATableText"/>
            </w:pPr>
            <w:r w:rsidRPr="004E6F40">
              <w:t>&lt;0.01</w:t>
            </w:r>
          </w:p>
        </w:tc>
        <w:tc>
          <w:tcPr>
            <w:tcW w:w="721" w:type="pct"/>
            <w:tcBorders>
              <w:bottom w:val="single" w:sz="4" w:space="0" w:color="auto"/>
              <w:right w:val="single" w:sz="4" w:space="0" w:color="auto"/>
            </w:tcBorders>
          </w:tcPr>
          <w:p w14:paraId="71FBF3D3" w14:textId="77777777" w:rsidR="002E355A" w:rsidRPr="004E6F40" w:rsidRDefault="002E355A" w:rsidP="004E6F40">
            <w:pPr>
              <w:pStyle w:val="APVMATableText"/>
            </w:pPr>
            <w:r w:rsidRPr="004E6F40">
              <w:t>&lt;0.01 + &lt;0.01</w:t>
            </w:r>
          </w:p>
        </w:tc>
      </w:tr>
      <w:tr w:rsidR="002E355A" w:rsidRPr="00AC3524" w14:paraId="5B42096C" w14:textId="77777777" w:rsidTr="00D641E2">
        <w:trPr>
          <w:trHeight w:val="338"/>
        </w:trPr>
        <w:tc>
          <w:tcPr>
            <w:tcW w:w="1400" w:type="pct"/>
            <w:tcBorders>
              <w:top w:val="single" w:sz="4" w:space="0" w:color="auto"/>
              <w:left w:val="single" w:sz="4" w:space="0" w:color="auto"/>
              <w:bottom w:val="dotted" w:sz="4" w:space="0" w:color="auto"/>
            </w:tcBorders>
          </w:tcPr>
          <w:p w14:paraId="65A5D009" w14:textId="77777777" w:rsidR="002E355A" w:rsidRPr="00AC3524" w:rsidRDefault="002E355A" w:rsidP="004E6F40">
            <w:pPr>
              <w:pStyle w:val="APVMATableText"/>
              <w:rPr>
                <w:lang w:val="en-GB"/>
              </w:rPr>
            </w:pPr>
            <w:r w:rsidRPr="00AC3524">
              <w:rPr>
                <w:lang w:val="en-GB"/>
              </w:rPr>
              <w:t>Established MRLs</w:t>
            </w:r>
          </w:p>
        </w:tc>
        <w:tc>
          <w:tcPr>
            <w:tcW w:w="720" w:type="pct"/>
            <w:tcBorders>
              <w:top w:val="single" w:sz="4" w:space="0" w:color="auto"/>
              <w:bottom w:val="dotted" w:sz="4" w:space="0" w:color="auto"/>
            </w:tcBorders>
          </w:tcPr>
          <w:p w14:paraId="252AC655" w14:textId="77777777" w:rsidR="002E355A" w:rsidRPr="00AC3524" w:rsidRDefault="002E355A" w:rsidP="004E6F40">
            <w:pPr>
              <w:pStyle w:val="APVMATableText"/>
              <w:rPr>
                <w:lang w:val="en-GB"/>
              </w:rPr>
            </w:pPr>
            <w:r w:rsidRPr="00AC3524">
              <w:rPr>
                <w:lang w:val="en-GB"/>
              </w:rPr>
              <w:t>-</w:t>
            </w:r>
          </w:p>
        </w:tc>
        <w:tc>
          <w:tcPr>
            <w:tcW w:w="720" w:type="pct"/>
            <w:tcBorders>
              <w:top w:val="single" w:sz="4" w:space="0" w:color="auto"/>
              <w:bottom w:val="dotted" w:sz="4" w:space="0" w:color="auto"/>
            </w:tcBorders>
          </w:tcPr>
          <w:p w14:paraId="75077548" w14:textId="77777777" w:rsidR="002E355A" w:rsidRPr="00AC3524" w:rsidRDefault="002E355A" w:rsidP="004E6F40">
            <w:pPr>
              <w:pStyle w:val="APVMATableText"/>
              <w:rPr>
                <w:lang w:val="en-GB"/>
              </w:rPr>
            </w:pPr>
            <w:r w:rsidRPr="00AC3524">
              <w:rPr>
                <w:lang w:val="en-GB"/>
              </w:rPr>
              <w:t>-</w:t>
            </w:r>
          </w:p>
        </w:tc>
        <w:tc>
          <w:tcPr>
            <w:tcW w:w="1440" w:type="pct"/>
            <w:gridSpan w:val="2"/>
            <w:tcBorders>
              <w:top w:val="single" w:sz="4" w:space="0" w:color="auto"/>
              <w:bottom w:val="dotted" w:sz="4" w:space="0" w:color="auto"/>
            </w:tcBorders>
          </w:tcPr>
          <w:p w14:paraId="3A2B3328" w14:textId="77777777" w:rsidR="002E355A" w:rsidRPr="00AC3524" w:rsidRDefault="002E355A" w:rsidP="004E6F40">
            <w:pPr>
              <w:pStyle w:val="APVMATableText"/>
              <w:rPr>
                <w:lang w:val="en-GB"/>
              </w:rPr>
            </w:pPr>
            <w:r w:rsidRPr="00AC3524">
              <w:rPr>
                <w:lang w:val="en-GB"/>
              </w:rPr>
              <w:t>-</w:t>
            </w:r>
          </w:p>
        </w:tc>
        <w:tc>
          <w:tcPr>
            <w:tcW w:w="721" w:type="pct"/>
            <w:tcBorders>
              <w:top w:val="single" w:sz="4" w:space="0" w:color="auto"/>
              <w:bottom w:val="dotted" w:sz="4" w:space="0" w:color="auto"/>
              <w:right w:val="single" w:sz="4" w:space="0" w:color="auto"/>
            </w:tcBorders>
          </w:tcPr>
          <w:p w14:paraId="265663DE" w14:textId="77777777" w:rsidR="002E355A" w:rsidRPr="00AC3524" w:rsidRDefault="002E355A" w:rsidP="004E6F40">
            <w:pPr>
              <w:pStyle w:val="APVMATableText"/>
              <w:rPr>
                <w:lang w:val="en-GB"/>
              </w:rPr>
            </w:pPr>
            <w:r w:rsidRPr="00AC3524">
              <w:rPr>
                <w:lang w:val="en-GB"/>
              </w:rPr>
              <w:t>-</w:t>
            </w:r>
          </w:p>
        </w:tc>
      </w:tr>
      <w:tr w:rsidR="002E355A" w:rsidRPr="00AC3524" w14:paraId="24A0D896" w14:textId="77777777" w:rsidTr="00D641E2">
        <w:trPr>
          <w:trHeight w:val="338"/>
        </w:trPr>
        <w:tc>
          <w:tcPr>
            <w:tcW w:w="1400" w:type="pct"/>
            <w:tcBorders>
              <w:top w:val="dotted" w:sz="4" w:space="0" w:color="auto"/>
              <w:left w:val="single" w:sz="4" w:space="0" w:color="auto"/>
              <w:bottom w:val="single" w:sz="4" w:space="0" w:color="auto"/>
            </w:tcBorders>
          </w:tcPr>
          <w:p w14:paraId="0F7062E8" w14:textId="77777777" w:rsidR="002E355A" w:rsidRPr="00AC3524" w:rsidRDefault="002E355A" w:rsidP="004E6F40">
            <w:pPr>
              <w:pStyle w:val="APVMATableText"/>
              <w:rPr>
                <w:lang w:val="en-GB"/>
              </w:rPr>
            </w:pPr>
            <w:r w:rsidRPr="00AC3524">
              <w:rPr>
                <w:lang w:val="en-GB"/>
              </w:rPr>
              <w:t>Recommended MRLs</w:t>
            </w:r>
          </w:p>
        </w:tc>
        <w:tc>
          <w:tcPr>
            <w:tcW w:w="720" w:type="pct"/>
            <w:tcBorders>
              <w:top w:val="dotted" w:sz="4" w:space="0" w:color="auto"/>
              <w:bottom w:val="single" w:sz="4" w:space="0" w:color="auto"/>
            </w:tcBorders>
          </w:tcPr>
          <w:p w14:paraId="658F1C9F" w14:textId="77777777" w:rsidR="002E355A" w:rsidRPr="00AC3524" w:rsidRDefault="007B49B3" w:rsidP="004E6F40">
            <w:pPr>
              <w:pStyle w:val="APVMATableText"/>
              <w:rPr>
                <w:lang w:val="en-GB"/>
              </w:rPr>
            </w:pPr>
            <w:r>
              <w:rPr>
                <w:lang w:val="en-GB"/>
              </w:rPr>
              <w:t>*0.01</w:t>
            </w:r>
          </w:p>
        </w:tc>
        <w:tc>
          <w:tcPr>
            <w:tcW w:w="720" w:type="pct"/>
            <w:tcBorders>
              <w:top w:val="dotted" w:sz="4" w:space="0" w:color="auto"/>
              <w:bottom w:val="single" w:sz="4" w:space="0" w:color="auto"/>
            </w:tcBorders>
          </w:tcPr>
          <w:p w14:paraId="3E49DE66" w14:textId="77777777" w:rsidR="002E355A" w:rsidRPr="00AC3524" w:rsidRDefault="007B49B3" w:rsidP="004E6F40">
            <w:pPr>
              <w:pStyle w:val="APVMATableText"/>
              <w:rPr>
                <w:lang w:val="en-GB"/>
              </w:rPr>
            </w:pPr>
            <w:r>
              <w:rPr>
                <w:lang w:val="en-GB"/>
              </w:rPr>
              <w:t>*0.01</w:t>
            </w:r>
          </w:p>
        </w:tc>
        <w:tc>
          <w:tcPr>
            <w:tcW w:w="1440" w:type="pct"/>
            <w:gridSpan w:val="2"/>
            <w:tcBorders>
              <w:top w:val="dotted" w:sz="4" w:space="0" w:color="auto"/>
              <w:bottom w:val="single" w:sz="4" w:space="0" w:color="auto"/>
            </w:tcBorders>
          </w:tcPr>
          <w:p w14:paraId="32E5B257" w14:textId="77777777" w:rsidR="002E355A" w:rsidRPr="00AC3524" w:rsidRDefault="007B49B3" w:rsidP="004E6F40">
            <w:pPr>
              <w:pStyle w:val="APVMATableText"/>
              <w:rPr>
                <w:lang w:val="en-GB"/>
              </w:rPr>
            </w:pPr>
            <w:r>
              <w:rPr>
                <w:lang w:val="en-GB"/>
              </w:rPr>
              <w:t>*0.01</w:t>
            </w:r>
          </w:p>
        </w:tc>
        <w:tc>
          <w:tcPr>
            <w:tcW w:w="721" w:type="pct"/>
            <w:tcBorders>
              <w:top w:val="dotted" w:sz="4" w:space="0" w:color="auto"/>
              <w:bottom w:val="single" w:sz="4" w:space="0" w:color="auto"/>
              <w:right w:val="single" w:sz="4" w:space="0" w:color="auto"/>
            </w:tcBorders>
          </w:tcPr>
          <w:p w14:paraId="30F791CB" w14:textId="77777777" w:rsidR="002E355A" w:rsidRPr="00AC3524" w:rsidRDefault="002E355A" w:rsidP="004E6F40">
            <w:pPr>
              <w:pStyle w:val="APVMATableText"/>
              <w:rPr>
                <w:lang w:val="en-GB"/>
              </w:rPr>
            </w:pPr>
            <w:r>
              <w:rPr>
                <w:lang w:val="en-GB"/>
              </w:rPr>
              <w:t>-</w:t>
            </w:r>
          </w:p>
        </w:tc>
      </w:tr>
    </w:tbl>
    <w:p w14:paraId="5DB4AA07" w14:textId="77777777" w:rsidR="004E6F40" w:rsidRDefault="004E6F40" w:rsidP="00C015B2">
      <w:pPr>
        <w:pStyle w:val="Heading3"/>
        <w:rPr>
          <w:lang w:val="en-GB"/>
        </w:rPr>
        <w:sectPr w:rsidR="004E6F40">
          <w:pgSz w:w="11906" w:h="16838" w:code="9"/>
          <w:pgMar w:top="2835" w:right="1134" w:bottom="1134" w:left="1134" w:header="1701" w:footer="680" w:gutter="0"/>
          <w:cols w:space="708"/>
          <w:docGrid w:linePitch="360"/>
        </w:sectPr>
      </w:pPr>
    </w:p>
    <w:p w14:paraId="5DC43A96" w14:textId="7C477DDE" w:rsidR="002E355A" w:rsidRPr="002E355A" w:rsidRDefault="002E355A" w:rsidP="00C015B2">
      <w:pPr>
        <w:pStyle w:val="Heading3"/>
        <w:rPr>
          <w:lang w:val="en-GB"/>
        </w:rPr>
      </w:pPr>
      <w:r>
        <w:rPr>
          <w:lang w:val="en-GB"/>
        </w:rPr>
        <w:lastRenderedPageBreak/>
        <w:t>Poultry</w:t>
      </w:r>
    </w:p>
    <w:p w14:paraId="4C08722B" w14:textId="77777777" w:rsidR="002E355A" w:rsidRDefault="002E355A">
      <w:pPr>
        <w:pStyle w:val="APVMAText"/>
        <w:rPr>
          <w:rFonts w:eastAsiaTheme="minorEastAsia"/>
        </w:rPr>
      </w:pPr>
      <w:r>
        <w:rPr>
          <w:rFonts w:eastAsiaTheme="minorEastAsia"/>
        </w:rPr>
        <w:t>The estimated maximum livestock dietary burden for poultry is low (0.001 ppm) and is based on a diet of 5% canola meal. Considering a laying hen transfer study involving dosing at 3, 9 or 30 ppm in the feed, the proposed use is not expected to lead to residues in tissues or eggs as summarised in the following table:</w:t>
      </w:r>
    </w:p>
    <w:p w14:paraId="7B10C81D" w14:textId="77777777" w:rsidR="002E355A" w:rsidRPr="00A54A75" w:rsidRDefault="002E355A" w:rsidP="004E6F40">
      <w:pPr>
        <w:pStyle w:val="Heading4"/>
        <w:rPr>
          <w:rFonts w:eastAsiaTheme="minorEastAsia"/>
        </w:rPr>
      </w:pPr>
      <w:r>
        <w:rPr>
          <w:rFonts w:eastAsiaTheme="minorEastAsia"/>
        </w:rPr>
        <w:t>Poultry</w:t>
      </w:r>
    </w:p>
    <w:tbl>
      <w:tblPr>
        <w:tblW w:w="5000" w:type="pct"/>
        <w:tblLook w:val="00A0" w:firstRow="1" w:lastRow="0" w:firstColumn="1" w:lastColumn="0" w:noHBand="0" w:noVBand="0"/>
        <w:tblCaption w:val="Estimated residues in animal commodities (poultry)"/>
        <w:tblDescription w:val="This table provides a description of the residues transferred to animal commodities following exposure at the estimated dietary burden of the agricultural chemical residues in the diet of poultry."/>
      </w:tblPr>
      <w:tblGrid>
        <w:gridCol w:w="2705"/>
        <w:gridCol w:w="1386"/>
        <w:gridCol w:w="1386"/>
        <w:gridCol w:w="1386"/>
        <w:gridCol w:w="1386"/>
        <w:gridCol w:w="1379"/>
      </w:tblGrid>
      <w:tr w:rsidR="002E355A" w:rsidRPr="00A54A75" w14:paraId="05F3EED9" w14:textId="77777777" w:rsidTr="004E6F40">
        <w:trPr>
          <w:tblHeader/>
        </w:trPr>
        <w:tc>
          <w:tcPr>
            <w:tcW w:w="1404" w:type="pct"/>
            <w:vMerge w:val="restart"/>
            <w:tcBorders>
              <w:top w:val="single" w:sz="4" w:space="0" w:color="auto"/>
              <w:left w:val="single" w:sz="4" w:space="0" w:color="auto"/>
            </w:tcBorders>
            <w:shd w:val="clear" w:color="auto" w:fill="D9D9D9" w:themeFill="background1" w:themeFillShade="D9"/>
            <w:vAlign w:val="center"/>
          </w:tcPr>
          <w:p w14:paraId="4DDA0156" w14:textId="38149BC5" w:rsidR="002E355A" w:rsidRPr="00A54A75" w:rsidRDefault="002E355A" w:rsidP="004E6F40">
            <w:pPr>
              <w:pStyle w:val="APVMATableHead"/>
            </w:pPr>
            <w:r w:rsidRPr="00A54A75">
              <w:t>Feedin</w:t>
            </w:r>
            <w:r>
              <w:t>g</w:t>
            </w:r>
            <w:r w:rsidRPr="00A54A75">
              <w:t xml:space="preserve"> level (</w:t>
            </w:r>
            <w:r w:rsidR="004E6F40" w:rsidRPr="00A54A75">
              <w:rPr>
                <w:caps w:val="0"/>
              </w:rPr>
              <w:t>ppm</w:t>
            </w:r>
            <w:r w:rsidRPr="00A54A75">
              <w:t>)</w:t>
            </w:r>
          </w:p>
        </w:tc>
        <w:tc>
          <w:tcPr>
            <w:tcW w:w="720" w:type="pct"/>
            <w:tcBorders>
              <w:top w:val="single" w:sz="4" w:space="0" w:color="auto"/>
            </w:tcBorders>
            <w:shd w:val="clear" w:color="auto" w:fill="D9D9D9" w:themeFill="background1" w:themeFillShade="D9"/>
          </w:tcPr>
          <w:p w14:paraId="3F72235F" w14:textId="77777777" w:rsidR="002E355A" w:rsidRPr="00A54A75" w:rsidRDefault="002E355A" w:rsidP="004E6F40">
            <w:pPr>
              <w:pStyle w:val="APVMATableHead"/>
            </w:pPr>
            <w:r>
              <w:t>Eggs</w:t>
            </w:r>
          </w:p>
        </w:tc>
        <w:tc>
          <w:tcPr>
            <w:tcW w:w="720" w:type="pct"/>
            <w:tcBorders>
              <w:top w:val="single" w:sz="4" w:space="0" w:color="auto"/>
            </w:tcBorders>
            <w:shd w:val="clear" w:color="auto" w:fill="D9D9D9" w:themeFill="background1" w:themeFillShade="D9"/>
          </w:tcPr>
          <w:p w14:paraId="18C3D944" w14:textId="77777777" w:rsidR="002E355A" w:rsidRPr="00A54A75" w:rsidRDefault="002E355A" w:rsidP="004E6F40">
            <w:pPr>
              <w:pStyle w:val="APVMATableHead"/>
            </w:pPr>
            <w:r>
              <w:t>M</w:t>
            </w:r>
            <w:r w:rsidRPr="00A54A75">
              <w:t>uscle</w:t>
            </w:r>
          </w:p>
        </w:tc>
        <w:tc>
          <w:tcPr>
            <w:tcW w:w="720" w:type="pct"/>
            <w:tcBorders>
              <w:top w:val="single" w:sz="4" w:space="0" w:color="auto"/>
            </w:tcBorders>
            <w:shd w:val="clear" w:color="auto" w:fill="D9D9D9" w:themeFill="background1" w:themeFillShade="D9"/>
          </w:tcPr>
          <w:p w14:paraId="2C72D2CE" w14:textId="77777777" w:rsidR="002E355A" w:rsidRPr="00A54A75" w:rsidRDefault="002E355A" w:rsidP="004E6F40">
            <w:pPr>
              <w:pStyle w:val="APVMATableHead"/>
            </w:pPr>
            <w:r>
              <w:t>L</w:t>
            </w:r>
            <w:r w:rsidRPr="00A54A75">
              <w:t>iver</w:t>
            </w:r>
          </w:p>
        </w:tc>
        <w:tc>
          <w:tcPr>
            <w:tcW w:w="720" w:type="pct"/>
            <w:tcBorders>
              <w:top w:val="single" w:sz="4" w:space="0" w:color="auto"/>
            </w:tcBorders>
            <w:shd w:val="clear" w:color="auto" w:fill="D9D9D9" w:themeFill="background1" w:themeFillShade="D9"/>
          </w:tcPr>
          <w:p w14:paraId="4C0DFF27" w14:textId="77777777" w:rsidR="002E355A" w:rsidRPr="00A54A75" w:rsidRDefault="002E355A" w:rsidP="004E6F40">
            <w:pPr>
              <w:pStyle w:val="APVMATableHead"/>
            </w:pPr>
            <w:r>
              <w:t>K</w:t>
            </w:r>
            <w:r w:rsidRPr="00A54A75">
              <w:t>idney</w:t>
            </w:r>
          </w:p>
        </w:tc>
        <w:tc>
          <w:tcPr>
            <w:tcW w:w="717" w:type="pct"/>
            <w:tcBorders>
              <w:top w:val="single" w:sz="4" w:space="0" w:color="auto"/>
              <w:right w:val="single" w:sz="4" w:space="0" w:color="auto"/>
            </w:tcBorders>
            <w:shd w:val="clear" w:color="auto" w:fill="D9D9D9" w:themeFill="background1" w:themeFillShade="D9"/>
          </w:tcPr>
          <w:p w14:paraId="50025E99" w14:textId="77777777" w:rsidR="002E355A" w:rsidRPr="00A54A75" w:rsidRDefault="002E355A" w:rsidP="004E6F40">
            <w:pPr>
              <w:pStyle w:val="APVMATableHead"/>
            </w:pPr>
            <w:r>
              <w:t>F</w:t>
            </w:r>
            <w:r w:rsidRPr="00A54A75">
              <w:t>at</w:t>
            </w:r>
          </w:p>
        </w:tc>
      </w:tr>
      <w:tr w:rsidR="002E355A" w:rsidRPr="00A54A75" w14:paraId="041B3291" w14:textId="77777777" w:rsidTr="004E6F40">
        <w:trPr>
          <w:tblHeader/>
        </w:trPr>
        <w:tc>
          <w:tcPr>
            <w:tcW w:w="1404" w:type="pct"/>
            <w:vMerge/>
            <w:tcBorders>
              <w:left w:val="single" w:sz="4" w:space="0" w:color="auto"/>
              <w:bottom w:val="single" w:sz="6" w:space="0" w:color="000000"/>
            </w:tcBorders>
            <w:shd w:val="clear" w:color="auto" w:fill="D9D9D9" w:themeFill="background1" w:themeFillShade="D9"/>
          </w:tcPr>
          <w:p w14:paraId="7A1EB772" w14:textId="77777777" w:rsidR="002E355A" w:rsidRPr="00A54A75" w:rsidRDefault="002E355A" w:rsidP="004E6F40">
            <w:pPr>
              <w:pStyle w:val="APVMATableHead"/>
            </w:pPr>
          </w:p>
        </w:tc>
        <w:tc>
          <w:tcPr>
            <w:tcW w:w="3596" w:type="pct"/>
            <w:gridSpan w:val="5"/>
            <w:tcBorders>
              <w:bottom w:val="single" w:sz="6" w:space="0" w:color="000000"/>
              <w:right w:val="single" w:sz="4" w:space="0" w:color="auto"/>
            </w:tcBorders>
            <w:shd w:val="clear" w:color="auto" w:fill="D9D9D9" w:themeFill="background1" w:themeFillShade="D9"/>
          </w:tcPr>
          <w:p w14:paraId="07708E99" w14:textId="640BA783" w:rsidR="002E355A" w:rsidRPr="00A54A75" w:rsidRDefault="002E355A" w:rsidP="004E6F40">
            <w:pPr>
              <w:pStyle w:val="APVMATableHead"/>
            </w:pPr>
            <w:r>
              <w:t>SYN545974 + 2,4,6-TCP</w:t>
            </w:r>
            <w:r w:rsidRPr="00A54A75">
              <w:t xml:space="preserve"> residue (</w:t>
            </w:r>
            <w:r w:rsidR="004E6F40" w:rsidRPr="00A54A75">
              <w:rPr>
                <w:caps w:val="0"/>
              </w:rPr>
              <w:t>mg/kg</w:t>
            </w:r>
            <w:r w:rsidRPr="00A54A75">
              <w:t>)</w:t>
            </w:r>
          </w:p>
        </w:tc>
      </w:tr>
      <w:tr w:rsidR="002E355A" w:rsidRPr="00A54A75" w14:paraId="5B433524" w14:textId="77777777" w:rsidTr="00D641E2">
        <w:trPr>
          <w:trHeight w:val="340"/>
        </w:trPr>
        <w:tc>
          <w:tcPr>
            <w:tcW w:w="1404" w:type="pct"/>
            <w:tcBorders>
              <w:left w:val="single" w:sz="4" w:space="0" w:color="auto"/>
            </w:tcBorders>
          </w:tcPr>
          <w:p w14:paraId="226F93E2" w14:textId="77777777" w:rsidR="002E355A" w:rsidRPr="007E5F06" w:rsidRDefault="002E355A" w:rsidP="004E6F40">
            <w:pPr>
              <w:pStyle w:val="APVMATableText"/>
              <w:rPr>
                <w:lang w:val="en-GB"/>
              </w:rPr>
            </w:pPr>
            <w:r w:rsidRPr="007E5F06">
              <w:rPr>
                <w:lang w:val="en-GB"/>
              </w:rPr>
              <w:t>3</w:t>
            </w:r>
            <w:r>
              <w:rPr>
                <w:lang w:val="en-GB"/>
              </w:rPr>
              <w:t xml:space="preserve"> (actual)</w:t>
            </w:r>
          </w:p>
        </w:tc>
        <w:tc>
          <w:tcPr>
            <w:tcW w:w="720" w:type="pct"/>
          </w:tcPr>
          <w:p w14:paraId="2D890936" w14:textId="77777777" w:rsidR="002E355A" w:rsidRPr="007E5F06" w:rsidRDefault="002E355A" w:rsidP="004E6F40">
            <w:pPr>
              <w:pStyle w:val="APVMATableText"/>
              <w:rPr>
                <w:lang w:val="en-GB"/>
              </w:rPr>
            </w:pPr>
            <w:r w:rsidRPr="007E5F06">
              <w:rPr>
                <w:lang w:val="en-GB"/>
              </w:rPr>
              <w:t>&lt;0.01 + &lt;0.01</w:t>
            </w:r>
          </w:p>
        </w:tc>
        <w:tc>
          <w:tcPr>
            <w:tcW w:w="720" w:type="pct"/>
          </w:tcPr>
          <w:p w14:paraId="7D333AB9" w14:textId="77777777" w:rsidR="002E355A" w:rsidRPr="007E5F06" w:rsidRDefault="002E355A" w:rsidP="004E6F40">
            <w:pPr>
              <w:pStyle w:val="APVMATableText"/>
              <w:rPr>
                <w:lang w:val="en-GB"/>
              </w:rPr>
            </w:pPr>
            <w:r w:rsidRPr="007E5F06">
              <w:rPr>
                <w:lang w:val="en-GB"/>
              </w:rPr>
              <w:t>&lt;0.01 + &lt;0.01</w:t>
            </w:r>
          </w:p>
        </w:tc>
        <w:tc>
          <w:tcPr>
            <w:tcW w:w="720" w:type="pct"/>
          </w:tcPr>
          <w:p w14:paraId="3160D0CE" w14:textId="77777777" w:rsidR="002E355A" w:rsidRPr="007E5F06" w:rsidRDefault="002E355A" w:rsidP="004E6F40">
            <w:pPr>
              <w:pStyle w:val="APVMATableText"/>
              <w:rPr>
                <w:lang w:val="en-GB"/>
              </w:rPr>
            </w:pPr>
            <w:r w:rsidRPr="007E5F06">
              <w:rPr>
                <w:lang w:val="en-GB"/>
              </w:rPr>
              <w:t>&lt;0.01 + &lt;0.01</w:t>
            </w:r>
          </w:p>
        </w:tc>
        <w:tc>
          <w:tcPr>
            <w:tcW w:w="720" w:type="pct"/>
          </w:tcPr>
          <w:p w14:paraId="6A374394" w14:textId="77777777" w:rsidR="002E355A" w:rsidRPr="007E5F06" w:rsidRDefault="002E355A" w:rsidP="004E6F40">
            <w:pPr>
              <w:pStyle w:val="APVMATableText"/>
              <w:rPr>
                <w:lang w:val="en-GB"/>
              </w:rPr>
            </w:pPr>
            <w:r w:rsidRPr="007E5F06">
              <w:rPr>
                <w:lang w:val="en-GB"/>
              </w:rPr>
              <w:t>&lt;0.01 + &lt;0.01</w:t>
            </w:r>
          </w:p>
        </w:tc>
        <w:tc>
          <w:tcPr>
            <w:tcW w:w="717" w:type="pct"/>
            <w:tcBorders>
              <w:right w:val="single" w:sz="4" w:space="0" w:color="auto"/>
            </w:tcBorders>
          </w:tcPr>
          <w:p w14:paraId="65286F50" w14:textId="77777777" w:rsidR="002E355A" w:rsidRPr="007E5F06" w:rsidRDefault="002E355A" w:rsidP="004E6F40">
            <w:pPr>
              <w:pStyle w:val="APVMATableText"/>
              <w:rPr>
                <w:lang w:val="en-GB"/>
              </w:rPr>
            </w:pPr>
            <w:r w:rsidRPr="007E5F06">
              <w:rPr>
                <w:lang w:val="en-GB"/>
              </w:rPr>
              <w:t>&lt;0.01 + &lt;0.01</w:t>
            </w:r>
          </w:p>
        </w:tc>
      </w:tr>
      <w:tr w:rsidR="002E355A" w:rsidRPr="00A54A75" w14:paraId="04A8D93B" w14:textId="77777777" w:rsidTr="00D641E2">
        <w:trPr>
          <w:trHeight w:val="338"/>
        </w:trPr>
        <w:tc>
          <w:tcPr>
            <w:tcW w:w="1404" w:type="pct"/>
            <w:tcBorders>
              <w:left w:val="single" w:sz="4" w:space="0" w:color="auto"/>
              <w:bottom w:val="single" w:sz="4" w:space="0" w:color="auto"/>
            </w:tcBorders>
          </w:tcPr>
          <w:p w14:paraId="3C5A8131" w14:textId="0CFE1119" w:rsidR="002E355A" w:rsidRPr="007E5F06" w:rsidRDefault="002E355A" w:rsidP="004E6F40">
            <w:pPr>
              <w:pStyle w:val="APVMATableText"/>
              <w:rPr>
                <w:lang w:val="en-GB"/>
              </w:rPr>
            </w:pPr>
            <w:r w:rsidRPr="007E5F06">
              <w:rPr>
                <w:lang w:val="en-GB"/>
              </w:rPr>
              <w:t>0.001</w:t>
            </w:r>
            <w:r w:rsidR="004E6F40">
              <w:rPr>
                <w:lang w:val="en-GB"/>
              </w:rPr>
              <w:t>–</w:t>
            </w:r>
            <w:r w:rsidRPr="007E5F06">
              <w:rPr>
                <w:lang w:val="en-GB"/>
              </w:rPr>
              <w:t>estimated burden</w:t>
            </w:r>
          </w:p>
        </w:tc>
        <w:tc>
          <w:tcPr>
            <w:tcW w:w="720" w:type="pct"/>
            <w:tcBorders>
              <w:bottom w:val="single" w:sz="4" w:space="0" w:color="auto"/>
            </w:tcBorders>
          </w:tcPr>
          <w:p w14:paraId="771B09D7" w14:textId="77777777" w:rsidR="002E355A" w:rsidRPr="007E5F06" w:rsidRDefault="002E355A" w:rsidP="004E6F40">
            <w:pPr>
              <w:pStyle w:val="APVMATableText"/>
              <w:rPr>
                <w:lang w:val="en-GB"/>
              </w:rPr>
            </w:pPr>
            <w:r w:rsidRPr="007E5F06">
              <w:rPr>
                <w:lang w:val="en-GB"/>
              </w:rPr>
              <w:t>&lt;0.01 + &lt;0.01</w:t>
            </w:r>
          </w:p>
        </w:tc>
        <w:tc>
          <w:tcPr>
            <w:tcW w:w="720" w:type="pct"/>
            <w:tcBorders>
              <w:bottom w:val="single" w:sz="4" w:space="0" w:color="auto"/>
            </w:tcBorders>
          </w:tcPr>
          <w:p w14:paraId="63558386" w14:textId="77777777" w:rsidR="002E355A" w:rsidRPr="007E5F06" w:rsidRDefault="002E355A" w:rsidP="004E6F40">
            <w:pPr>
              <w:pStyle w:val="APVMATableText"/>
              <w:rPr>
                <w:lang w:val="en-GB"/>
              </w:rPr>
            </w:pPr>
            <w:r w:rsidRPr="007E5F06">
              <w:rPr>
                <w:lang w:val="en-GB"/>
              </w:rPr>
              <w:t>&lt;0.01 + &lt;0.01</w:t>
            </w:r>
          </w:p>
        </w:tc>
        <w:tc>
          <w:tcPr>
            <w:tcW w:w="720" w:type="pct"/>
            <w:tcBorders>
              <w:bottom w:val="single" w:sz="4" w:space="0" w:color="auto"/>
            </w:tcBorders>
          </w:tcPr>
          <w:p w14:paraId="62A3A6C9" w14:textId="77777777" w:rsidR="002E355A" w:rsidRPr="007E5F06" w:rsidRDefault="002E355A" w:rsidP="004E6F40">
            <w:pPr>
              <w:pStyle w:val="APVMATableText"/>
              <w:rPr>
                <w:lang w:val="en-GB"/>
              </w:rPr>
            </w:pPr>
            <w:r w:rsidRPr="007E5F06">
              <w:rPr>
                <w:lang w:val="en-GB"/>
              </w:rPr>
              <w:t>&lt;0.01 + &lt;0.01</w:t>
            </w:r>
          </w:p>
        </w:tc>
        <w:tc>
          <w:tcPr>
            <w:tcW w:w="720" w:type="pct"/>
            <w:tcBorders>
              <w:bottom w:val="single" w:sz="4" w:space="0" w:color="auto"/>
            </w:tcBorders>
          </w:tcPr>
          <w:p w14:paraId="3B425791" w14:textId="77777777" w:rsidR="002E355A" w:rsidRPr="007E5F06" w:rsidRDefault="002E355A" w:rsidP="004E6F40">
            <w:pPr>
              <w:pStyle w:val="APVMATableText"/>
              <w:rPr>
                <w:lang w:val="en-GB"/>
              </w:rPr>
            </w:pPr>
            <w:r w:rsidRPr="007E5F06">
              <w:rPr>
                <w:lang w:val="en-GB"/>
              </w:rPr>
              <w:t>&lt;0.01 + &lt;0.01</w:t>
            </w:r>
          </w:p>
        </w:tc>
        <w:tc>
          <w:tcPr>
            <w:tcW w:w="717" w:type="pct"/>
            <w:tcBorders>
              <w:bottom w:val="single" w:sz="4" w:space="0" w:color="auto"/>
              <w:right w:val="single" w:sz="4" w:space="0" w:color="auto"/>
            </w:tcBorders>
          </w:tcPr>
          <w:p w14:paraId="7B263AC0" w14:textId="77777777" w:rsidR="002E355A" w:rsidRPr="007E5F06" w:rsidRDefault="002E355A" w:rsidP="004E6F40">
            <w:pPr>
              <w:pStyle w:val="APVMATableText"/>
              <w:rPr>
                <w:lang w:val="en-GB"/>
              </w:rPr>
            </w:pPr>
            <w:r w:rsidRPr="007E5F06">
              <w:rPr>
                <w:lang w:val="en-GB"/>
              </w:rPr>
              <w:t>&lt;0.01 + &lt;0.01</w:t>
            </w:r>
          </w:p>
        </w:tc>
      </w:tr>
      <w:tr w:rsidR="002E355A" w:rsidRPr="00A54A75" w14:paraId="1DEB21B4" w14:textId="77777777" w:rsidTr="00D641E2">
        <w:trPr>
          <w:trHeight w:val="338"/>
        </w:trPr>
        <w:tc>
          <w:tcPr>
            <w:tcW w:w="1404" w:type="pct"/>
            <w:tcBorders>
              <w:top w:val="single" w:sz="4" w:space="0" w:color="auto"/>
              <w:left w:val="single" w:sz="4" w:space="0" w:color="auto"/>
              <w:bottom w:val="dotted" w:sz="4" w:space="0" w:color="auto"/>
            </w:tcBorders>
          </w:tcPr>
          <w:p w14:paraId="5CA25B1D" w14:textId="77777777" w:rsidR="002E355A" w:rsidRPr="007E5F06" w:rsidRDefault="002E355A" w:rsidP="004E6F40">
            <w:pPr>
              <w:pStyle w:val="APVMATableText"/>
              <w:rPr>
                <w:lang w:val="en-GB"/>
              </w:rPr>
            </w:pPr>
            <w:r w:rsidRPr="007E5F06">
              <w:rPr>
                <w:lang w:val="en-GB"/>
              </w:rPr>
              <w:t>Established MRLs</w:t>
            </w:r>
          </w:p>
        </w:tc>
        <w:tc>
          <w:tcPr>
            <w:tcW w:w="720" w:type="pct"/>
            <w:tcBorders>
              <w:top w:val="single" w:sz="4" w:space="0" w:color="auto"/>
              <w:bottom w:val="dotted" w:sz="4" w:space="0" w:color="auto"/>
            </w:tcBorders>
          </w:tcPr>
          <w:p w14:paraId="5B8E4798" w14:textId="77777777" w:rsidR="002E355A" w:rsidRPr="007E5F06" w:rsidRDefault="002E355A" w:rsidP="004E6F40">
            <w:pPr>
              <w:pStyle w:val="APVMATableText"/>
              <w:rPr>
                <w:lang w:val="en-GB"/>
              </w:rPr>
            </w:pPr>
            <w:r w:rsidRPr="007E5F06">
              <w:rPr>
                <w:lang w:val="en-GB"/>
              </w:rPr>
              <w:t>-</w:t>
            </w:r>
          </w:p>
        </w:tc>
        <w:tc>
          <w:tcPr>
            <w:tcW w:w="720" w:type="pct"/>
            <w:tcBorders>
              <w:top w:val="single" w:sz="4" w:space="0" w:color="auto"/>
              <w:bottom w:val="dotted" w:sz="4" w:space="0" w:color="auto"/>
            </w:tcBorders>
          </w:tcPr>
          <w:p w14:paraId="7C5D66CF" w14:textId="77777777" w:rsidR="002E355A" w:rsidRPr="007E5F06" w:rsidRDefault="002E355A" w:rsidP="004E6F40">
            <w:pPr>
              <w:pStyle w:val="APVMATableText"/>
              <w:rPr>
                <w:lang w:val="en-GB"/>
              </w:rPr>
            </w:pPr>
            <w:r w:rsidRPr="007E5F06">
              <w:rPr>
                <w:lang w:val="en-GB"/>
              </w:rPr>
              <w:t>-</w:t>
            </w:r>
          </w:p>
        </w:tc>
        <w:tc>
          <w:tcPr>
            <w:tcW w:w="1440" w:type="pct"/>
            <w:gridSpan w:val="2"/>
            <w:tcBorders>
              <w:top w:val="single" w:sz="4" w:space="0" w:color="auto"/>
              <w:bottom w:val="dotted" w:sz="4" w:space="0" w:color="auto"/>
            </w:tcBorders>
          </w:tcPr>
          <w:p w14:paraId="263E162D" w14:textId="77777777" w:rsidR="002E355A" w:rsidRPr="007E5F06" w:rsidRDefault="002E355A" w:rsidP="004E6F40">
            <w:pPr>
              <w:pStyle w:val="APVMATableText"/>
              <w:rPr>
                <w:lang w:val="en-GB"/>
              </w:rPr>
            </w:pPr>
            <w:r w:rsidRPr="007E5F06">
              <w:rPr>
                <w:lang w:val="en-GB"/>
              </w:rPr>
              <w:t>-</w:t>
            </w:r>
          </w:p>
        </w:tc>
        <w:tc>
          <w:tcPr>
            <w:tcW w:w="717" w:type="pct"/>
            <w:tcBorders>
              <w:top w:val="single" w:sz="4" w:space="0" w:color="auto"/>
              <w:bottom w:val="dotted" w:sz="4" w:space="0" w:color="auto"/>
              <w:right w:val="single" w:sz="4" w:space="0" w:color="auto"/>
            </w:tcBorders>
          </w:tcPr>
          <w:p w14:paraId="36E5834E" w14:textId="77777777" w:rsidR="002E355A" w:rsidRPr="007E5F06" w:rsidRDefault="002E355A" w:rsidP="004E6F40">
            <w:pPr>
              <w:pStyle w:val="APVMATableText"/>
              <w:rPr>
                <w:lang w:val="en-GB"/>
              </w:rPr>
            </w:pPr>
            <w:r w:rsidRPr="007E5F06">
              <w:rPr>
                <w:lang w:val="en-GB"/>
              </w:rPr>
              <w:t>-</w:t>
            </w:r>
          </w:p>
        </w:tc>
      </w:tr>
      <w:tr w:rsidR="002E355A" w:rsidRPr="00A54A75" w14:paraId="18B016B9" w14:textId="77777777" w:rsidTr="00D641E2">
        <w:trPr>
          <w:trHeight w:val="338"/>
        </w:trPr>
        <w:tc>
          <w:tcPr>
            <w:tcW w:w="1404" w:type="pct"/>
            <w:tcBorders>
              <w:top w:val="dotted" w:sz="4" w:space="0" w:color="auto"/>
              <w:left w:val="single" w:sz="4" w:space="0" w:color="auto"/>
              <w:bottom w:val="single" w:sz="4" w:space="0" w:color="auto"/>
            </w:tcBorders>
          </w:tcPr>
          <w:p w14:paraId="6078AC1D" w14:textId="77777777" w:rsidR="002E355A" w:rsidRPr="007E5F06" w:rsidRDefault="002E355A" w:rsidP="004E6F40">
            <w:pPr>
              <w:pStyle w:val="APVMATableText"/>
              <w:rPr>
                <w:lang w:val="en-GB"/>
              </w:rPr>
            </w:pPr>
            <w:r w:rsidRPr="007E5F06">
              <w:rPr>
                <w:lang w:val="en-GB"/>
              </w:rPr>
              <w:t>Recommended MRLs</w:t>
            </w:r>
          </w:p>
        </w:tc>
        <w:tc>
          <w:tcPr>
            <w:tcW w:w="720" w:type="pct"/>
            <w:tcBorders>
              <w:top w:val="dotted" w:sz="4" w:space="0" w:color="auto"/>
              <w:bottom w:val="single" w:sz="4" w:space="0" w:color="auto"/>
            </w:tcBorders>
          </w:tcPr>
          <w:p w14:paraId="106FB772" w14:textId="77777777" w:rsidR="002E355A" w:rsidRPr="007E5F06" w:rsidRDefault="007B49B3" w:rsidP="004E6F40">
            <w:pPr>
              <w:pStyle w:val="APVMATableText"/>
              <w:rPr>
                <w:lang w:val="en-GB"/>
              </w:rPr>
            </w:pPr>
            <w:r>
              <w:rPr>
                <w:lang w:val="en-GB"/>
              </w:rPr>
              <w:t>*0.01</w:t>
            </w:r>
          </w:p>
        </w:tc>
        <w:tc>
          <w:tcPr>
            <w:tcW w:w="720" w:type="pct"/>
            <w:tcBorders>
              <w:top w:val="dotted" w:sz="4" w:space="0" w:color="auto"/>
              <w:bottom w:val="single" w:sz="4" w:space="0" w:color="auto"/>
            </w:tcBorders>
          </w:tcPr>
          <w:p w14:paraId="28DD3AE6" w14:textId="77777777" w:rsidR="002E355A" w:rsidRPr="007E5F06" w:rsidRDefault="007B49B3" w:rsidP="004E6F40">
            <w:pPr>
              <w:pStyle w:val="APVMATableText"/>
              <w:rPr>
                <w:lang w:val="en-GB"/>
              </w:rPr>
            </w:pPr>
            <w:r>
              <w:rPr>
                <w:lang w:val="en-GB"/>
              </w:rPr>
              <w:t>*0.01</w:t>
            </w:r>
          </w:p>
        </w:tc>
        <w:tc>
          <w:tcPr>
            <w:tcW w:w="1440" w:type="pct"/>
            <w:gridSpan w:val="2"/>
            <w:tcBorders>
              <w:top w:val="dotted" w:sz="4" w:space="0" w:color="auto"/>
              <w:bottom w:val="single" w:sz="4" w:space="0" w:color="auto"/>
            </w:tcBorders>
          </w:tcPr>
          <w:p w14:paraId="4A296305" w14:textId="77777777" w:rsidR="002E355A" w:rsidRPr="007E5F06" w:rsidRDefault="007B49B3" w:rsidP="004E6F40">
            <w:pPr>
              <w:pStyle w:val="APVMATableText"/>
              <w:rPr>
                <w:lang w:val="en-GB"/>
              </w:rPr>
            </w:pPr>
            <w:r>
              <w:rPr>
                <w:lang w:val="en-GB"/>
              </w:rPr>
              <w:t>*0.01</w:t>
            </w:r>
          </w:p>
        </w:tc>
        <w:tc>
          <w:tcPr>
            <w:tcW w:w="717" w:type="pct"/>
            <w:tcBorders>
              <w:top w:val="dotted" w:sz="4" w:space="0" w:color="auto"/>
              <w:bottom w:val="single" w:sz="4" w:space="0" w:color="auto"/>
              <w:right w:val="single" w:sz="4" w:space="0" w:color="auto"/>
            </w:tcBorders>
          </w:tcPr>
          <w:p w14:paraId="30C88C03" w14:textId="77777777" w:rsidR="002E355A" w:rsidRPr="007E5F06" w:rsidRDefault="002E355A" w:rsidP="004E6F40">
            <w:pPr>
              <w:pStyle w:val="APVMATableText"/>
              <w:rPr>
                <w:lang w:val="en-GB"/>
              </w:rPr>
            </w:pPr>
            <w:r w:rsidRPr="007E5F06">
              <w:rPr>
                <w:lang w:val="en-GB"/>
              </w:rPr>
              <w:t>-</w:t>
            </w:r>
          </w:p>
        </w:tc>
      </w:tr>
    </w:tbl>
    <w:p w14:paraId="4917E24F" w14:textId="77777777" w:rsidR="002E355A" w:rsidRDefault="002E355A" w:rsidP="002E355A">
      <w:pPr>
        <w:pStyle w:val="Heading2"/>
        <w:rPr>
          <w:lang w:val="en-GB"/>
        </w:rPr>
      </w:pPr>
      <w:bookmarkStart w:id="26" w:name="_Toc507406669"/>
      <w:r>
        <w:rPr>
          <w:lang w:val="en-GB"/>
        </w:rPr>
        <w:t>Estimated dietary intake</w:t>
      </w:r>
      <w:bookmarkEnd w:id="26"/>
    </w:p>
    <w:p w14:paraId="3451D6FA" w14:textId="55884144" w:rsidR="002E355A" w:rsidRDefault="002E355A">
      <w:pPr>
        <w:pStyle w:val="APVMAText"/>
        <w:rPr>
          <w:lang w:val="en-GB"/>
        </w:rPr>
      </w:pPr>
      <w:r>
        <w:t xml:space="preserve">The chronic dietary exposures to </w:t>
      </w:r>
      <w:r w:rsidRPr="00707ED8">
        <w:t xml:space="preserve">pydiflumetofen </w:t>
      </w:r>
      <w:r>
        <w:t>is</w:t>
      </w:r>
      <w:r w:rsidRPr="00707ED8">
        <w:t xml:space="preserve"> e</w:t>
      </w:r>
      <w:r>
        <w:t>stimated by the National Estimated Daily Intake (NEDI) calculation encompassing all registered/temporary uses of the chemical and the mean daily dietary consumption data derived primarily from the 1995 National Nutrition Survey of Australia. The NEDI calculation is made in accordance with WHO Guidelines</w:t>
      </w:r>
      <w:r>
        <w:rPr>
          <w:vertAlign w:val="superscript"/>
        </w:rPr>
        <w:footnoteReference w:id="3"/>
      </w:r>
      <w:r>
        <w:t xml:space="preserve"> and is a conservative estimate of dietary exposure to chemical residues in food</w:t>
      </w:r>
      <w:r w:rsidR="007114A9">
        <w:t xml:space="preserve">. </w:t>
      </w:r>
      <w:r>
        <w:t xml:space="preserve">The NEDI for </w:t>
      </w:r>
      <w:r w:rsidRPr="00707ED8">
        <w:t>pydiflumetofen</w:t>
      </w:r>
      <w:r>
        <w:t xml:space="preserve"> is equivalent to </w:t>
      </w:r>
      <w:r w:rsidR="00024E1E" w:rsidRPr="00024E1E">
        <w:t>&lt;1</w:t>
      </w:r>
      <w:r w:rsidRPr="00024E1E">
        <w:t xml:space="preserve">% </w:t>
      </w:r>
      <w:r>
        <w:t xml:space="preserve">of the ADI. It is concluded that the chronic dietary exposures </w:t>
      </w:r>
      <w:r w:rsidRPr="00707ED8">
        <w:t xml:space="preserve">to </w:t>
      </w:r>
      <w:r>
        <w:t>pydiflumetofen is</w:t>
      </w:r>
      <w:r w:rsidRPr="00707ED8">
        <w:t xml:space="preserve"> </w:t>
      </w:r>
      <w:r>
        <w:t>acceptable.</w:t>
      </w:r>
    </w:p>
    <w:p w14:paraId="42B10C56" w14:textId="77777777" w:rsidR="002E355A" w:rsidRDefault="002E355A">
      <w:pPr>
        <w:pStyle w:val="APVMAText"/>
      </w:pPr>
      <w:r>
        <w:t xml:space="preserve">The acute dietary exposure is estimated by the National Estimated Short Term Intake (NESTI) calculation. The NESTI calculations are made in accordance with the deterministic method used by the JMPR with 97.5th percentile food consumption data derived primarily from the 1995 National Nutrition Survey of Australia. NESTI calculations are </w:t>
      </w:r>
      <w:r w:rsidRPr="00882020">
        <w:t xml:space="preserve">conservative estimates of short-term exposure (24 hour period) to chemical residues in food. </w:t>
      </w:r>
      <w:r w:rsidR="00024E1E">
        <w:t>An acute reference dose is no</w:t>
      </w:r>
      <w:r w:rsidR="0032309D">
        <w:t>t required for pydiflumetofen and a</w:t>
      </w:r>
      <w:r w:rsidR="00024E1E">
        <w:t xml:space="preserve"> NESTI calculation will not be undertaken.</w:t>
      </w:r>
    </w:p>
    <w:p w14:paraId="1D331F14" w14:textId="77777777" w:rsidR="002E355A" w:rsidRDefault="00D641E2" w:rsidP="00D641E2">
      <w:pPr>
        <w:pStyle w:val="Heading2"/>
      </w:pPr>
      <w:bookmarkStart w:id="27" w:name="_Toc507406670"/>
      <w:r>
        <w:t>Bioaccumulation potential</w:t>
      </w:r>
      <w:bookmarkEnd w:id="27"/>
    </w:p>
    <w:p w14:paraId="4D3C01F4" w14:textId="4BA57DF7" w:rsidR="002E355A" w:rsidRDefault="00D641E2">
      <w:pPr>
        <w:pStyle w:val="APVMAText"/>
      </w:pPr>
      <w:r>
        <w:t>The Log P</w:t>
      </w:r>
      <w:r>
        <w:rPr>
          <w:vertAlign w:val="subscript"/>
        </w:rPr>
        <w:t>ow</w:t>
      </w:r>
      <w:r>
        <w:t xml:space="preserve"> of pydiflumetofen has been determined to be 3.8 at 25</w:t>
      </w:r>
      <w:r w:rsidR="00BB245D">
        <w:t xml:space="preserve"> </w:t>
      </w:r>
      <w:r>
        <w:rPr>
          <w:vertAlign w:val="superscript"/>
        </w:rPr>
        <w:t>o</w:t>
      </w:r>
      <w:r>
        <w:t xml:space="preserve">C suggesting some fat solubility. The metabolites recommended for inclusion in the residue definition </w:t>
      </w:r>
      <w:r w:rsidR="00A66C24">
        <w:t xml:space="preserve">for risk assessment </w:t>
      </w:r>
      <w:r>
        <w:t>for animal commodities are likely to be less fat soluble than parent. As residues are not expected to occur in animal commodities as a result of the proposed use patter</w:t>
      </w:r>
      <w:r w:rsidR="000508DC">
        <w:t>n, the meat MRLs (at the LOQ for parent</w:t>
      </w:r>
      <w:r>
        <w:t>) will not be established “in the fat”</w:t>
      </w:r>
      <w:r w:rsidR="0032309D">
        <w:t xml:space="preserve"> at this time</w:t>
      </w:r>
      <w:r>
        <w:t>.</w:t>
      </w:r>
    </w:p>
    <w:p w14:paraId="1223D69E" w14:textId="77777777" w:rsidR="002E355A" w:rsidRDefault="00D641E2" w:rsidP="00D641E2">
      <w:pPr>
        <w:pStyle w:val="Heading2"/>
      </w:pPr>
      <w:bookmarkStart w:id="28" w:name="_Toc507406671"/>
      <w:r>
        <w:lastRenderedPageBreak/>
        <w:t>Spray drift</w:t>
      </w:r>
      <w:bookmarkEnd w:id="28"/>
    </w:p>
    <w:p w14:paraId="03ED313C" w14:textId="77777777" w:rsidR="00D641E2" w:rsidRDefault="00D641E2">
      <w:pPr>
        <w:pStyle w:val="APVMAText"/>
      </w:pPr>
      <w:r>
        <w:t>The product will be applied by ground application only with medium spray droplets.</w:t>
      </w:r>
    </w:p>
    <w:p w14:paraId="3D86895D" w14:textId="77777777" w:rsidR="00D641E2" w:rsidRDefault="00D641E2">
      <w:pPr>
        <w:pStyle w:val="APVMAText"/>
      </w:pPr>
      <w:r>
        <w:t>In an animal tran</w:t>
      </w:r>
      <w:r w:rsidR="00BC349F">
        <w:t>sfer study, the maximum residue</w:t>
      </w:r>
      <w:r>
        <w:t xml:space="preserve"> in tissues after dosing at 15 ppm was 0.06 mg/kg </w:t>
      </w:r>
      <w:r w:rsidR="0032309D">
        <w:t xml:space="preserve">of metabolite </w:t>
      </w:r>
      <w:r>
        <w:t>SYN547897 in liver and kidney. The feeding level for residues of SYN547897 to be at the LOQ of 0.01 mg/kg is 2.5 ppm. Assuming pasture consists of 1500 kg DM/ha this corresponds to an allowable drift of 3.75 g ai/ha. As a fraction of the field rate for canola this is 0.031×.</w:t>
      </w:r>
    </w:p>
    <w:p w14:paraId="6D5081F5" w14:textId="77777777" w:rsidR="002E355A" w:rsidRDefault="00D641E2">
      <w:pPr>
        <w:pStyle w:val="APVMAText"/>
      </w:pPr>
      <w:r>
        <w:t>The APVMA’s standard scenario for ground application with a high boom and medium droplets indicates drift will drop to below 0.031× the field rate by 6 metres downwind of the application area. Mandatory no-spray zones for protection of international trade are not required for application to canola (or potatoes which have a lower application rate).</w:t>
      </w:r>
    </w:p>
    <w:p w14:paraId="449697A7" w14:textId="77777777" w:rsidR="00D641E2" w:rsidRDefault="00D641E2">
      <w:pPr>
        <w:pStyle w:val="APVMAText"/>
      </w:pPr>
      <w:r>
        <w:t>The application concentration for grapes is 4 g ai/100 L. For a spray volume of 1000 L/ha this corresponds to a rate of 40 g ai/ha. The allowable drift of 3.75 g ai/ha corresponds to 0.094× the field rate. The APVMA’s standard scenario for airblast application to vineyards indicates drift will drop to below 0.094× the field rate by 0.5 metres downwind of the application area. Mandatory no-spray zones for protection of international trade are not required for airblast application to grapevines.</w:t>
      </w:r>
    </w:p>
    <w:p w14:paraId="6044C10D" w14:textId="77777777" w:rsidR="00D641E2" w:rsidRDefault="00D641E2">
      <w:pPr>
        <w:rPr>
          <w:rFonts w:cs="Arial"/>
          <w:u w:color="000000"/>
          <w:lang w:val="en-GB"/>
        </w:rPr>
      </w:pPr>
      <w:r>
        <w:rPr>
          <w:lang w:val="en-GB"/>
        </w:rPr>
        <w:br w:type="page"/>
      </w:r>
    </w:p>
    <w:p w14:paraId="48AEF254" w14:textId="77777777" w:rsidR="00D641E2" w:rsidRDefault="00D641E2" w:rsidP="00D641E2">
      <w:pPr>
        <w:pStyle w:val="Heading2"/>
        <w:rPr>
          <w:lang w:val="en-GB"/>
        </w:rPr>
      </w:pPr>
      <w:bookmarkStart w:id="29" w:name="_Toc507406672"/>
      <w:r>
        <w:rPr>
          <w:lang w:val="en-GB"/>
        </w:rPr>
        <w:lastRenderedPageBreak/>
        <w:t>Recommendations</w:t>
      </w:r>
      <w:bookmarkEnd w:id="29"/>
    </w:p>
    <w:p w14:paraId="7A935BDA" w14:textId="77777777" w:rsidR="00D641E2" w:rsidRDefault="00D641E2">
      <w:pPr>
        <w:pStyle w:val="APVMAText"/>
        <w:rPr>
          <w:lang w:val="en-GB"/>
        </w:rPr>
      </w:pPr>
      <w:r>
        <w:t>In considering the application, and section 5A(3)(b)</w:t>
      </w:r>
      <w:r w:rsidRPr="007139BF">
        <w:t>(iii)</w:t>
      </w:r>
      <w:r>
        <w:t xml:space="preserve"> of the schedule to the Code Act, the following amendments will be made to the APVMA MRL Standard should the application be approved:</w:t>
      </w:r>
    </w:p>
    <w:p w14:paraId="0237A426" w14:textId="77777777" w:rsidR="00D641E2" w:rsidRPr="007B1810" w:rsidRDefault="00D641E2" w:rsidP="007B1810">
      <w:pPr>
        <w:pStyle w:val="MRLTableHeading"/>
      </w:pPr>
      <w:r w:rsidRPr="007B1810">
        <w:t>Table 1</w:t>
      </w:r>
    </w:p>
    <w:tbl>
      <w:tblPr>
        <w:tblW w:w="9758" w:type="dxa"/>
        <w:tblInd w:w="93" w:type="dxa"/>
        <w:tblLook w:val="04A0" w:firstRow="1" w:lastRow="0" w:firstColumn="1" w:lastColumn="0" w:noHBand="0" w:noVBand="1"/>
        <w:tblCaption w:val="Table 1 "/>
        <w:tblDescription w:val="Proposed pydiflumetofen Table 1 entries to the APVMA MRL Standard"/>
      </w:tblPr>
      <w:tblGrid>
        <w:gridCol w:w="2387"/>
        <w:gridCol w:w="5528"/>
        <w:gridCol w:w="1843"/>
      </w:tblGrid>
      <w:tr w:rsidR="007B49B3" w:rsidRPr="007B1810" w14:paraId="4503C215" w14:textId="77777777" w:rsidTr="00AA4C96">
        <w:trPr>
          <w:cantSplit/>
          <w:tblHeader/>
        </w:trPr>
        <w:tc>
          <w:tcPr>
            <w:tcW w:w="2387" w:type="dxa"/>
            <w:tcBorders>
              <w:top w:val="single" w:sz="4" w:space="0" w:color="auto"/>
              <w:left w:val="nil"/>
              <w:bottom w:val="single" w:sz="4" w:space="0" w:color="auto"/>
              <w:right w:val="nil"/>
            </w:tcBorders>
            <w:noWrap/>
          </w:tcPr>
          <w:p w14:paraId="2BA0F34A" w14:textId="77777777" w:rsidR="007B49B3" w:rsidRPr="007B1810" w:rsidRDefault="007B49B3" w:rsidP="007B1810">
            <w:pPr>
              <w:pStyle w:val="MRLTableHeading"/>
            </w:pPr>
            <w:r w:rsidRPr="007B1810">
              <w:t>COMPOUND</w:t>
            </w:r>
          </w:p>
        </w:tc>
        <w:tc>
          <w:tcPr>
            <w:tcW w:w="5528" w:type="dxa"/>
            <w:tcBorders>
              <w:top w:val="single" w:sz="4" w:space="0" w:color="auto"/>
              <w:left w:val="nil"/>
              <w:bottom w:val="single" w:sz="4" w:space="0" w:color="auto"/>
              <w:right w:val="nil"/>
            </w:tcBorders>
            <w:noWrap/>
          </w:tcPr>
          <w:p w14:paraId="58A21B2D" w14:textId="77777777" w:rsidR="007B49B3" w:rsidRPr="007B1810" w:rsidRDefault="007B49B3" w:rsidP="007B1810">
            <w:pPr>
              <w:pStyle w:val="MRLTableHeading"/>
            </w:pPr>
            <w:r w:rsidRPr="007B1810">
              <w:t>FOOD</w:t>
            </w:r>
          </w:p>
        </w:tc>
        <w:tc>
          <w:tcPr>
            <w:tcW w:w="1843" w:type="dxa"/>
            <w:tcBorders>
              <w:top w:val="single" w:sz="4" w:space="0" w:color="auto"/>
              <w:left w:val="nil"/>
              <w:bottom w:val="single" w:sz="4" w:space="0" w:color="auto"/>
              <w:right w:val="nil"/>
            </w:tcBorders>
            <w:noWrap/>
          </w:tcPr>
          <w:p w14:paraId="5DF96E27" w14:textId="2499A584" w:rsidR="007B49B3" w:rsidRPr="007B1810" w:rsidRDefault="007B49B3" w:rsidP="007B1810">
            <w:pPr>
              <w:pStyle w:val="MRLTableHeading"/>
            </w:pPr>
            <w:r w:rsidRPr="007B1810">
              <w:t>MRL (</w:t>
            </w:r>
            <w:r w:rsidR="007B1810" w:rsidRPr="007B1810">
              <w:rPr>
                <w:caps w:val="0"/>
              </w:rPr>
              <w:t>mg/kg</w:t>
            </w:r>
            <w:r w:rsidRPr="007B1810">
              <w:t>)</w:t>
            </w:r>
          </w:p>
        </w:tc>
      </w:tr>
      <w:tr w:rsidR="007B49B3" w:rsidRPr="00B64687" w14:paraId="24CE0ABE" w14:textId="77777777" w:rsidTr="00AA4C96">
        <w:trPr>
          <w:cantSplit/>
        </w:trPr>
        <w:tc>
          <w:tcPr>
            <w:tcW w:w="2387" w:type="dxa"/>
            <w:tcBorders>
              <w:top w:val="nil"/>
              <w:left w:val="nil"/>
              <w:bottom w:val="nil"/>
              <w:right w:val="nil"/>
            </w:tcBorders>
            <w:noWrap/>
          </w:tcPr>
          <w:p w14:paraId="3C397965" w14:textId="77777777" w:rsidR="007B49B3" w:rsidRPr="00B64687" w:rsidRDefault="007B49B3" w:rsidP="007B1810">
            <w:pPr>
              <w:pStyle w:val="MRLTableText"/>
            </w:pPr>
            <w:r w:rsidRPr="00B64687">
              <w:t>ADD:</w:t>
            </w:r>
          </w:p>
        </w:tc>
        <w:tc>
          <w:tcPr>
            <w:tcW w:w="5528" w:type="dxa"/>
            <w:tcBorders>
              <w:top w:val="nil"/>
              <w:left w:val="nil"/>
              <w:bottom w:val="nil"/>
              <w:right w:val="nil"/>
            </w:tcBorders>
            <w:noWrap/>
          </w:tcPr>
          <w:p w14:paraId="03F2E266" w14:textId="77777777" w:rsidR="007B49B3" w:rsidRPr="00B64687" w:rsidRDefault="007B49B3" w:rsidP="007B1810">
            <w:pPr>
              <w:pStyle w:val="MRLTableText"/>
            </w:pPr>
          </w:p>
        </w:tc>
        <w:tc>
          <w:tcPr>
            <w:tcW w:w="1843" w:type="dxa"/>
            <w:tcBorders>
              <w:top w:val="nil"/>
              <w:left w:val="nil"/>
              <w:bottom w:val="nil"/>
              <w:right w:val="nil"/>
            </w:tcBorders>
            <w:noWrap/>
          </w:tcPr>
          <w:p w14:paraId="17E41A34" w14:textId="77777777" w:rsidR="007B49B3" w:rsidRPr="00B64687" w:rsidRDefault="007B49B3" w:rsidP="007B1810">
            <w:pPr>
              <w:pStyle w:val="MRLTableText"/>
            </w:pPr>
          </w:p>
        </w:tc>
      </w:tr>
      <w:tr w:rsidR="007B49B3" w:rsidRPr="00B64687" w14:paraId="30137F54" w14:textId="77777777" w:rsidTr="00AA4C96">
        <w:trPr>
          <w:cantSplit/>
        </w:trPr>
        <w:tc>
          <w:tcPr>
            <w:tcW w:w="2387" w:type="dxa"/>
            <w:tcBorders>
              <w:top w:val="nil"/>
              <w:left w:val="nil"/>
              <w:bottom w:val="nil"/>
              <w:right w:val="nil"/>
            </w:tcBorders>
            <w:noWrap/>
          </w:tcPr>
          <w:p w14:paraId="0F7EEA4D" w14:textId="77777777" w:rsidR="007B49B3" w:rsidRPr="00B64687" w:rsidRDefault="007B49B3" w:rsidP="007B1810">
            <w:pPr>
              <w:pStyle w:val="MRLCompound"/>
            </w:pPr>
            <w:r w:rsidRPr="00B64687">
              <w:t>Pydiflumetofen</w:t>
            </w:r>
          </w:p>
        </w:tc>
        <w:tc>
          <w:tcPr>
            <w:tcW w:w="5528" w:type="dxa"/>
            <w:tcBorders>
              <w:top w:val="nil"/>
              <w:left w:val="nil"/>
              <w:bottom w:val="nil"/>
              <w:right w:val="nil"/>
            </w:tcBorders>
            <w:noWrap/>
          </w:tcPr>
          <w:p w14:paraId="12EF4632" w14:textId="77777777" w:rsidR="007B49B3" w:rsidRPr="00B64687" w:rsidRDefault="007B49B3" w:rsidP="007B1810">
            <w:pPr>
              <w:pStyle w:val="MRLCompound"/>
            </w:pPr>
          </w:p>
        </w:tc>
        <w:tc>
          <w:tcPr>
            <w:tcW w:w="1843" w:type="dxa"/>
            <w:tcBorders>
              <w:top w:val="nil"/>
              <w:left w:val="nil"/>
              <w:bottom w:val="nil"/>
              <w:right w:val="nil"/>
            </w:tcBorders>
            <w:noWrap/>
          </w:tcPr>
          <w:p w14:paraId="0064A4D0" w14:textId="77777777" w:rsidR="007B49B3" w:rsidRPr="00B64687" w:rsidRDefault="007B49B3" w:rsidP="007B1810">
            <w:pPr>
              <w:pStyle w:val="MRLCompound"/>
            </w:pPr>
          </w:p>
        </w:tc>
      </w:tr>
      <w:tr w:rsidR="007B49B3" w:rsidRPr="00020AEF" w14:paraId="7D9A8340" w14:textId="77777777" w:rsidTr="00AA4C96">
        <w:trPr>
          <w:cantSplit/>
        </w:trPr>
        <w:tc>
          <w:tcPr>
            <w:tcW w:w="2387" w:type="dxa"/>
            <w:tcBorders>
              <w:top w:val="nil"/>
              <w:left w:val="nil"/>
              <w:bottom w:val="nil"/>
              <w:right w:val="nil"/>
            </w:tcBorders>
            <w:noWrap/>
          </w:tcPr>
          <w:p w14:paraId="77088318" w14:textId="77777777" w:rsidR="007B49B3" w:rsidRDefault="007B49B3" w:rsidP="007B1810">
            <w:pPr>
              <w:pStyle w:val="MRLTableText"/>
            </w:pPr>
          </w:p>
        </w:tc>
        <w:tc>
          <w:tcPr>
            <w:tcW w:w="5528" w:type="dxa"/>
            <w:tcBorders>
              <w:top w:val="nil"/>
              <w:left w:val="nil"/>
              <w:bottom w:val="nil"/>
              <w:right w:val="nil"/>
            </w:tcBorders>
            <w:noWrap/>
          </w:tcPr>
          <w:p w14:paraId="1C9A262F" w14:textId="77777777" w:rsidR="007B49B3" w:rsidRDefault="007B49B3" w:rsidP="007B1810">
            <w:pPr>
              <w:pStyle w:val="MRLTableText"/>
            </w:pPr>
            <w:r>
              <w:t>All other foods</w:t>
            </w:r>
          </w:p>
        </w:tc>
        <w:tc>
          <w:tcPr>
            <w:tcW w:w="1843" w:type="dxa"/>
            <w:tcBorders>
              <w:top w:val="nil"/>
              <w:left w:val="nil"/>
              <w:bottom w:val="nil"/>
              <w:right w:val="nil"/>
            </w:tcBorders>
            <w:noWrap/>
          </w:tcPr>
          <w:p w14:paraId="60B7934B" w14:textId="77777777" w:rsidR="007B49B3" w:rsidRDefault="007B49B3" w:rsidP="007B1810">
            <w:pPr>
              <w:pStyle w:val="MRLTableText"/>
            </w:pPr>
            <w:r>
              <w:t>*0.01</w:t>
            </w:r>
          </w:p>
        </w:tc>
      </w:tr>
      <w:tr w:rsidR="007B49B3" w:rsidRPr="00020AEF" w14:paraId="69908F02" w14:textId="77777777" w:rsidTr="00AA4C96">
        <w:trPr>
          <w:cantSplit/>
        </w:trPr>
        <w:tc>
          <w:tcPr>
            <w:tcW w:w="2387" w:type="dxa"/>
            <w:tcBorders>
              <w:top w:val="nil"/>
              <w:left w:val="nil"/>
              <w:bottom w:val="nil"/>
              <w:right w:val="nil"/>
            </w:tcBorders>
            <w:noWrap/>
          </w:tcPr>
          <w:p w14:paraId="2BAA3ABE" w14:textId="77777777" w:rsidR="007B49B3" w:rsidRDefault="007B49B3" w:rsidP="007B1810">
            <w:pPr>
              <w:pStyle w:val="MRLTableText"/>
            </w:pPr>
            <w:r>
              <w:t>DF</w:t>
            </w:r>
            <w:r>
              <w:tab/>
              <w:t>0269</w:t>
            </w:r>
          </w:p>
        </w:tc>
        <w:tc>
          <w:tcPr>
            <w:tcW w:w="5528" w:type="dxa"/>
            <w:tcBorders>
              <w:top w:val="nil"/>
              <w:left w:val="nil"/>
              <w:bottom w:val="nil"/>
              <w:right w:val="nil"/>
            </w:tcBorders>
            <w:noWrap/>
          </w:tcPr>
          <w:p w14:paraId="3C9C54AE" w14:textId="77777777" w:rsidR="007B49B3" w:rsidRDefault="007B49B3" w:rsidP="007B1810">
            <w:pPr>
              <w:pStyle w:val="MRLTableText"/>
            </w:pPr>
            <w:r>
              <w:t>Dried grapes (= Currants, Raisins and Sultanas)</w:t>
            </w:r>
          </w:p>
        </w:tc>
        <w:tc>
          <w:tcPr>
            <w:tcW w:w="1843" w:type="dxa"/>
            <w:tcBorders>
              <w:top w:val="nil"/>
              <w:left w:val="nil"/>
              <w:bottom w:val="nil"/>
              <w:right w:val="nil"/>
            </w:tcBorders>
            <w:noWrap/>
          </w:tcPr>
          <w:p w14:paraId="54695FE4" w14:textId="77777777" w:rsidR="007B49B3" w:rsidRPr="00020AEF" w:rsidRDefault="007B49B3" w:rsidP="007B1810">
            <w:pPr>
              <w:pStyle w:val="MRLTableText"/>
            </w:pPr>
            <w:r>
              <w:t>0.3</w:t>
            </w:r>
          </w:p>
        </w:tc>
      </w:tr>
      <w:tr w:rsidR="007B49B3" w:rsidRPr="00020AEF" w14:paraId="525B5077" w14:textId="77777777" w:rsidTr="00AA4C96">
        <w:trPr>
          <w:cantSplit/>
        </w:trPr>
        <w:tc>
          <w:tcPr>
            <w:tcW w:w="2387" w:type="dxa"/>
            <w:tcBorders>
              <w:top w:val="nil"/>
              <w:left w:val="nil"/>
              <w:bottom w:val="nil"/>
              <w:right w:val="nil"/>
            </w:tcBorders>
            <w:noWrap/>
          </w:tcPr>
          <w:p w14:paraId="69CB301E" w14:textId="77777777" w:rsidR="007B49B3" w:rsidRDefault="007B49B3" w:rsidP="007B1810">
            <w:pPr>
              <w:pStyle w:val="MRLTableText"/>
            </w:pPr>
            <w:r>
              <w:t>MO</w:t>
            </w:r>
            <w:r>
              <w:tab/>
              <w:t>0105</w:t>
            </w:r>
          </w:p>
        </w:tc>
        <w:tc>
          <w:tcPr>
            <w:tcW w:w="5528" w:type="dxa"/>
            <w:tcBorders>
              <w:top w:val="nil"/>
              <w:left w:val="nil"/>
              <w:bottom w:val="nil"/>
              <w:right w:val="nil"/>
            </w:tcBorders>
            <w:noWrap/>
          </w:tcPr>
          <w:p w14:paraId="3301DA6C" w14:textId="77777777" w:rsidR="007B49B3" w:rsidRDefault="007B49B3" w:rsidP="007B1810">
            <w:pPr>
              <w:pStyle w:val="MRLTableText"/>
            </w:pPr>
            <w:r>
              <w:t>Edible offal (Mammalian)</w:t>
            </w:r>
          </w:p>
        </w:tc>
        <w:tc>
          <w:tcPr>
            <w:tcW w:w="1843" w:type="dxa"/>
            <w:tcBorders>
              <w:top w:val="nil"/>
              <w:left w:val="nil"/>
              <w:bottom w:val="nil"/>
              <w:right w:val="nil"/>
            </w:tcBorders>
            <w:noWrap/>
          </w:tcPr>
          <w:p w14:paraId="69252DCF" w14:textId="77777777" w:rsidR="007B49B3" w:rsidRDefault="007B49B3" w:rsidP="007B1810">
            <w:pPr>
              <w:pStyle w:val="MRLTableText"/>
            </w:pPr>
            <w:r>
              <w:t>*0.01</w:t>
            </w:r>
          </w:p>
        </w:tc>
      </w:tr>
      <w:tr w:rsidR="007B49B3" w:rsidRPr="00020AEF" w14:paraId="776B5727" w14:textId="77777777" w:rsidTr="00AA4C96">
        <w:trPr>
          <w:cantSplit/>
        </w:trPr>
        <w:tc>
          <w:tcPr>
            <w:tcW w:w="2387" w:type="dxa"/>
            <w:tcBorders>
              <w:top w:val="nil"/>
              <w:left w:val="nil"/>
              <w:bottom w:val="nil"/>
              <w:right w:val="nil"/>
            </w:tcBorders>
            <w:noWrap/>
          </w:tcPr>
          <w:p w14:paraId="142ABF26" w14:textId="77777777" w:rsidR="007B49B3" w:rsidRDefault="007B49B3" w:rsidP="007B1810">
            <w:pPr>
              <w:pStyle w:val="MRLTableText"/>
            </w:pPr>
            <w:r>
              <w:t>PE</w:t>
            </w:r>
            <w:r>
              <w:tab/>
              <w:t>0112</w:t>
            </w:r>
          </w:p>
        </w:tc>
        <w:tc>
          <w:tcPr>
            <w:tcW w:w="5528" w:type="dxa"/>
            <w:tcBorders>
              <w:top w:val="nil"/>
              <w:left w:val="nil"/>
              <w:bottom w:val="nil"/>
              <w:right w:val="nil"/>
            </w:tcBorders>
            <w:noWrap/>
          </w:tcPr>
          <w:p w14:paraId="46F3C715" w14:textId="77777777" w:rsidR="007B49B3" w:rsidRDefault="007B49B3" w:rsidP="007B1810">
            <w:pPr>
              <w:pStyle w:val="MRLTableText"/>
            </w:pPr>
            <w:r>
              <w:t>Eggs</w:t>
            </w:r>
          </w:p>
        </w:tc>
        <w:tc>
          <w:tcPr>
            <w:tcW w:w="1843" w:type="dxa"/>
            <w:tcBorders>
              <w:top w:val="nil"/>
              <w:left w:val="nil"/>
              <w:bottom w:val="nil"/>
              <w:right w:val="nil"/>
            </w:tcBorders>
            <w:noWrap/>
          </w:tcPr>
          <w:p w14:paraId="112945E7" w14:textId="77777777" w:rsidR="007B49B3" w:rsidRDefault="007B49B3" w:rsidP="007B1810">
            <w:pPr>
              <w:pStyle w:val="MRLTableText"/>
            </w:pPr>
            <w:r>
              <w:t>*0.01</w:t>
            </w:r>
          </w:p>
        </w:tc>
      </w:tr>
      <w:tr w:rsidR="007B49B3" w:rsidRPr="00020AEF" w14:paraId="687AF4AD" w14:textId="77777777" w:rsidTr="00AA4C96">
        <w:trPr>
          <w:cantSplit/>
        </w:trPr>
        <w:tc>
          <w:tcPr>
            <w:tcW w:w="2387" w:type="dxa"/>
            <w:tcBorders>
              <w:top w:val="nil"/>
              <w:left w:val="nil"/>
              <w:bottom w:val="nil"/>
              <w:right w:val="nil"/>
            </w:tcBorders>
            <w:noWrap/>
          </w:tcPr>
          <w:p w14:paraId="6BFB61C3" w14:textId="77777777" w:rsidR="007B49B3" w:rsidRPr="00020AEF" w:rsidRDefault="007B49B3" w:rsidP="007B1810">
            <w:pPr>
              <w:pStyle w:val="MRLTableText"/>
            </w:pPr>
            <w:r>
              <w:t>FB</w:t>
            </w:r>
            <w:r>
              <w:tab/>
              <w:t>0269</w:t>
            </w:r>
          </w:p>
        </w:tc>
        <w:tc>
          <w:tcPr>
            <w:tcW w:w="5528" w:type="dxa"/>
            <w:tcBorders>
              <w:top w:val="nil"/>
              <w:left w:val="nil"/>
              <w:bottom w:val="nil"/>
              <w:right w:val="nil"/>
            </w:tcBorders>
            <w:noWrap/>
          </w:tcPr>
          <w:p w14:paraId="25E25394" w14:textId="77777777" w:rsidR="007B49B3" w:rsidRPr="00020AEF" w:rsidRDefault="007B49B3" w:rsidP="007B1810">
            <w:pPr>
              <w:pStyle w:val="MRLTableText"/>
            </w:pPr>
            <w:r>
              <w:t>Grapes</w:t>
            </w:r>
          </w:p>
        </w:tc>
        <w:tc>
          <w:tcPr>
            <w:tcW w:w="1843" w:type="dxa"/>
            <w:tcBorders>
              <w:top w:val="nil"/>
              <w:left w:val="nil"/>
              <w:bottom w:val="nil"/>
              <w:right w:val="nil"/>
            </w:tcBorders>
            <w:noWrap/>
          </w:tcPr>
          <w:p w14:paraId="76AD113B" w14:textId="77777777" w:rsidR="007B49B3" w:rsidRPr="00020AEF" w:rsidRDefault="007B49B3" w:rsidP="007B1810">
            <w:pPr>
              <w:pStyle w:val="MRLTableText"/>
            </w:pPr>
            <w:r>
              <w:t>0.1</w:t>
            </w:r>
          </w:p>
        </w:tc>
      </w:tr>
      <w:tr w:rsidR="007B49B3" w:rsidRPr="00020AEF" w14:paraId="1C461B96" w14:textId="77777777" w:rsidTr="00AA4C96">
        <w:trPr>
          <w:cantSplit/>
        </w:trPr>
        <w:tc>
          <w:tcPr>
            <w:tcW w:w="2387" w:type="dxa"/>
            <w:tcBorders>
              <w:top w:val="nil"/>
              <w:left w:val="nil"/>
              <w:bottom w:val="nil"/>
              <w:right w:val="nil"/>
            </w:tcBorders>
            <w:noWrap/>
          </w:tcPr>
          <w:p w14:paraId="50096E95" w14:textId="77777777" w:rsidR="007B49B3" w:rsidRDefault="007B49B3" w:rsidP="007B1810">
            <w:pPr>
              <w:pStyle w:val="MRLTableText"/>
            </w:pPr>
            <w:r>
              <w:t>MM</w:t>
            </w:r>
            <w:r>
              <w:tab/>
              <w:t>0095</w:t>
            </w:r>
          </w:p>
        </w:tc>
        <w:tc>
          <w:tcPr>
            <w:tcW w:w="5528" w:type="dxa"/>
            <w:tcBorders>
              <w:top w:val="nil"/>
              <w:left w:val="nil"/>
              <w:bottom w:val="nil"/>
              <w:right w:val="nil"/>
            </w:tcBorders>
            <w:noWrap/>
          </w:tcPr>
          <w:p w14:paraId="14E42CE3" w14:textId="77777777" w:rsidR="007B49B3" w:rsidRDefault="007B49B3" w:rsidP="007B1810">
            <w:pPr>
              <w:pStyle w:val="MRLTableText"/>
            </w:pPr>
            <w:r>
              <w:t>Meat [mammalian]</w:t>
            </w:r>
          </w:p>
        </w:tc>
        <w:tc>
          <w:tcPr>
            <w:tcW w:w="1843" w:type="dxa"/>
            <w:tcBorders>
              <w:top w:val="nil"/>
              <w:left w:val="nil"/>
              <w:bottom w:val="nil"/>
              <w:right w:val="nil"/>
            </w:tcBorders>
            <w:noWrap/>
          </w:tcPr>
          <w:p w14:paraId="109AC361" w14:textId="77777777" w:rsidR="007B49B3" w:rsidRDefault="007B49B3" w:rsidP="007B1810">
            <w:pPr>
              <w:pStyle w:val="MRLTableText"/>
            </w:pPr>
            <w:r>
              <w:t>*0.01</w:t>
            </w:r>
          </w:p>
        </w:tc>
      </w:tr>
      <w:tr w:rsidR="007B49B3" w:rsidRPr="00020AEF" w14:paraId="19D15DD9" w14:textId="77777777" w:rsidTr="00AA4C96">
        <w:trPr>
          <w:cantSplit/>
        </w:trPr>
        <w:tc>
          <w:tcPr>
            <w:tcW w:w="2387" w:type="dxa"/>
            <w:tcBorders>
              <w:top w:val="nil"/>
              <w:left w:val="nil"/>
              <w:bottom w:val="nil"/>
              <w:right w:val="nil"/>
            </w:tcBorders>
            <w:noWrap/>
          </w:tcPr>
          <w:p w14:paraId="489CF793" w14:textId="77777777" w:rsidR="007B49B3" w:rsidRDefault="007B49B3" w:rsidP="007B1810">
            <w:pPr>
              <w:pStyle w:val="MRLTableText"/>
            </w:pPr>
            <w:r>
              <w:t>ML</w:t>
            </w:r>
            <w:r>
              <w:tab/>
              <w:t>0106</w:t>
            </w:r>
          </w:p>
        </w:tc>
        <w:tc>
          <w:tcPr>
            <w:tcW w:w="5528" w:type="dxa"/>
            <w:tcBorders>
              <w:top w:val="nil"/>
              <w:left w:val="nil"/>
              <w:bottom w:val="nil"/>
              <w:right w:val="nil"/>
            </w:tcBorders>
            <w:noWrap/>
          </w:tcPr>
          <w:p w14:paraId="48D29114" w14:textId="77777777" w:rsidR="007B49B3" w:rsidRDefault="007B49B3" w:rsidP="007B1810">
            <w:pPr>
              <w:pStyle w:val="MRLTableText"/>
            </w:pPr>
            <w:r>
              <w:t>Milks</w:t>
            </w:r>
          </w:p>
        </w:tc>
        <w:tc>
          <w:tcPr>
            <w:tcW w:w="1843" w:type="dxa"/>
            <w:tcBorders>
              <w:top w:val="nil"/>
              <w:left w:val="nil"/>
              <w:bottom w:val="nil"/>
              <w:right w:val="nil"/>
            </w:tcBorders>
            <w:noWrap/>
          </w:tcPr>
          <w:p w14:paraId="51147B77" w14:textId="77777777" w:rsidR="007B49B3" w:rsidRDefault="007B49B3" w:rsidP="007B1810">
            <w:pPr>
              <w:pStyle w:val="MRLTableText"/>
            </w:pPr>
            <w:r>
              <w:t>*0.01</w:t>
            </w:r>
          </w:p>
        </w:tc>
      </w:tr>
      <w:tr w:rsidR="007B49B3" w:rsidRPr="00020AEF" w14:paraId="5878D35C" w14:textId="77777777" w:rsidTr="00AA4C96">
        <w:trPr>
          <w:cantSplit/>
        </w:trPr>
        <w:tc>
          <w:tcPr>
            <w:tcW w:w="2387" w:type="dxa"/>
            <w:tcBorders>
              <w:top w:val="nil"/>
              <w:left w:val="nil"/>
              <w:bottom w:val="nil"/>
              <w:right w:val="nil"/>
            </w:tcBorders>
            <w:noWrap/>
          </w:tcPr>
          <w:p w14:paraId="100A0A9A" w14:textId="77777777" w:rsidR="007B49B3" w:rsidRPr="00020AEF" w:rsidRDefault="007B49B3" w:rsidP="007B1810">
            <w:pPr>
              <w:pStyle w:val="MRLTableText"/>
            </w:pPr>
            <w:r w:rsidRPr="00020AEF">
              <w:t>VR</w:t>
            </w:r>
            <w:r w:rsidRPr="00020AEF">
              <w:tab/>
              <w:t>0589</w:t>
            </w:r>
          </w:p>
        </w:tc>
        <w:tc>
          <w:tcPr>
            <w:tcW w:w="5528" w:type="dxa"/>
            <w:tcBorders>
              <w:top w:val="nil"/>
              <w:left w:val="nil"/>
              <w:bottom w:val="nil"/>
              <w:right w:val="nil"/>
            </w:tcBorders>
            <w:noWrap/>
          </w:tcPr>
          <w:p w14:paraId="6C457555" w14:textId="77777777" w:rsidR="007B49B3" w:rsidRPr="00020AEF" w:rsidRDefault="007B49B3" w:rsidP="007B1810">
            <w:pPr>
              <w:pStyle w:val="MRLTableText"/>
            </w:pPr>
            <w:r w:rsidRPr="00020AEF">
              <w:t>Potato</w:t>
            </w:r>
          </w:p>
        </w:tc>
        <w:tc>
          <w:tcPr>
            <w:tcW w:w="1843" w:type="dxa"/>
            <w:tcBorders>
              <w:top w:val="nil"/>
              <w:left w:val="nil"/>
              <w:bottom w:val="nil"/>
              <w:right w:val="nil"/>
            </w:tcBorders>
            <w:noWrap/>
          </w:tcPr>
          <w:p w14:paraId="3FB33158" w14:textId="77777777" w:rsidR="007B49B3" w:rsidRPr="00020AEF" w:rsidRDefault="007B49B3" w:rsidP="007B1810">
            <w:pPr>
              <w:pStyle w:val="MRLTableText"/>
            </w:pPr>
            <w:r w:rsidRPr="00020AEF">
              <w:t>*0.01</w:t>
            </w:r>
          </w:p>
        </w:tc>
      </w:tr>
      <w:tr w:rsidR="007B49B3" w:rsidRPr="00020AEF" w14:paraId="71E243B8" w14:textId="77777777" w:rsidTr="00AA4C96">
        <w:trPr>
          <w:cantSplit/>
        </w:trPr>
        <w:tc>
          <w:tcPr>
            <w:tcW w:w="2387" w:type="dxa"/>
            <w:tcBorders>
              <w:top w:val="nil"/>
              <w:left w:val="nil"/>
              <w:bottom w:val="nil"/>
              <w:right w:val="nil"/>
            </w:tcBorders>
            <w:noWrap/>
          </w:tcPr>
          <w:p w14:paraId="2E515AD2" w14:textId="77777777" w:rsidR="007B49B3" w:rsidRPr="00020AEF" w:rsidRDefault="007B49B3" w:rsidP="007B1810">
            <w:pPr>
              <w:pStyle w:val="MRLTableText"/>
            </w:pPr>
            <w:r>
              <w:t>PO</w:t>
            </w:r>
            <w:r>
              <w:tab/>
              <w:t>0111</w:t>
            </w:r>
          </w:p>
        </w:tc>
        <w:tc>
          <w:tcPr>
            <w:tcW w:w="5528" w:type="dxa"/>
            <w:tcBorders>
              <w:top w:val="nil"/>
              <w:left w:val="nil"/>
              <w:bottom w:val="nil"/>
              <w:right w:val="nil"/>
            </w:tcBorders>
            <w:noWrap/>
          </w:tcPr>
          <w:p w14:paraId="0216016F" w14:textId="77777777" w:rsidR="007B49B3" w:rsidRPr="00020AEF" w:rsidRDefault="007B49B3" w:rsidP="007B1810">
            <w:pPr>
              <w:pStyle w:val="MRLTableText"/>
            </w:pPr>
            <w:r>
              <w:t>Poultry, Edible offal of</w:t>
            </w:r>
          </w:p>
        </w:tc>
        <w:tc>
          <w:tcPr>
            <w:tcW w:w="1843" w:type="dxa"/>
            <w:tcBorders>
              <w:top w:val="nil"/>
              <w:left w:val="nil"/>
              <w:bottom w:val="nil"/>
              <w:right w:val="nil"/>
            </w:tcBorders>
            <w:noWrap/>
          </w:tcPr>
          <w:p w14:paraId="2141BC51" w14:textId="77777777" w:rsidR="007B49B3" w:rsidRPr="00020AEF" w:rsidRDefault="007B49B3" w:rsidP="007B1810">
            <w:pPr>
              <w:pStyle w:val="MRLTableText"/>
            </w:pPr>
            <w:r>
              <w:t>*0.01</w:t>
            </w:r>
          </w:p>
        </w:tc>
      </w:tr>
      <w:tr w:rsidR="007B49B3" w:rsidRPr="00020AEF" w14:paraId="4858D233" w14:textId="77777777" w:rsidTr="00AA4C96">
        <w:trPr>
          <w:cantSplit/>
        </w:trPr>
        <w:tc>
          <w:tcPr>
            <w:tcW w:w="2387" w:type="dxa"/>
            <w:tcBorders>
              <w:top w:val="nil"/>
              <w:left w:val="nil"/>
              <w:bottom w:val="nil"/>
              <w:right w:val="nil"/>
            </w:tcBorders>
            <w:noWrap/>
          </w:tcPr>
          <w:p w14:paraId="104CE7F4" w14:textId="77777777" w:rsidR="007B49B3" w:rsidRPr="00020AEF" w:rsidRDefault="007B49B3" w:rsidP="007B1810">
            <w:pPr>
              <w:pStyle w:val="MRLTableText"/>
            </w:pPr>
            <w:r>
              <w:t>PM</w:t>
            </w:r>
            <w:r>
              <w:tab/>
              <w:t>0110</w:t>
            </w:r>
          </w:p>
        </w:tc>
        <w:tc>
          <w:tcPr>
            <w:tcW w:w="5528" w:type="dxa"/>
            <w:tcBorders>
              <w:top w:val="nil"/>
              <w:left w:val="nil"/>
              <w:bottom w:val="nil"/>
              <w:right w:val="nil"/>
            </w:tcBorders>
            <w:noWrap/>
          </w:tcPr>
          <w:p w14:paraId="716B23B9" w14:textId="77777777" w:rsidR="007B49B3" w:rsidRPr="00020AEF" w:rsidRDefault="007B49B3" w:rsidP="007B1810">
            <w:pPr>
              <w:pStyle w:val="MRLTableText"/>
            </w:pPr>
            <w:r>
              <w:t>Poultry meat</w:t>
            </w:r>
          </w:p>
        </w:tc>
        <w:tc>
          <w:tcPr>
            <w:tcW w:w="1843" w:type="dxa"/>
            <w:tcBorders>
              <w:top w:val="nil"/>
              <w:left w:val="nil"/>
              <w:bottom w:val="nil"/>
              <w:right w:val="nil"/>
            </w:tcBorders>
            <w:noWrap/>
          </w:tcPr>
          <w:p w14:paraId="3646773B" w14:textId="77777777" w:rsidR="007B49B3" w:rsidRPr="00020AEF" w:rsidRDefault="007B49B3" w:rsidP="007B1810">
            <w:pPr>
              <w:pStyle w:val="MRLTableText"/>
            </w:pPr>
            <w:r>
              <w:t>*0.01</w:t>
            </w:r>
          </w:p>
        </w:tc>
      </w:tr>
      <w:tr w:rsidR="007B49B3" w:rsidRPr="00B64687" w14:paraId="31189970" w14:textId="77777777" w:rsidTr="00AA4C96">
        <w:trPr>
          <w:cantSplit/>
        </w:trPr>
        <w:tc>
          <w:tcPr>
            <w:tcW w:w="2387" w:type="dxa"/>
            <w:tcBorders>
              <w:top w:val="nil"/>
              <w:left w:val="nil"/>
              <w:bottom w:val="single" w:sz="4" w:space="0" w:color="auto"/>
              <w:right w:val="nil"/>
            </w:tcBorders>
            <w:noWrap/>
          </w:tcPr>
          <w:p w14:paraId="1284B81C" w14:textId="77777777" w:rsidR="007B49B3" w:rsidRPr="00B64687" w:rsidRDefault="007B49B3" w:rsidP="007B1810">
            <w:pPr>
              <w:pStyle w:val="MRLTableText"/>
            </w:pPr>
            <w:r w:rsidRPr="00B64687">
              <w:t>SO</w:t>
            </w:r>
            <w:r w:rsidRPr="00B64687">
              <w:tab/>
              <w:t>0495</w:t>
            </w:r>
          </w:p>
        </w:tc>
        <w:tc>
          <w:tcPr>
            <w:tcW w:w="5528" w:type="dxa"/>
            <w:tcBorders>
              <w:top w:val="nil"/>
              <w:left w:val="nil"/>
              <w:bottom w:val="single" w:sz="4" w:space="0" w:color="auto"/>
              <w:right w:val="nil"/>
            </w:tcBorders>
            <w:noWrap/>
          </w:tcPr>
          <w:p w14:paraId="0897CBE3" w14:textId="77777777" w:rsidR="007B49B3" w:rsidRPr="00B64687" w:rsidRDefault="007B49B3" w:rsidP="007B1810">
            <w:pPr>
              <w:pStyle w:val="MRLTableText"/>
            </w:pPr>
            <w:r w:rsidRPr="00B64687">
              <w:t>Rape seed [canola]</w:t>
            </w:r>
          </w:p>
        </w:tc>
        <w:tc>
          <w:tcPr>
            <w:tcW w:w="1843" w:type="dxa"/>
            <w:tcBorders>
              <w:top w:val="nil"/>
              <w:left w:val="nil"/>
              <w:bottom w:val="single" w:sz="4" w:space="0" w:color="auto"/>
              <w:right w:val="nil"/>
            </w:tcBorders>
            <w:noWrap/>
          </w:tcPr>
          <w:p w14:paraId="42758268" w14:textId="77777777" w:rsidR="007B49B3" w:rsidRPr="00B64687" w:rsidRDefault="007B49B3" w:rsidP="007B1810">
            <w:pPr>
              <w:pStyle w:val="MRLTableText"/>
            </w:pPr>
            <w:r>
              <w:t>0.05</w:t>
            </w:r>
          </w:p>
        </w:tc>
      </w:tr>
    </w:tbl>
    <w:p w14:paraId="17C3265F" w14:textId="77777777" w:rsidR="00D641E2" w:rsidRPr="00B2184D" w:rsidRDefault="00D641E2" w:rsidP="00D641E2">
      <w:pPr>
        <w:pStyle w:val="BodyText0"/>
      </w:pPr>
    </w:p>
    <w:p w14:paraId="34A3C555" w14:textId="77777777" w:rsidR="00D641E2" w:rsidRPr="007B1810" w:rsidRDefault="00D641E2" w:rsidP="007B1810">
      <w:pPr>
        <w:pStyle w:val="MRLTableHeading"/>
      </w:pPr>
      <w:r w:rsidRPr="007B1810">
        <w:t>Table 3</w:t>
      </w:r>
    </w:p>
    <w:tbl>
      <w:tblPr>
        <w:tblW w:w="9659" w:type="dxa"/>
        <w:tblInd w:w="108" w:type="dxa"/>
        <w:tblBorders>
          <w:top w:val="single" w:sz="4" w:space="0" w:color="auto"/>
          <w:bottom w:val="single" w:sz="4" w:space="0" w:color="auto"/>
          <w:insideH w:val="single" w:sz="4" w:space="0" w:color="auto"/>
        </w:tblBorders>
        <w:tblLook w:val="01E0" w:firstRow="1" w:lastRow="1" w:firstColumn="1" w:lastColumn="1" w:noHBand="0" w:noVBand="0"/>
        <w:tblCaption w:val="Table 3"/>
        <w:tblDescription w:val="Proposed Table 3 entry for pydiflumetofen to the APVMA MRL Standard"/>
      </w:tblPr>
      <w:tblGrid>
        <w:gridCol w:w="3600"/>
        <w:gridCol w:w="6059"/>
      </w:tblGrid>
      <w:tr w:rsidR="00DF073B" w:rsidRPr="007B1810" w14:paraId="008B4D6B" w14:textId="77777777" w:rsidTr="00AA4C96">
        <w:trPr>
          <w:cantSplit/>
          <w:tblHeader/>
        </w:trPr>
        <w:tc>
          <w:tcPr>
            <w:tcW w:w="3600" w:type="dxa"/>
          </w:tcPr>
          <w:p w14:paraId="09D617E9" w14:textId="77777777" w:rsidR="00DF073B" w:rsidRPr="007B1810" w:rsidRDefault="00DF073B" w:rsidP="007B1810">
            <w:pPr>
              <w:pStyle w:val="MRLTableHeading"/>
            </w:pPr>
            <w:r w:rsidRPr="007B1810">
              <w:t>COMPOUND</w:t>
            </w:r>
          </w:p>
        </w:tc>
        <w:tc>
          <w:tcPr>
            <w:tcW w:w="6059" w:type="dxa"/>
          </w:tcPr>
          <w:p w14:paraId="75600ACD" w14:textId="77777777" w:rsidR="00DF073B" w:rsidRPr="007B1810" w:rsidRDefault="00DF073B" w:rsidP="007B1810">
            <w:pPr>
              <w:pStyle w:val="MRLTableHeading"/>
            </w:pPr>
            <w:r w:rsidRPr="007B1810">
              <w:t>RESIDUE</w:t>
            </w:r>
          </w:p>
        </w:tc>
      </w:tr>
      <w:tr w:rsidR="00DF073B" w:rsidRPr="007B1810" w14:paraId="251D9469" w14:textId="77777777" w:rsidTr="00AA4C96">
        <w:trPr>
          <w:cantSplit/>
        </w:trPr>
        <w:tc>
          <w:tcPr>
            <w:tcW w:w="3600" w:type="dxa"/>
            <w:tcBorders>
              <w:top w:val="nil"/>
              <w:bottom w:val="nil"/>
            </w:tcBorders>
          </w:tcPr>
          <w:p w14:paraId="7B25A78F" w14:textId="77777777" w:rsidR="00DF073B" w:rsidRPr="007B1810" w:rsidRDefault="00DF073B" w:rsidP="007B1810">
            <w:pPr>
              <w:pStyle w:val="MRLTableText"/>
            </w:pPr>
            <w:r w:rsidRPr="007B1810">
              <w:t>ADD:</w:t>
            </w:r>
          </w:p>
        </w:tc>
        <w:tc>
          <w:tcPr>
            <w:tcW w:w="6059" w:type="dxa"/>
            <w:tcBorders>
              <w:top w:val="nil"/>
              <w:bottom w:val="nil"/>
            </w:tcBorders>
          </w:tcPr>
          <w:p w14:paraId="6E9A00CC" w14:textId="77777777" w:rsidR="00DF073B" w:rsidRPr="007B1810" w:rsidRDefault="00DF073B" w:rsidP="007B1810">
            <w:pPr>
              <w:pStyle w:val="MRLTableText"/>
            </w:pPr>
          </w:p>
        </w:tc>
      </w:tr>
      <w:tr w:rsidR="00DF073B" w:rsidRPr="00B2184D" w14:paraId="01EC259A" w14:textId="77777777" w:rsidTr="00AA4C96">
        <w:trPr>
          <w:cantSplit/>
        </w:trPr>
        <w:tc>
          <w:tcPr>
            <w:tcW w:w="3600" w:type="dxa"/>
            <w:tcBorders>
              <w:top w:val="nil"/>
              <w:bottom w:val="single" w:sz="4" w:space="0" w:color="auto"/>
            </w:tcBorders>
          </w:tcPr>
          <w:p w14:paraId="7AD3552F" w14:textId="77777777" w:rsidR="00DF073B" w:rsidRPr="00B2184D" w:rsidRDefault="00DF073B" w:rsidP="007B1810">
            <w:pPr>
              <w:pStyle w:val="MRLCompound"/>
            </w:pPr>
            <w:r>
              <w:t>Pydiflumetofen</w:t>
            </w:r>
          </w:p>
        </w:tc>
        <w:tc>
          <w:tcPr>
            <w:tcW w:w="6059" w:type="dxa"/>
            <w:tcBorders>
              <w:top w:val="nil"/>
              <w:bottom w:val="single" w:sz="4" w:space="0" w:color="auto"/>
            </w:tcBorders>
          </w:tcPr>
          <w:p w14:paraId="1877F280" w14:textId="77777777" w:rsidR="00DF073B" w:rsidRPr="007B1810" w:rsidRDefault="00DF073B" w:rsidP="007B1810">
            <w:pPr>
              <w:pStyle w:val="MRLTableText"/>
            </w:pPr>
            <w:r w:rsidRPr="007B1810">
              <w:t>Commodities of plant origin: Pydiflumetofen</w:t>
            </w:r>
          </w:p>
          <w:p w14:paraId="4C9EC6E1" w14:textId="77777777" w:rsidR="00DF073B" w:rsidRPr="007B1810" w:rsidRDefault="00DF073B" w:rsidP="007B1810">
            <w:pPr>
              <w:pStyle w:val="MRLTableText"/>
            </w:pPr>
            <w:r w:rsidRPr="007B1810">
              <w:t>Commodities of animal origin for enforcement: Pydiflumetofen</w:t>
            </w:r>
          </w:p>
          <w:p w14:paraId="0240904A" w14:textId="77777777" w:rsidR="00DF073B" w:rsidRPr="007B1810" w:rsidRDefault="00DF073B" w:rsidP="007B1810">
            <w:pPr>
              <w:pStyle w:val="MRLTableText"/>
            </w:pPr>
            <w:r w:rsidRPr="007B1810">
              <w:t>Commodities of animal origin for dietary exposure assessment: sum of pydiflumetofen, 2,4,6-trichlorophenyl (free and conjugated) and 3-difluoromethyl-1-methyl-1H-pyrazole-4-carboxylic acid methoxy-[1-methyl-2-(2,4,6-trichloro-3-hydroxy-phenyl)-ethyl]-amide (SYN547897), expressed as pydiflumetofen</w:t>
            </w:r>
          </w:p>
        </w:tc>
      </w:tr>
    </w:tbl>
    <w:p w14:paraId="51083987" w14:textId="77777777" w:rsidR="007B1810" w:rsidRDefault="007B1810" w:rsidP="00D641E2">
      <w:pPr>
        <w:pStyle w:val="BodyText0"/>
        <w:sectPr w:rsidR="007B1810">
          <w:pgSz w:w="11906" w:h="16838" w:code="9"/>
          <w:pgMar w:top="2835" w:right="1134" w:bottom="1134" w:left="1134" w:header="1701" w:footer="680" w:gutter="0"/>
          <w:cols w:space="708"/>
          <w:docGrid w:linePitch="360"/>
        </w:sectPr>
      </w:pPr>
    </w:p>
    <w:p w14:paraId="5B6B39B2" w14:textId="61569112" w:rsidR="00D641E2" w:rsidRDefault="00D641E2" w:rsidP="00D641E2">
      <w:pPr>
        <w:pStyle w:val="BodyText0"/>
      </w:pPr>
    </w:p>
    <w:p w14:paraId="3B914DB5" w14:textId="77777777" w:rsidR="00D641E2" w:rsidRPr="00894E75" w:rsidRDefault="00D641E2" w:rsidP="00D641E2">
      <w:pPr>
        <w:pStyle w:val="BodyText0"/>
      </w:pPr>
    </w:p>
    <w:p w14:paraId="505EE81A" w14:textId="77777777" w:rsidR="00D641E2" w:rsidRPr="00B64687" w:rsidRDefault="00D641E2" w:rsidP="007B1810">
      <w:pPr>
        <w:pStyle w:val="MRLTableHeading"/>
      </w:pPr>
      <w:r w:rsidRPr="00B64687">
        <w:t>Table 4</w:t>
      </w:r>
    </w:p>
    <w:tbl>
      <w:tblPr>
        <w:tblW w:w="9639" w:type="dxa"/>
        <w:tblInd w:w="108" w:type="dxa"/>
        <w:tblLook w:val="01E0" w:firstRow="1" w:lastRow="1" w:firstColumn="1" w:lastColumn="1" w:noHBand="0" w:noVBand="0"/>
        <w:tblCaption w:val="Table 4"/>
        <w:tblDescription w:val="Proposed pydiflumetofen Table 4 entries to the APVMA MRL Standard"/>
      </w:tblPr>
      <w:tblGrid>
        <w:gridCol w:w="2328"/>
        <w:gridCol w:w="5518"/>
        <w:gridCol w:w="1793"/>
      </w:tblGrid>
      <w:tr w:rsidR="00D641E2" w:rsidRPr="007B1810" w14:paraId="307DBD22" w14:textId="77777777" w:rsidTr="00D641E2">
        <w:trPr>
          <w:tblHeader/>
        </w:trPr>
        <w:tc>
          <w:tcPr>
            <w:tcW w:w="2328" w:type="dxa"/>
            <w:tcBorders>
              <w:top w:val="single" w:sz="4" w:space="0" w:color="auto"/>
              <w:bottom w:val="single" w:sz="4" w:space="0" w:color="auto"/>
            </w:tcBorders>
          </w:tcPr>
          <w:p w14:paraId="63FB14FF" w14:textId="77777777" w:rsidR="00D641E2" w:rsidRPr="007B1810" w:rsidRDefault="00D641E2" w:rsidP="007B1810">
            <w:pPr>
              <w:pStyle w:val="MRLTableHeading"/>
            </w:pPr>
            <w:r w:rsidRPr="007B1810">
              <w:t>COMPOUND</w:t>
            </w:r>
          </w:p>
        </w:tc>
        <w:tc>
          <w:tcPr>
            <w:tcW w:w="5518" w:type="dxa"/>
            <w:tcBorders>
              <w:top w:val="single" w:sz="4" w:space="0" w:color="auto"/>
              <w:bottom w:val="single" w:sz="4" w:space="0" w:color="auto"/>
            </w:tcBorders>
          </w:tcPr>
          <w:p w14:paraId="32615587" w14:textId="77777777" w:rsidR="00D641E2" w:rsidRPr="007B1810" w:rsidRDefault="00D641E2" w:rsidP="007B1810">
            <w:pPr>
              <w:pStyle w:val="MRLTableHeading"/>
            </w:pPr>
            <w:r w:rsidRPr="007B1810">
              <w:t>Animal Feed Commodity</w:t>
            </w:r>
          </w:p>
        </w:tc>
        <w:tc>
          <w:tcPr>
            <w:tcW w:w="1793" w:type="dxa"/>
            <w:tcBorders>
              <w:top w:val="single" w:sz="4" w:space="0" w:color="auto"/>
              <w:bottom w:val="single" w:sz="4" w:space="0" w:color="auto"/>
            </w:tcBorders>
          </w:tcPr>
          <w:p w14:paraId="5B1ADC2E" w14:textId="063CDA1C" w:rsidR="00D641E2" w:rsidRPr="007B1810" w:rsidRDefault="00D641E2" w:rsidP="007B1810">
            <w:pPr>
              <w:pStyle w:val="MRLTableHeading"/>
            </w:pPr>
            <w:r w:rsidRPr="007B1810">
              <w:t>MRL (</w:t>
            </w:r>
            <w:r w:rsidR="007B1810" w:rsidRPr="007B1810">
              <w:rPr>
                <w:caps w:val="0"/>
              </w:rPr>
              <w:t>mg/kg</w:t>
            </w:r>
            <w:r w:rsidRPr="007B1810">
              <w:t>)</w:t>
            </w:r>
          </w:p>
        </w:tc>
      </w:tr>
      <w:tr w:rsidR="00D641E2" w:rsidRPr="00B64687" w14:paraId="027BEA53" w14:textId="77777777" w:rsidTr="00D641E2">
        <w:tc>
          <w:tcPr>
            <w:tcW w:w="2328" w:type="dxa"/>
          </w:tcPr>
          <w:p w14:paraId="62CD94D2" w14:textId="77777777" w:rsidR="00D641E2" w:rsidRPr="00B64687" w:rsidRDefault="00D641E2" w:rsidP="007B1810">
            <w:pPr>
              <w:pStyle w:val="MRLTableText"/>
              <w:rPr>
                <w:b/>
                <w:lang w:val="en-US"/>
              </w:rPr>
            </w:pPr>
            <w:r w:rsidRPr="00B64687">
              <w:t>ADD:</w:t>
            </w:r>
          </w:p>
        </w:tc>
        <w:tc>
          <w:tcPr>
            <w:tcW w:w="5518" w:type="dxa"/>
          </w:tcPr>
          <w:p w14:paraId="03D32378" w14:textId="77777777" w:rsidR="00D641E2" w:rsidRPr="00B64687" w:rsidRDefault="00D641E2" w:rsidP="007B1810">
            <w:pPr>
              <w:pStyle w:val="MRLTableText"/>
              <w:rPr>
                <w:sz w:val="18"/>
                <w:lang w:val="en-US"/>
              </w:rPr>
            </w:pPr>
          </w:p>
        </w:tc>
        <w:tc>
          <w:tcPr>
            <w:tcW w:w="1793" w:type="dxa"/>
          </w:tcPr>
          <w:p w14:paraId="56046AA4" w14:textId="77777777" w:rsidR="00D641E2" w:rsidRPr="00B64687" w:rsidRDefault="00D641E2" w:rsidP="007B1810">
            <w:pPr>
              <w:pStyle w:val="MRLTableText"/>
              <w:rPr>
                <w:sz w:val="18"/>
              </w:rPr>
            </w:pPr>
          </w:p>
        </w:tc>
      </w:tr>
      <w:tr w:rsidR="00D641E2" w:rsidRPr="00B64687" w14:paraId="70701542" w14:textId="77777777" w:rsidTr="00D641E2">
        <w:tc>
          <w:tcPr>
            <w:tcW w:w="2328" w:type="dxa"/>
          </w:tcPr>
          <w:p w14:paraId="66D93656" w14:textId="77777777" w:rsidR="00D641E2" w:rsidRPr="00B64687" w:rsidRDefault="00D641E2" w:rsidP="007B1810">
            <w:pPr>
              <w:pStyle w:val="MRLCompound"/>
              <w:rPr>
                <w:lang w:val="en-US"/>
              </w:rPr>
            </w:pPr>
            <w:r w:rsidRPr="00B64687">
              <w:rPr>
                <w:lang w:val="en-US"/>
              </w:rPr>
              <w:t>Pydiflumetofen</w:t>
            </w:r>
          </w:p>
        </w:tc>
        <w:tc>
          <w:tcPr>
            <w:tcW w:w="5518" w:type="dxa"/>
          </w:tcPr>
          <w:p w14:paraId="36066653" w14:textId="77777777" w:rsidR="00D641E2" w:rsidRPr="00B64687" w:rsidRDefault="00D641E2" w:rsidP="00D641E2">
            <w:pPr>
              <w:pStyle w:val="MRLTableText"/>
              <w:rPr>
                <w:rFonts w:cs="Arial"/>
                <w:sz w:val="18"/>
                <w:szCs w:val="18"/>
                <w:lang w:val="en-US"/>
              </w:rPr>
            </w:pPr>
          </w:p>
        </w:tc>
        <w:tc>
          <w:tcPr>
            <w:tcW w:w="1793" w:type="dxa"/>
          </w:tcPr>
          <w:p w14:paraId="2E9049E8" w14:textId="77777777" w:rsidR="00D641E2" w:rsidRPr="00B64687" w:rsidRDefault="00D641E2" w:rsidP="00D641E2">
            <w:pPr>
              <w:pStyle w:val="MRLValue"/>
              <w:rPr>
                <w:rFonts w:cs="Arial"/>
                <w:sz w:val="18"/>
                <w:szCs w:val="18"/>
              </w:rPr>
            </w:pPr>
          </w:p>
        </w:tc>
      </w:tr>
      <w:tr w:rsidR="00D641E2" w:rsidRPr="00B64687" w14:paraId="096D3AA3" w14:textId="77777777" w:rsidTr="00D641E2">
        <w:tc>
          <w:tcPr>
            <w:tcW w:w="2328" w:type="dxa"/>
          </w:tcPr>
          <w:p w14:paraId="16EC65DD" w14:textId="77777777" w:rsidR="00D641E2" w:rsidRPr="00B64687" w:rsidRDefault="00D641E2" w:rsidP="007B1810">
            <w:pPr>
              <w:pStyle w:val="MRLTableText"/>
              <w:rPr>
                <w:lang w:val="en-US"/>
              </w:rPr>
            </w:pPr>
          </w:p>
        </w:tc>
        <w:tc>
          <w:tcPr>
            <w:tcW w:w="5518" w:type="dxa"/>
          </w:tcPr>
          <w:p w14:paraId="060C7D85" w14:textId="77777777" w:rsidR="00D641E2" w:rsidRPr="00B64687" w:rsidRDefault="00D641E2" w:rsidP="007B1810">
            <w:pPr>
              <w:pStyle w:val="MRLTableText"/>
              <w:rPr>
                <w:lang w:val="en-US"/>
              </w:rPr>
            </w:pPr>
            <w:r w:rsidRPr="00B64687">
              <w:t>Canola forage</w:t>
            </w:r>
          </w:p>
        </w:tc>
        <w:tc>
          <w:tcPr>
            <w:tcW w:w="1793" w:type="dxa"/>
          </w:tcPr>
          <w:p w14:paraId="28380D91" w14:textId="77777777" w:rsidR="00D641E2" w:rsidRPr="00B64687" w:rsidRDefault="00D641E2" w:rsidP="007B1810">
            <w:pPr>
              <w:pStyle w:val="MRLTableText"/>
            </w:pPr>
            <w:r w:rsidRPr="00B64687">
              <w:t>3</w:t>
            </w:r>
          </w:p>
        </w:tc>
      </w:tr>
      <w:tr w:rsidR="00D641E2" w:rsidRPr="00B64687" w14:paraId="18ECB27B" w14:textId="77777777" w:rsidTr="00D641E2">
        <w:tc>
          <w:tcPr>
            <w:tcW w:w="2328" w:type="dxa"/>
          </w:tcPr>
          <w:p w14:paraId="3E6F3337" w14:textId="77777777" w:rsidR="00D641E2" w:rsidRPr="00B64687" w:rsidRDefault="00D641E2" w:rsidP="007B1810">
            <w:pPr>
              <w:pStyle w:val="MRLTableText"/>
              <w:rPr>
                <w:lang w:val="en-US"/>
              </w:rPr>
            </w:pPr>
          </w:p>
        </w:tc>
        <w:tc>
          <w:tcPr>
            <w:tcW w:w="5518" w:type="dxa"/>
          </w:tcPr>
          <w:p w14:paraId="4B0CA111" w14:textId="77777777" w:rsidR="00D641E2" w:rsidRPr="00B64687" w:rsidRDefault="00D641E2" w:rsidP="007B1810">
            <w:pPr>
              <w:pStyle w:val="MRLTableText"/>
              <w:rPr>
                <w:lang w:val="en-US"/>
              </w:rPr>
            </w:pPr>
            <w:r w:rsidRPr="00B64687">
              <w:t>Canola meal</w:t>
            </w:r>
          </w:p>
        </w:tc>
        <w:tc>
          <w:tcPr>
            <w:tcW w:w="1793" w:type="dxa"/>
          </w:tcPr>
          <w:p w14:paraId="3E8BEC15" w14:textId="77777777" w:rsidR="00D641E2" w:rsidRPr="00B64687" w:rsidRDefault="00D641E2" w:rsidP="007B1810">
            <w:pPr>
              <w:pStyle w:val="MRLTableText"/>
            </w:pPr>
            <w:r w:rsidRPr="00B64687">
              <w:t>0.01</w:t>
            </w:r>
          </w:p>
        </w:tc>
      </w:tr>
      <w:tr w:rsidR="00D641E2" w:rsidRPr="00B64687" w14:paraId="08A1AF64" w14:textId="77777777" w:rsidTr="00D641E2">
        <w:tc>
          <w:tcPr>
            <w:tcW w:w="2328" w:type="dxa"/>
          </w:tcPr>
          <w:p w14:paraId="4B87CBC9" w14:textId="77777777" w:rsidR="00D641E2" w:rsidRPr="00B64687" w:rsidRDefault="00D641E2" w:rsidP="007B1810">
            <w:pPr>
              <w:pStyle w:val="MRLTableText"/>
              <w:rPr>
                <w:lang w:val="en-US"/>
              </w:rPr>
            </w:pPr>
          </w:p>
        </w:tc>
        <w:tc>
          <w:tcPr>
            <w:tcW w:w="5518" w:type="dxa"/>
          </w:tcPr>
          <w:p w14:paraId="33A1B337" w14:textId="77777777" w:rsidR="00D641E2" w:rsidRPr="00B64687" w:rsidRDefault="00D641E2" w:rsidP="007B1810">
            <w:pPr>
              <w:pStyle w:val="MRLTableText"/>
              <w:rPr>
                <w:lang w:val="en-US"/>
              </w:rPr>
            </w:pPr>
            <w:r w:rsidRPr="00B64687">
              <w:t>Canola straw and fodder (dry)</w:t>
            </w:r>
          </w:p>
        </w:tc>
        <w:tc>
          <w:tcPr>
            <w:tcW w:w="1793" w:type="dxa"/>
          </w:tcPr>
          <w:p w14:paraId="5D650C9C" w14:textId="77777777" w:rsidR="00D641E2" w:rsidRPr="00B64687" w:rsidRDefault="00D641E2" w:rsidP="007B1810">
            <w:pPr>
              <w:pStyle w:val="MRLTableText"/>
            </w:pPr>
            <w:r w:rsidRPr="00B64687">
              <w:t>0.1</w:t>
            </w:r>
          </w:p>
        </w:tc>
      </w:tr>
      <w:tr w:rsidR="00D641E2" w:rsidRPr="00091990" w14:paraId="22463328" w14:textId="77777777" w:rsidTr="00D641E2">
        <w:tc>
          <w:tcPr>
            <w:tcW w:w="2328" w:type="dxa"/>
          </w:tcPr>
          <w:p w14:paraId="3DD24653" w14:textId="77777777" w:rsidR="00D641E2" w:rsidRPr="00A6593D" w:rsidRDefault="00D641E2" w:rsidP="007B1810">
            <w:pPr>
              <w:pStyle w:val="MRLTableText"/>
              <w:rPr>
                <w:lang w:val="en-US"/>
              </w:rPr>
            </w:pPr>
            <w:r w:rsidRPr="00A6593D">
              <w:rPr>
                <w:lang w:val="en-US"/>
              </w:rPr>
              <w:t>AB</w:t>
            </w:r>
            <w:r w:rsidRPr="00A6593D">
              <w:rPr>
                <w:lang w:val="en-US"/>
              </w:rPr>
              <w:tab/>
              <w:t>0269</w:t>
            </w:r>
          </w:p>
        </w:tc>
        <w:tc>
          <w:tcPr>
            <w:tcW w:w="5518" w:type="dxa"/>
          </w:tcPr>
          <w:p w14:paraId="46E0C46E" w14:textId="77777777" w:rsidR="00D641E2" w:rsidRPr="00A6593D" w:rsidRDefault="00D641E2" w:rsidP="007B1810">
            <w:pPr>
              <w:pStyle w:val="MRLTableText"/>
              <w:rPr>
                <w:lang w:val="en-US"/>
              </w:rPr>
            </w:pPr>
            <w:r w:rsidRPr="00A6593D">
              <w:t>Grape pomace, dry</w:t>
            </w:r>
          </w:p>
        </w:tc>
        <w:tc>
          <w:tcPr>
            <w:tcW w:w="1793" w:type="dxa"/>
          </w:tcPr>
          <w:p w14:paraId="37DC877A" w14:textId="77777777" w:rsidR="00D641E2" w:rsidRPr="00A6593D" w:rsidRDefault="00D641E2" w:rsidP="007B1810">
            <w:pPr>
              <w:pStyle w:val="MRLTableText"/>
            </w:pPr>
            <w:r w:rsidRPr="00A6593D">
              <w:t>2</w:t>
            </w:r>
          </w:p>
        </w:tc>
      </w:tr>
      <w:tr w:rsidR="00D641E2" w:rsidRPr="00091990" w14:paraId="7BB0D98F" w14:textId="77777777" w:rsidTr="00D641E2">
        <w:tc>
          <w:tcPr>
            <w:tcW w:w="2328" w:type="dxa"/>
            <w:tcBorders>
              <w:bottom w:val="single" w:sz="4" w:space="0" w:color="auto"/>
            </w:tcBorders>
          </w:tcPr>
          <w:p w14:paraId="7A254538" w14:textId="77777777" w:rsidR="00D641E2" w:rsidRPr="00A6593D" w:rsidRDefault="00D641E2" w:rsidP="007B1810">
            <w:pPr>
              <w:pStyle w:val="MRLTableText"/>
              <w:rPr>
                <w:lang w:val="en-US"/>
              </w:rPr>
            </w:pPr>
          </w:p>
        </w:tc>
        <w:tc>
          <w:tcPr>
            <w:tcW w:w="5518" w:type="dxa"/>
            <w:tcBorders>
              <w:bottom w:val="single" w:sz="4" w:space="0" w:color="auto"/>
            </w:tcBorders>
          </w:tcPr>
          <w:p w14:paraId="02DD5E53" w14:textId="77777777" w:rsidR="00D641E2" w:rsidRPr="00A6593D" w:rsidRDefault="00D641E2" w:rsidP="007B1810">
            <w:pPr>
              <w:pStyle w:val="MRLTableText"/>
            </w:pPr>
            <w:r>
              <w:t>Primary feed commodities [except Canola forage; and Canola straw and fodder (dry)]</w:t>
            </w:r>
          </w:p>
        </w:tc>
        <w:tc>
          <w:tcPr>
            <w:tcW w:w="1793" w:type="dxa"/>
            <w:tcBorders>
              <w:bottom w:val="single" w:sz="4" w:space="0" w:color="auto"/>
            </w:tcBorders>
          </w:tcPr>
          <w:p w14:paraId="017835B4" w14:textId="77777777" w:rsidR="00D641E2" w:rsidRPr="00A6593D" w:rsidRDefault="00D641E2" w:rsidP="007B1810">
            <w:pPr>
              <w:pStyle w:val="MRLTableText"/>
            </w:pPr>
            <w:r>
              <w:t>0.1</w:t>
            </w:r>
          </w:p>
        </w:tc>
      </w:tr>
    </w:tbl>
    <w:p w14:paraId="4A97495D" w14:textId="77777777" w:rsidR="00D641E2" w:rsidRDefault="00D641E2">
      <w:pPr>
        <w:pStyle w:val="APVMAText"/>
        <w:rPr>
          <w:lang w:val="en-GB"/>
        </w:rPr>
      </w:pPr>
      <w:r>
        <w:t>MRL amendments recommended for Tables 1 and 3 above will be considered for inclusion in Schedule 20 of the Australia New Zealand Food Standards Code.</w:t>
      </w:r>
    </w:p>
    <w:p w14:paraId="28E65CB6" w14:textId="77777777" w:rsidR="00F27E0D" w:rsidRDefault="00F27E0D">
      <w:pPr>
        <w:pStyle w:val="APVMAText"/>
      </w:pPr>
    </w:p>
    <w:p w14:paraId="287F897C"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3FCA2BF2" w14:textId="77777777" w:rsidR="00F27E0D" w:rsidRDefault="00F27E0D">
      <w:pPr>
        <w:pStyle w:val="Heading1"/>
      </w:pPr>
      <w:bookmarkStart w:id="30" w:name="_Toc507406673"/>
      <w:bookmarkStart w:id="31" w:name="_Toc231963183"/>
      <w:bookmarkStart w:id="32" w:name="_Toc231963195"/>
      <w:r>
        <w:lastRenderedPageBreak/>
        <w:t>Assessment of overseas trade aspects of residues in food</w:t>
      </w:r>
      <w:bookmarkEnd w:id="30"/>
    </w:p>
    <w:p w14:paraId="4A04AAD8" w14:textId="77777777" w:rsidR="00F27E0D" w:rsidRDefault="00D641E2" w:rsidP="00D641E2">
      <w:pPr>
        <w:pStyle w:val="Heading2"/>
      </w:pPr>
      <w:bookmarkStart w:id="33" w:name="_Toc507406674"/>
      <w:r>
        <w:t>Commodities exported</w:t>
      </w:r>
      <w:bookmarkEnd w:id="33"/>
    </w:p>
    <w:p w14:paraId="301B08B2" w14:textId="29891286" w:rsidR="00F27E0D" w:rsidRDefault="00D641E2">
      <w:pPr>
        <w:pStyle w:val="APVMAText"/>
      </w:pPr>
      <w:r w:rsidRPr="005F781F">
        <w:t xml:space="preserve">Canola </w:t>
      </w:r>
      <w:r>
        <w:t xml:space="preserve">(including derived oils and meals) </w:t>
      </w:r>
      <w:r w:rsidRPr="005F781F">
        <w:t xml:space="preserve">and grapes </w:t>
      </w:r>
      <w:r>
        <w:t xml:space="preserve">(including dried grapes and wine) </w:t>
      </w:r>
      <w:r w:rsidRPr="005F781F">
        <w:t>are considered to be major export commodities</w:t>
      </w:r>
      <w:r w:rsidRPr="005F781F">
        <w:rPr>
          <w:rStyle w:val="FootnoteReference"/>
        </w:rPr>
        <w:footnoteReference w:id="4"/>
      </w:r>
      <w:r w:rsidRPr="005F781F">
        <w:t>, as are commodities of animal origin, such as meat, offal and dairy products, which may be derived from livestock fed feeds produced from treated canola and grapes.</w:t>
      </w:r>
      <w:r w:rsidRPr="005F781F">
        <w:rPr>
          <w:vertAlign w:val="superscript"/>
        </w:rPr>
        <w:t xml:space="preserve"> </w:t>
      </w:r>
      <w:r>
        <w:t xml:space="preserve">Residues in these commodities resulting from the use of </w:t>
      </w:r>
      <w:r w:rsidR="006E5782">
        <w:rPr>
          <w:i/>
        </w:rPr>
        <w:t>Miravis Fungicide</w:t>
      </w:r>
      <w:r>
        <w:rPr>
          <w:i/>
        </w:rPr>
        <w:t xml:space="preserve"> </w:t>
      </w:r>
      <w:r>
        <w:t>may have the potential to unduly prejudice trade.</w:t>
      </w:r>
    </w:p>
    <w:p w14:paraId="1829618B" w14:textId="77777777" w:rsidR="00F27E0D" w:rsidRDefault="00D641E2" w:rsidP="00D641E2">
      <w:pPr>
        <w:pStyle w:val="Heading2"/>
      </w:pPr>
      <w:bookmarkStart w:id="34" w:name="_Toc507406675"/>
      <w:r>
        <w:t>Destination and value of exports</w:t>
      </w:r>
      <w:bookmarkEnd w:id="34"/>
    </w:p>
    <w:p w14:paraId="068FD2EA" w14:textId="77777777" w:rsidR="00F27E0D" w:rsidRPr="00D641E2" w:rsidRDefault="00D641E2" w:rsidP="008700DC">
      <w:pPr>
        <w:pStyle w:val="Heading3"/>
      </w:pPr>
      <w:r>
        <w:t>Canola</w:t>
      </w:r>
    </w:p>
    <w:p w14:paraId="569AFE13" w14:textId="3070B949" w:rsidR="00F27E0D" w:rsidRDefault="00D641E2">
      <w:pPr>
        <w:pStyle w:val="APVMAText"/>
      </w:pPr>
      <w:r w:rsidRPr="005F781F">
        <w:t>Australian exports of canola g</w:t>
      </w:r>
      <w:r w:rsidR="00312426">
        <w:t>rain, oil and meal totalled 1945.6 kt (value $1097 million), 154.1 kt and 22.86 kt respectively in 2015</w:t>
      </w:r>
      <w:r w:rsidR="007B1810">
        <w:t>–</w:t>
      </w:r>
      <w:r w:rsidR="00312426">
        <w:t>16</w:t>
      </w:r>
      <w:r w:rsidR="00BB6781">
        <w:t>.</w:t>
      </w:r>
      <w:bookmarkStart w:id="35" w:name="_Ref385318601"/>
      <w:r w:rsidRPr="005F781F">
        <w:rPr>
          <w:rStyle w:val="FootnoteReference"/>
        </w:rPr>
        <w:footnoteReference w:id="5"/>
      </w:r>
      <w:bookmarkEnd w:id="35"/>
    </w:p>
    <w:p w14:paraId="1311F90B" w14:textId="68CB2C39" w:rsidR="00D641E2" w:rsidRDefault="00D641E2">
      <w:pPr>
        <w:pStyle w:val="APVMAText"/>
      </w:pPr>
      <w:r w:rsidRPr="00C75942">
        <w:t xml:space="preserve">The major export </w:t>
      </w:r>
      <w:r w:rsidR="00312426">
        <w:t>markets for canola grain in 2015</w:t>
      </w:r>
      <w:r w:rsidR="007B1810">
        <w:t>–</w:t>
      </w:r>
      <w:r w:rsidR="00312426">
        <w:t>16 included Belgium</w:t>
      </w:r>
      <w:r w:rsidRPr="00C75942">
        <w:t>, France, Germany, Jap</w:t>
      </w:r>
      <w:r w:rsidR="00312426">
        <w:t>an, and The Netherlands</w:t>
      </w:r>
      <w:r w:rsidRPr="00C75942">
        <w:t>. Destinations for canola oil included China, Japan, the Republic of Korea, Malaysia and New Zealand</w:t>
      </w:r>
      <w:r w:rsidR="00312426">
        <w:t xml:space="preserve"> in 2014</w:t>
      </w:r>
      <w:r w:rsidR="007B1810">
        <w:t>–</w:t>
      </w:r>
      <w:r w:rsidR="00312426">
        <w:t>15 (2015</w:t>
      </w:r>
      <w:r w:rsidR="007B1810">
        <w:t>–</w:t>
      </w:r>
      <w:r w:rsidR="00312426">
        <w:t>2016 figures not available)</w:t>
      </w:r>
      <w:r w:rsidRPr="00C75942">
        <w:t>. The major market for Canola meal in 201</w:t>
      </w:r>
      <w:r w:rsidR="00312426">
        <w:t>5</w:t>
      </w:r>
      <w:r w:rsidR="007B1810">
        <w:t>–</w:t>
      </w:r>
      <w:r w:rsidR="00312426">
        <w:t>16</w:t>
      </w:r>
      <w:r w:rsidRPr="00C75942">
        <w:t xml:space="preserve"> was </w:t>
      </w:r>
      <w:bookmarkStart w:id="36" w:name="_Toc320792804"/>
      <w:r w:rsidRPr="00C75942">
        <w:t>New Zealand.</w:t>
      </w:r>
      <w:bookmarkEnd w:id="36"/>
    </w:p>
    <w:p w14:paraId="338BE22E" w14:textId="77777777" w:rsidR="00D641E2" w:rsidRDefault="008700DC" w:rsidP="008700DC">
      <w:pPr>
        <w:pStyle w:val="Heading3"/>
      </w:pPr>
      <w:r>
        <w:t>Grapes</w:t>
      </w:r>
    </w:p>
    <w:p w14:paraId="1870C79E" w14:textId="3B085DCA" w:rsidR="00D641E2" w:rsidRDefault="008700DC">
      <w:pPr>
        <w:pStyle w:val="APVMAText"/>
        <w:rPr>
          <w:vertAlign w:val="superscript"/>
        </w:rPr>
      </w:pPr>
      <w:r>
        <w:t xml:space="preserve">Grapes are a significant export, particularly as wine, although table grapes and dried </w:t>
      </w:r>
      <w:r w:rsidR="00312426">
        <w:t>fruit are also exported. In 2015</w:t>
      </w:r>
      <w:r w:rsidR="007B1810">
        <w:t>–</w:t>
      </w:r>
      <w:r w:rsidR="00312426">
        <w:t>16 Australia exported 727.08 ML of wine worth $2183.9</w:t>
      </w:r>
      <w:r>
        <w:t xml:space="preserve"> million. Australia exports wine to the USA, EU, China, Canada, New Zealand, Singapore, Japan and Malaysia.</w:t>
      </w:r>
      <w:r>
        <w:rPr>
          <w:vertAlign w:val="superscript"/>
        </w:rPr>
        <w:t>4</w:t>
      </w:r>
    </w:p>
    <w:p w14:paraId="39A6C81F" w14:textId="48183573" w:rsidR="008700DC" w:rsidRPr="005E1CC7" w:rsidRDefault="008700DC" w:rsidP="008700DC">
      <w:pPr>
        <w:rPr>
          <w:vertAlign w:val="superscript"/>
        </w:rPr>
      </w:pPr>
      <w:r>
        <w:t>The much smaller table grape exports are predominantly Asia bound. Dried grapes</w:t>
      </w:r>
      <w:r w:rsidR="00312426">
        <w:t xml:space="preserve"> are exported worldwide. In 2015</w:t>
      </w:r>
      <w:r w:rsidR="007B1810">
        <w:t>–</w:t>
      </w:r>
      <w:r w:rsidR="00312426">
        <w:t>16 Australia exported 5</w:t>
      </w:r>
      <w:r>
        <w:t xml:space="preserve"> kt</w:t>
      </w:r>
      <w:r w:rsidR="00312426">
        <w:t xml:space="preserve"> of dried vine fruit worth $19.4</w:t>
      </w:r>
      <w:r>
        <w:t xml:space="preserve"> million.</w:t>
      </w:r>
      <w:r>
        <w:rPr>
          <w:vertAlign w:val="superscript"/>
        </w:rPr>
        <w:t>4</w:t>
      </w:r>
    </w:p>
    <w:p w14:paraId="4E58314A" w14:textId="77777777" w:rsidR="008700DC" w:rsidRDefault="008700DC" w:rsidP="008700DC">
      <w:pPr>
        <w:pStyle w:val="Heading3"/>
      </w:pPr>
      <w:r>
        <w:t>Beef, sheep and pig meat and offals</w:t>
      </w:r>
    </w:p>
    <w:p w14:paraId="2867D088" w14:textId="4479ACC6" w:rsidR="008700DC" w:rsidRDefault="008700DC">
      <w:pPr>
        <w:pStyle w:val="APVMAText"/>
      </w:pPr>
      <w:r>
        <w:t>The significant export markets for Australian beef, sheep, pig meat and offals are listed in the APVMA Regulatory Guidelines</w:t>
      </w:r>
      <w:r w:rsidR="007B1810">
        <w:t>—</w:t>
      </w:r>
      <w:r>
        <w:t>Data Guidelines: Agricultural</w:t>
      </w:r>
      <w:r w:rsidR="007B1810">
        <w:t>—</w:t>
      </w:r>
      <w:r>
        <w:t>Overseas trade (Part 5B). However, quantifiable residues are not expected to occur in animal commodities as a result of the proposed use. The risk to Australia’s trade in animal commodities is low and will not be considered further.</w:t>
      </w:r>
    </w:p>
    <w:p w14:paraId="31B7B36B" w14:textId="20CF0DBD" w:rsidR="008700DC" w:rsidRDefault="008700DC" w:rsidP="008700DC">
      <w:pPr>
        <w:pStyle w:val="Heading2"/>
      </w:pPr>
      <w:bookmarkStart w:id="37" w:name="_Toc507406676"/>
      <w:r>
        <w:lastRenderedPageBreak/>
        <w:t>Overseas registration</w:t>
      </w:r>
      <w:r w:rsidR="00136243">
        <w:t>s</w:t>
      </w:r>
      <w:bookmarkEnd w:id="37"/>
    </w:p>
    <w:p w14:paraId="6F6AEAAE" w14:textId="75F53D0B" w:rsidR="008700DC" w:rsidRDefault="008700DC">
      <w:pPr>
        <w:pStyle w:val="APVMAText"/>
      </w:pPr>
      <w:r w:rsidRPr="0038608C">
        <w:rPr>
          <w:rFonts w:eastAsiaTheme="minorEastAsia"/>
        </w:rPr>
        <w:t xml:space="preserve">The applicant indicated that </w:t>
      </w:r>
      <w:r w:rsidR="00CA2DA9" w:rsidRPr="00CA2DA9">
        <w:rPr>
          <w:rFonts w:eastAsiaTheme="minorEastAsia"/>
        </w:rPr>
        <w:t xml:space="preserve">Miravis Fungicide </w:t>
      </w:r>
      <w:r w:rsidR="00136243">
        <w:rPr>
          <w:rFonts w:eastAsiaTheme="minorEastAsia"/>
        </w:rPr>
        <w:t>is</w:t>
      </w:r>
      <w:r w:rsidR="00CA2DA9" w:rsidRPr="00CA2DA9">
        <w:rPr>
          <w:rFonts w:eastAsiaTheme="minorEastAsia"/>
        </w:rPr>
        <w:t xml:space="preserve"> registered for use in potatoes and grapes in New Zealand</w:t>
      </w:r>
      <w:r w:rsidR="00136243">
        <w:rPr>
          <w:rFonts w:eastAsiaTheme="minorEastAsia"/>
        </w:rPr>
        <w:t>,</w:t>
      </w:r>
      <w:r w:rsidR="00CA2DA9" w:rsidRPr="00CA2DA9">
        <w:rPr>
          <w:rFonts w:eastAsiaTheme="minorEastAsia"/>
        </w:rPr>
        <w:t xml:space="preserve"> and products containing pydiflumetofen in combination with difenoconazole</w:t>
      </w:r>
      <w:r w:rsidR="00136243">
        <w:rPr>
          <w:rFonts w:eastAsiaTheme="minorEastAsia"/>
        </w:rPr>
        <w:t xml:space="preserve"> have been</w:t>
      </w:r>
      <w:r w:rsidR="00CA2DA9" w:rsidRPr="00CA2DA9">
        <w:rPr>
          <w:rFonts w:eastAsiaTheme="minorEastAsia"/>
        </w:rPr>
        <w:t xml:space="preserve"> approved for use in soybean, peanuts, tomatoes, peppers and grapes in Argentina. Submissions for registration of products containing pydiflumetofen have also been made in a number of other overseas countries</w:t>
      </w:r>
      <w:r w:rsidR="00136243">
        <w:rPr>
          <w:rFonts w:eastAsiaTheme="minorEastAsia"/>
        </w:rPr>
        <w:t>.</w:t>
      </w:r>
      <w:r w:rsidR="00CA2DA9">
        <w:rPr>
          <w:rFonts w:eastAsiaTheme="minorEastAsia"/>
        </w:rPr>
        <w:t xml:space="preserve"> </w:t>
      </w:r>
    </w:p>
    <w:p w14:paraId="73BA1B1B" w14:textId="77777777" w:rsidR="008700DC" w:rsidRDefault="00F77F8F" w:rsidP="00F77F8F">
      <w:pPr>
        <w:pStyle w:val="Heading2"/>
      </w:pPr>
      <w:bookmarkStart w:id="38" w:name="_Toc507406677"/>
      <w:r>
        <w:t>Comparison of Australian MRLs with Codex and overseas MRLs</w:t>
      </w:r>
      <w:bookmarkEnd w:id="38"/>
    </w:p>
    <w:p w14:paraId="45AECB6D" w14:textId="00F5CFFF" w:rsidR="008700DC" w:rsidRDefault="00F77F8F">
      <w:pPr>
        <w:pStyle w:val="APVMAText"/>
      </w:pPr>
      <w:r>
        <w:t>The Codex Alimentarius Commission (Codex) is responsible for establishing Codex Maximum Residue Limits (CXLs) for pesticides</w:t>
      </w:r>
      <w:r w:rsidR="007114A9">
        <w:t xml:space="preserve">. </w:t>
      </w:r>
      <w:r>
        <w:t>Codex CXLs are primarily intended to facilitate international trade, and accommodate differences in Good Agricultural Practice (GAP) employed by various countries</w:t>
      </w:r>
      <w:r w:rsidR="007114A9">
        <w:t xml:space="preserve">. </w:t>
      </w:r>
      <w:r>
        <w:t>Some countries may accept Codex CXLs when importing foods</w:t>
      </w:r>
      <w:r w:rsidR="007114A9">
        <w:t xml:space="preserve">. </w:t>
      </w:r>
      <w:r w:rsidRPr="00AF3FFA">
        <w:t xml:space="preserve">Pydiflumetofen has not been considered </w:t>
      </w:r>
      <w:r>
        <w:t>by Codex and overseas MRLs have yet to be established.</w:t>
      </w:r>
    </w:p>
    <w:p w14:paraId="5DBEEEBC" w14:textId="77777777" w:rsidR="00F77F8F" w:rsidRDefault="00F77F8F" w:rsidP="00F77F8F">
      <w:pPr>
        <w:pStyle w:val="Heading2"/>
      </w:pPr>
      <w:bookmarkStart w:id="39" w:name="_Toc507406678"/>
      <w:r>
        <w:t>Potential risk to trade</w:t>
      </w:r>
      <w:bookmarkEnd w:id="39"/>
    </w:p>
    <w:p w14:paraId="00D98FD9" w14:textId="77777777" w:rsidR="00F77F8F" w:rsidRDefault="00F77F8F">
      <w:pPr>
        <w:pStyle w:val="APVMAText"/>
        <w:rPr>
          <w:rFonts w:eastAsiaTheme="minorEastAsia"/>
        </w:rPr>
      </w:pPr>
      <w:r w:rsidRPr="00F77F8F">
        <w:rPr>
          <w:rFonts w:eastAsiaTheme="minorEastAsia"/>
        </w:rPr>
        <w:t>Export of treated produce containing finite (measurable) residues of pydiflumetofen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r>
        <w:rPr>
          <w:rFonts w:eastAsiaTheme="minorEastAsia"/>
        </w:rPr>
        <w:t>.</w:t>
      </w:r>
    </w:p>
    <w:p w14:paraId="35701A60" w14:textId="77777777" w:rsidR="00F77F8F" w:rsidRPr="00F77F8F" w:rsidRDefault="00F77F8F">
      <w:pPr>
        <w:pStyle w:val="APVMAText"/>
        <w:rPr>
          <w:rFonts w:eastAsiaTheme="minorEastAsia"/>
        </w:rPr>
      </w:pPr>
      <w:r w:rsidRPr="00F77F8F">
        <w:rPr>
          <w:rFonts w:eastAsiaTheme="minorEastAsia"/>
        </w:rPr>
        <w:t>The applicant is proposing to manage the risk to trade through the following statement on the label:</w:t>
      </w:r>
    </w:p>
    <w:p w14:paraId="28B0A49A" w14:textId="1F7E52B4" w:rsidR="00F77F8F" w:rsidRDefault="00F77F8F">
      <w:pPr>
        <w:pStyle w:val="APVMAText"/>
        <w:rPr>
          <w:rFonts w:eastAsiaTheme="minorEastAsia"/>
        </w:rPr>
      </w:pPr>
      <w:r w:rsidRPr="00890064">
        <w:rPr>
          <w:b/>
          <w:bCs/>
        </w:rPr>
        <w:t xml:space="preserve">EXPORT OF TREATED PRODUCE – </w:t>
      </w:r>
      <w:r w:rsidRPr="00890064">
        <w:t xml:space="preserve">Crops treated with </w:t>
      </w:r>
      <w:r w:rsidR="006E5782">
        <w:t>Miravis Fungicide</w:t>
      </w:r>
      <w:r w:rsidRPr="00890064">
        <w:t xml:space="preserve"> may contain finite (measurable) residues of pydiflumetofen and may pose a risk to trade in situations where no residue tolerance (import tolerance) is established in the importing country or where residues in Australian commodities are likely to exceed a residue tolerance (import tolerance) established in the importing country. Before you use this product, you are advised to contact Syngenta and/or your industry body about any potential trade issues and their management.</w:t>
      </w:r>
    </w:p>
    <w:p w14:paraId="1BA77114" w14:textId="77777777" w:rsidR="00F77F8F" w:rsidRDefault="00F77F8F" w:rsidP="00F77F8F">
      <w:pPr>
        <w:pStyle w:val="Heading3"/>
        <w:rPr>
          <w:rFonts w:eastAsiaTheme="minorEastAsia"/>
        </w:rPr>
      </w:pPr>
      <w:r>
        <w:rPr>
          <w:rFonts w:eastAsiaTheme="minorEastAsia"/>
        </w:rPr>
        <w:t>Canola</w:t>
      </w:r>
    </w:p>
    <w:p w14:paraId="01A9CA89" w14:textId="0256D347" w:rsidR="00F77F8F" w:rsidRDefault="00F77F8F">
      <w:pPr>
        <w:pStyle w:val="APVMAText"/>
        <w:rPr>
          <w:rFonts w:eastAsiaTheme="minorEastAsia"/>
        </w:rPr>
      </w:pPr>
      <w:r>
        <w:t>A finite MRL is proposed for canola. However, in 4 residue trials which are most representative of the proposed GAP, residues in the seed at harvest were &lt;0.01 mg/kg (n = 4)</w:t>
      </w:r>
      <w:r w:rsidR="0083535A">
        <w:t xml:space="preserve"> indicating that it is unlikely that quantifiable residues will be routinely observed</w:t>
      </w:r>
      <w:r>
        <w:t xml:space="preserve">. </w:t>
      </w:r>
      <w:r w:rsidR="00D630B2">
        <w:t xml:space="preserve">In addition, processing studies showed residues did not concentrate in oil or meal. </w:t>
      </w:r>
      <w:r>
        <w:t>Comment is sought on the potential risk to trade caused by the proposed use of pydiflumetofen on canola.</w:t>
      </w:r>
    </w:p>
    <w:p w14:paraId="5FAF0DD2" w14:textId="77777777" w:rsidR="007B1810" w:rsidRDefault="007B1810" w:rsidP="00F77F8F">
      <w:pPr>
        <w:pStyle w:val="Heading3"/>
        <w:rPr>
          <w:rFonts w:eastAsiaTheme="minorEastAsia"/>
        </w:rPr>
        <w:sectPr w:rsidR="007B1810">
          <w:headerReference w:type="even" r:id="rId37"/>
          <w:headerReference w:type="default" r:id="rId38"/>
          <w:footerReference w:type="default" r:id="rId39"/>
          <w:pgSz w:w="11906" w:h="16838" w:code="9"/>
          <w:pgMar w:top="2835" w:right="1134" w:bottom="1134" w:left="1134" w:header="1701" w:footer="680" w:gutter="0"/>
          <w:cols w:space="708"/>
          <w:docGrid w:linePitch="360"/>
        </w:sectPr>
      </w:pPr>
    </w:p>
    <w:p w14:paraId="69CB9B12" w14:textId="78E0B5E5" w:rsidR="00F77F8F" w:rsidRDefault="00F77F8F" w:rsidP="00F77F8F">
      <w:pPr>
        <w:pStyle w:val="Heading3"/>
        <w:rPr>
          <w:rFonts w:eastAsiaTheme="minorEastAsia"/>
        </w:rPr>
      </w:pPr>
      <w:r>
        <w:rPr>
          <w:rFonts w:eastAsiaTheme="minorEastAsia"/>
        </w:rPr>
        <w:lastRenderedPageBreak/>
        <w:t>Grapes and wine</w:t>
      </w:r>
    </w:p>
    <w:p w14:paraId="4308EF4F" w14:textId="0EC6BA2B" w:rsidR="00F77F8F" w:rsidRDefault="00F77F8F">
      <w:pPr>
        <w:pStyle w:val="APVMAText"/>
      </w:pPr>
      <w:r>
        <w:t xml:space="preserve">Residues in wine after 3 </w:t>
      </w:r>
      <w:r w:rsidR="00136243">
        <w:t>applications to grapes at 4 g.a.i.</w:t>
      </w:r>
      <w:r>
        <w:t xml:space="preserve">/100 L up to growth stage EL-31 were all &lt;0.003 </w:t>
      </w:r>
      <w:r w:rsidR="007B1810">
        <w:br/>
      </w:r>
      <w:r>
        <w:t xml:space="preserve">(n = 6) mg/kg, suggesting the risk to trade in wine is low. Finite residues are expected to occur in grapes </w:t>
      </w:r>
      <w:r w:rsidR="007B1810">
        <w:br/>
      </w:r>
      <w:r w:rsidR="00EE0FF3">
        <w:t xml:space="preserve">(HR = 0.05 mg/kg) </w:t>
      </w:r>
      <w:r>
        <w:t xml:space="preserve">and dried grapes </w:t>
      </w:r>
      <w:r w:rsidR="00EE0FF3">
        <w:t xml:space="preserve">(HR-P = 0.16 mg/kg) </w:t>
      </w:r>
      <w:r>
        <w:t>as a result of t</w:t>
      </w:r>
      <w:r w:rsidR="00FD10E7">
        <w:t>he proposed use. Comment is</w:t>
      </w:r>
      <w:r>
        <w:t xml:space="preserve"> sought on the potential risk to trade caused by the proposed use of pydiflumetofen on grapes.</w:t>
      </w:r>
    </w:p>
    <w:p w14:paraId="48D192F9" w14:textId="77777777" w:rsidR="0032309D" w:rsidRDefault="0032309D" w:rsidP="0032309D">
      <w:pPr>
        <w:pStyle w:val="Heading3"/>
      </w:pPr>
      <w:r>
        <w:t>Animal Commodities</w:t>
      </w:r>
    </w:p>
    <w:p w14:paraId="2B003C2A" w14:textId="77777777" w:rsidR="0032309D" w:rsidRPr="0032309D" w:rsidRDefault="0032309D" w:rsidP="0032309D">
      <w:pPr>
        <w:pStyle w:val="APVMAText"/>
        <w:rPr>
          <w:rFonts w:eastAsiaTheme="minorEastAsia"/>
        </w:rPr>
      </w:pPr>
      <w:r>
        <w:rPr>
          <w:rFonts w:eastAsiaTheme="minorEastAsia"/>
        </w:rPr>
        <w:t>Residues of pydiflumetofen are not expected to occur in animal commodities as a result of the proposed use and the risk to trade is considered to be low.</w:t>
      </w:r>
    </w:p>
    <w:p w14:paraId="4310EBB4" w14:textId="77777777" w:rsidR="00F27E0D" w:rsidRDefault="00F27E0D">
      <w:pPr>
        <w:pStyle w:val="APVMAText"/>
      </w:pPr>
    </w:p>
    <w:p w14:paraId="7B2F2710"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5AFA8660" w14:textId="77777777" w:rsidR="00F27E0D" w:rsidRDefault="00F27E0D">
      <w:pPr>
        <w:pStyle w:val="Heading1"/>
      </w:pPr>
      <w:bookmarkStart w:id="40" w:name="_Toc507406679"/>
      <w:r>
        <w:lastRenderedPageBreak/>
        <w:t>Occupational Health and Safety assessment</w:t>
      </w:r>
      <w:bookmarkEnd w:id="40"/>
    </w:p>
    <w:p w14:paraId="4B181DE5" w14:textId="77777777" w:rsidR="00D90021" w:rsidRDefault="00D90021" w:rsidP="00D90021">
      <w:pPr>
        <w:pStyle w:val="Heading2"/>
        <w:numPr>
          <w:ilvl w:val="1"/>
          <w:numId w:val="2"/>
        </w:numPr>
      </w:pPr>
      <w:bookmarkStart w:id="41" w:name="_Toc478724003"/>
      <w:bookmarkStart w:id="42" w:name="_Toc507406680"/>
      <w:r>
        <w:t>Use pattern</w:t>
      </w:r>
      <w:bookmarkEnd w:id="41"/>
      <w:bookmarkEnd w:id="42"/>
    </w:p>
    <w:p w14:paraId="773FA8F0" w14:textId="0AC0A5A8" w:rsidR="00D90021" w:rsidRPr="00507D9E" w:rsidRDefault="007B1810" w:rsidP="00D90021">
      <w:pPr>
        <w:pStyle w:val="APVMAText"/>
      </w:pPr>
      <w:r w:rsidRPr="005F3696">
        <w:t>Miravis Fungicide</w:t>
      </w:r>
      <w:r w:rsidR="00D90021">
        <w:t xml:space="preserve"> </w:t>
      </w:r>
      <w:r w:rsidR="00D90021" w:rsidRPr="00FB62BA">
        <w:t xml:space="preserve">will be applied to </w:t>
      </w:r>
      <w:r w:rsidR="00D90021">
        <w:t xml:space="preserve">canola, grapes and potatoes </w:t>
      </w:r>
      <w:r w:rsidR="00D90021" w:rsidRPr="00FB62BA">
        <w:t>via boom spray</w:t>
      </w:r>
      <w:r w:rsidR="00D90021">
        <w:t xml:space="preserve"> or air-blast or handheld equipment.</w:t>
      </w:r>
      <w:r w:rsidR="00D90021" w:rsidRPr="00FB62BA">
        <w:t xml:space="preserve"> It will be applied at </w:t>
      </w:r>
      <w:r w:rsidR="00D90021">
        <w:t xml:space="preserve">the maximum recommended application </w:t>
      </w:r>
      <w:r w:rsidR="00D90021" w:rsidRPr="00FB62BA">
        <w:t xml:space="preserve">rate of </w:t>
      </w:r>
      <w:r w:rsidR="00D90021">
        <w:t>200</w:t>
      </w:r>
      <w:r w:rsidR="00D90021" w:rsidRPr="00FB62BA">
        <w:t xml:space="preserve"> </w:t>
      </w:r>
      <w:r w:rsidR="00D90021">
        <w:t>g</w:t>
      </w:r>
      <w:r w:rsidR="00996B83">
        <w:t>.a.i.</w:t>
      </w:r>
      <w:r w:rsidR="00D90021" w:rsidRPr="00FB62BA">
        <w:t xml:space="preserve">/ha </w:t>
      </w:r>
      <w:r>
        <w:br/>
      </w:r>
      <w:r w:rsidR="00D90021" w:rsidRPr="00FB62BA">
        <w:t>(</w:t>
      </w:r>
      <w:r w:rsidR="00D90021">
        <w:t>active - pydiflumetofen</w:t>
      </w:r>
      <w:r w:rsidR="00D90021" w:rsidRPr="00FB62BA">
        <w:t>)</w:t>
      </w:r>
      <w:r w:rsidR="00D90021">
        <w:t xml:space="preserve"> when applied to canola (300 ha/d)</w:t>
      </w:r>
      <w:r w:rsidR="00D90021" w:rsidRPr="00FB62BA">
        <w:t>.</w:t>
      </w:r>
    </w:p>
    <w:p w14:paraId="6040FBB7" w14:textId="77777777" w:rsidR="00D90021" w:rsidRDefault="00D90021" w:rsidP="00D90021">
      <w:pPr>
        <w:pStyle w:val="Heading2"/>
        <w:numPr>
          <w:ilvl w:val="1"/>
          <w:numId w:val="2"/>
        </w:numPr>
      </w:pPr>
      <w:bookmarkStart w:id="43" w:name="_Toc478724004"/>
      <w:bookmarkStart w:id="44" w:name="_Toc507406681"/>
      <w:r>
        <w:t>Exposure during use</w:t>
      </w:r>
      <w:bookmarkEnd w:id="43"/>
      <w:bookmarkEnd w:id="44"/>
    </w:p>
    <w:p w14:paraId="3805977D" w14:textId="204029E3" w:rsidR="00D90021" w:rsidRDefault="008D3A04" w:rsidP="00D90021">
      <w:pPr>
        <w:pStyle w:val="APVMAText"/>
      </w:pPr>
      <w:r>
        <w:t>The product is for</w:t>
      </w:r>
      <w:r w:rsidR="00D90021" w:rsidRPr="00FB62BA">
        <w:t xml:space="preserve"> professional use (farmers and commercial spray operators).</w:t>
      </w:r>
      <w:r w:rsidR="00D90021" w:rsidRPr="00FB62BA">
        <w:rPr>
          <w:rFonts w:cs="Times New Roman"/>
        </w:rPr>
        <w:t xml:space="preserve"> </w:t>
      </w:r>
      <w:r w:rsidR="00D90021" w:rsidRPr="00FB62BA">
        <w:t xml:space="preserve">Workers may be exposed to the product when opening containers, </w:t>
      </w:r>
      <w:r w:rsidR="00D90021">
        <w:t xml:space="preserve">mixing and loading, </w:t>
      </w:r>
      <w:r w:rsidR="00D90021" w:rsidRPr="00FB62BA">
        <w:t>using the product, cleaning up spills, maintaining equipment and entering treated areas. The main ro</w:t>
      </w:r>
      <w:r w:rsidR="00D90021">
        <w:t>utes of exposure to the product will be dermal and inhalation (during application) with some possibility of ocular exposure</w:t>
      </w:r>
      <w:r w:rsidR="00D90021" w:rsidRPr="00FB62BA">
        <w:t>.</w:t>
      </w:r>
    </w:p>
    <w:p w14:paraId="4991617D" w14:textId="70EBB3FA" w:rsidR="00D90021" w:rsidRPr="00C77965" w:rsidRDefault="00D90021" w:rsidP="00D90021">
      <w:pPr>
        <w:pStyle w:val="APVMAText"/>
      </w:pPr>
      <w:r w:rsidRPr="00C77965">
        <w:t xml:space="preserve">In repeat dose toxicity studies the primary target organ of toxicity was the liver with increased liver weight, associated with hepatocyte hypertrophy, generally defining the LOAEL in conjunction with reduced bodyweight gains. </w:t>
      </w:r>
    </w:p>
    <w:p w14:paraId="6955D266" w14:textId="5893A45B" w:rsidR="00D90021" w:rsidRDefault="00D90021" w:rsidP="00D90021">
      <w:pPr>
        <w:pStyle w:val="APVMAText"/>
      </w:pPr>
      <w:r>
        <w:t xml:space="preserve">A 28-day dermal study in rats identified no treatment-related effects at the </w:t>
      </w:r>
      <w:r w:rsidR="00D36EDA">
        <w:t xml:space="preserve">highest </w:t>
      </w:r>
      <w:r>
        <w:t xml:space="preserve">dose of 1000 mg/kg bw/d, reflecting both the poor dermal absorption of pydiflumetofen, its rapid clearance and relatively benign toxicological profile. </w:t>
      </w:r>
      <w:r w:rsidRPr="005A4494">
        <w:t>Pydiflumetofen also has very low aqueous solubility, consequently material applied to the skin, moistened with only a small amount of water, will deliver a quite limited effective dose in contact with the skin, further contributing to the absence of observed effects in this study. Although this study was fully OECD TG compliant, given the limitations in determining the effective dose applied, the NOAEL obtained is not considered suitable for OH&amp;S risk assessment.</w:t>
      </w:r>
      <w:r>
        <w:t xml:space="preserve"> </w:t>
      </w:r>
      <w:r w:rsidRPr="005A4494">
        <w:t>The lowest relevant NOAELs in oral short term and sub-chronic studies with pydiflumetofen are 612 and 81.6 mg/kg bw/d respectively in the mouse and 322 and 18.6 mg/kg bw/d respectively in the rat. In the rat reproduction study (which included liver microscopy), a NOAEL of 46 mg/kg bw/d for systemic toxicity, manifest as a reduction in bodyweight gain, was observed in males. This dose is between the NOAEL and LOAEL observed in the sub-chronic rat study, and is therefore selected as the most suitable NOAEL for OH&amp;S risk assessment.</w:t>
      </w:r>
      <w:r>
        <w:t xml:space="preserve"> </w:t>
      </w:r>
    </w:p>
    <w:p w14:paraId="1C7572AA" w14:textId="77777777" w:rsidR="00D90021" w:rsidRDefault="00D90021" w:rsidP="00D90021">
      <w:pPr>
        <w:pStyle w:val="APVMAText"/>
      </w:pPr>
      <w:r>
        <w:t>An exposure assessment was conducted, and in conjunction with the hazard profile, used to determine whether the proposed use of the product would be an undue health hazard to humans. In the absence of exposure data for the proposed modes of application, the US Environmental Protection Agency (US EPA) Pesticide Handler Exposure Database (PHED) Surrogate Exposure Guide (1998) was used to estimate exposure. The toxic endpoint of concern and identified NOAEL for risk assessment was derived from a repeat dose study in animals, and in this instance a margin of exposure (MOE) of 100 or above was considered acceptable. The MOE takes into account both potential inter-species extrapolation and intra-species variability. Based on the risk assessment, the proposed uses of the product for fungal growth control was considered acceptable without the use of PPE.</w:t>
      </w:r>
    </w:p>
    <w:p w14:paraId="5D71972E" w14:textId="77777777" w:rsidR="007B1810" w:rsidRDefault="007B1810" w:rsidP="00D90021">
      <w:pPr>
        <w:pStyle w:val="APVMAText"/>
        <w:sectPr w:rsidR="007B1810">
          <w:headerReference w:type="default" r:id="rId40"/>
          <w:pgSz w:w="11906" w:h="16838" w:code="9"/>
          <w:pgMar w:top="2835" w:right="1134" w:bottom="1134" w:left="1134" w:header="1701" w:footer="680" w:gutter="0"/>
          <w:cols w:space="708"/>
          <w:docGrid w:linePitch="360"/>
        </w:sectPr>
      </w:pPr>
    </w:p>
    <w:p w14:paraId="60BCB4E7" w14:textId="3A2410F0" w:rsidR="00D90021" w:rsidRDefault="00D90021" w:rsidP="00D90021">
      <w:pPr>
        <w:pStyle w:val="APVMAText"/>
      </w:pPr>
      <w:r>
        <w:lastRenderedPageBreak/>
        <w:t xml:space="preserve">Application of </w:t>
      </w:r>
      <w:r w:rsidR="007B1810" w:rsidRPr="005F3696">
        <w:t>Miravis Fungicide</w:t>
      </w:r>
      <w:r w:rsidR="007B1810">
        <w:t xml:space="preserve"> </w:t>
      </w:r>
      <w:r>
        <w:t>by air-blast and groundboom may lead to unintended bystander exposure via chemical spray drift. In the event that members of the public are exposed intermittently to spray drift, the risk is les</w:t>
      </w:r>
      <w:r w:rsidR="0082303A">
        <w:t>s than that for worker mixing, lo</w:t>
      </w:r>
      <w:r>
        <w:t>ading and applying the spray, which has been assessed as low, and is therefore also low.</w:t>
      </w:r>
    </w:p>
    <w:p w14:paraId="4274F741" w14:textId="77777777" w:rsidR="00D90021" w:rsidRDefault="00D90021" w:rsidP="00D90021">
      <w:pPr>
        <w:pStyle w:val="Heading2"/>
        <w:numPr>
          <w:ilvl w:val="1"/>
          <w:numId w:val="2"/>
        </w:numPr>
        <w:tabs>
          <w:tab w:val="clear" w:pos="680"/>
          <w:tab w:val="num" w:pos="907"/>
          <w:tab w:val="num" w:pos="964"/>
        </w:tabs>
        <w:ind w:left="907" w:hanging="907"/>
      </w:pPr>
      <w:bookmarkStart w:id="45" w:name="_Toc475352909"/>
      <w:bookmarkStart w:id="46" w:name="_Toc507406682"/>
      <w:r>
        <w:t>Exposure during re-entry</w:t>
      </w:r>
      <w:bookmarkEnd w:id="45"/>
      <w:bookmarkEnd w:id="46"/>
    </w:p>
    <w:p w14:paraId="1C3E63B0" w14:textId="64BB7E0B" w:rsidR="00D90021" w:rsidRDefault="00D90021" w:rsidP="00D90021">
      <w:pPr>
        <w:pStyle w:val="APVMAText"/>
      </w:pPr>
      <w:r>
        <w:t>The r</w:t>
      </w:r>
      <w:r w:rsidRPr="0024048E">
        <w:t xml:space="preserve">isk associated with re-entering treated areas </w:t>
      </w:r>
      <w:r>
        <w:t>is</w:t>
      </w:r>
      <w:r w:rsidRPr="0024048E">
        <w:t xml:space="preserve"> expected to be limited to exposure via the dermal route</w:t>
      </w:r>
      <w:r>
        <w:t>; e</w:t>
      </w:r>
      <w:r w:rsidRPr="008E4F64">
        <w:t>xposure to dried spray</w:t>
      </w:r>
      <w:r>
        <w:t xml:space="preserve"> may occur with</w:t>
      </w:r>
      <w:r w:rsidRPr="008E4F64">
        <w:t xml:space="preserve"> activities such as</w:t>
      </w:r>
      <w:r>
        <w:t xml:space="preserve"> the</w:t>
      </w:r>
      <w:r w:rsidRPr="008E4F64">
        <w:t xml:space="preserve"> inspection</w:t>
      </w:r>
      <w:r>
        <w:t xml:space="preserve"> of treated plants</w:t>
      </w:r>
      <w:r w:rsidRPr="008E4F64">
        <w:t>.</w:t>
      </w:r>
      <w:r>
        <w:t xml:space="preserve"> The </w:t>
      </w:r>
      <w:r w:rsidR="00D36EDA">
        <w:t xml:space="preserve">margin of exposure (MOE) </w:t>
      </w:r>
      <w:r>
        <w:t xml:space="preserve">determined for re-entry activities associated with the use of the product were considered acceptable on day zero after application. Hence, a re-entry statement is not required for </w:t>
      </w:r>
      <w:r w:rsidR="007B1810" w:rsidRPr="005F3696">
        <w:t>Miravis Fungicide</w:t>
      </w:r>
      <w:r w:rsidR="007B1810">
        <w:t xml:space="preserve">. </w:t>
      </w:r>
    </w:p>
    <w:p w14:paraId="20832012" w14:textId="77777777" w:rsidR="00D90021" w:rsidRDefault="00D90021" w:rsidP="00D90021">
      <w:pPr>
        <w:pStyle w:val="Heading2"/>
        <w:numPr>
          <w:ilvl w:val="1"/>
          <w:numId w:val="2"/>
        </w:numPr>
        <w:tabs>
          <w:tab w:val="clear" w:pos="680"/>
          <w:tab w:val="num" w:pos="907"/>
          <w:tab w:val="num" w:pos="964"/>
        </w:tabs>
        <w:ind w:left="907" w:hanging="907"/>
      </w:pPr>
      <w:bookmarkStart w:id="47" w:name="_Toc475352910"/>
      <w:bookmarkStart w:id="48" w:name="_Toc507406683"/>
      <w:r>
        <w:t>Recommendations for safe use</w:t>
      </w:r>
      <w:bookmarkEnd w:id="47"/>
      <w:bookmarkEnd w:id="48"/>
    </w:p>
    <w:p w14:paraId="617210CE" w14:textId="77777777" w:rsidR="00D90021" w:rsidRPr="00AB2926" w:rsidRDefault="00D90021" w:rsidP="00D90021">
      <w:pPr>
        <w:pStyle w:val="APVMAText"/>
      </w:pPr>
      <w:r>
        <w:t>T</w:t>
      </w:r>
      <w:r w:rsidRPr="00AB2926">
        <w:t>he following first aid instructions</w:t>
      </w:r>
      <w:r>
        <w:t xml:space="preserve"> and</w:t>
      </w:r>
      <w:r w:rsidRPr="00AB2926">
        <w:t xml:space="preserve"> safety directi</w:t>
      </w:r>
      <w:r>
        <w:t>ons</w:t>
      </w:r>
      <w:r w:rsidRPr="00AB2926">
        <w:t xml:space="preserve"> are recommended for inclusion on the product label:</w:t>
      </w:r>
    </w:p>
    <w:p w14:paraId="6FFB8680" w14:textId="77777777" w:rsidR="00D90021" w:rsidRPr="00443020" w:rsidRDefault="00D90021" w:rsidP="007B1810">
      <w:pPr>
        <w:pStyle w:val="Heading3"/>
        <w:rPr>
          <w:lang w:val="en-GB"/>
        </w:rPr>
      </w:pPr>
      <w:r w:rsidRPr="00443020">
        <w:rPr>
          <w:lang w:val="en-GB"/>
        </w:rPr>
        <w:t>First aid instructions</w:t>
      </w:r>
    </w:p>
    <w:p w14:paraId="1F63CA46" w14:textId="77777777" w:rsidR="00D90021" w:rsidRPr="00CD7882" w:rsidRDefault="00D90021" w:rsidP="00D90021">
      <w:pPr>
        <w:suppressAutoHyphens/>
        <w:spacing w:before="240" w:after="240" w:line="280" w:lineRule="exact"/>
        <w:rPr>
          <w:u w:color="000000"/>
        </w:rPr>
      </w:pPr>
      <w:r w:rsidRPr="00CD7882">
        <w:rPr>
          <w:u w:color="000000"/>
        </w:rPr>
        <w:t>If poisoning occurs, contact a doctor or Poisons Information Centre. Phone Australia 131126; New Zealand 0800 764 766.</w:t>
      </w:r>
    </w:p>
    <w:p w14:paraId="525396F3" w14:textId="77777777" w:rsidR="00D90021" w:rsidRPr="00443020" w:rsidRDefault="00D90021" w:rsidP="007B1810">
      <w:pPr>
        <w:pStyle w:val="Heading3"/>
        <w:rPr>
          <w:lang w:val="en-GB"/>
        </w:rPr>
      </w:pPr>
      <w:r w:rsidRPr="00443020">
        <w:rPr>
          <w:lang w:val="en-GB"/>
        </w:rPr>
        <w:t>Safety directions</w:t>
      </w:r>
    </w:p>
    <w:p w14:paraId="6BD2D8F8" w14:textId="77777777" w:rsidR="00D90021" w:rsidRDefault="00D90021" w:rsidP="00D90021">
      <w:pPr>
        <w:pStyle w:val="APVMAText"/>
      </w:pPr>
      <w:r>
        <w:t xml:space="preserve">Harmful if inhaled. Do not inhale spray mist. </w:t>
      </w:r>
      <w:r w:rsidRPr="00C07ADD">
        <w:t>May irritate the eyes. Avoid contact with eyes.</w:t>
      </w:r>
      <w:r>
        <w:t xml:space="preserve"> </w:t>
      </w:r>
      <w:r w:rsidRPr="00C07ADD">
        <w:t>Wash hands after use.</w:t>
      </w:r>
    </w:p>
    <w:p w14:paraId="12DA8321" w14:textId="77777777" w:rsidR="00D90021" w:rsidRPr="00BD4775" w:rsidRDefault="00D90021" w:rsidP="00D90021">
      <w:pPr>
        <w:pStyle w:val="Heading2"/>
        <w:numPr>
          <w:ilvl w:val="1"/>
          <w:numId w:val="2"/>
        </w:numPr>
        <w:tabs>
          <w:tab w:val="clear" w:pos="680"/>
          <w:tab w:val="num" w:pos="907"/>
          <w:tab w:val="num" w:pos="964"/>
        </w:tabs>
        <w:ind w:left="907" w:hanging="907"/>
      </w:pPr>
      <w:bookmarkStart w:id="49" w:name="_Toc475352911"/>
      <w:bookmarkStart w:id="50" w:name="_Toc507406684"/>
      <w:r w:rsidRPr="00BD4775">
        <w:t>Conclusion</w:t>
      </w:r>
      <w:bookmarkEnd w:id="49"/>
      <w:bookmarkEnd w:id="50"/>
    </w:p>
    <w:p w14:paraId="2E9B1DC7" w14:textId="12BA0929" w:rsidR="00F27E0D" w:rsidRDefault="00D90021">
      <w:pPr>
        <w:pStyle w:val="APVMAText"/>
      </w:pPr>
      <w:r>
        <w:t xml:space="preserve">The registration of </w:t>
      </w:r>
      <w:r w:rsidR="007B1810" w:rsidRPr="005F3696">
        <w:t>Miravis Fungicide</w:t>
      </w:r>
      <w:r w:rsidRPr="006D55F2">
        <w:rPr>
          <w:szCs w:val="20"/>
        </w:rPr>
        <w:t xml:space="preserve">, containing </w:t>
      </w:r>
      <w:r>
        <w:rPr>
          <w:szCs w:val="20"/>
        </w:rPr>
        <w:t>2</w:t>
      </w:r>
      <w:r w:rsidRPr="006D55F2">
        <w:rPr>
          <w:szCs w:val="20"/>
        </w:rPr>
        <w:t xml:space="preserve">00 g/L of </w:t>
      </w:r>
      <w:r>
        <w:rPr>
          <w:szCs w:val="20"/>
        </w:rPr>
        <w:t>pydiflumetofen</w:t>
      </w:r>
      <w:r>
        <w:t xml:space="preserve"> in a suspension concentrate formulation</w:t>
      </w:r>
      <w:r w:rsidRPr="0024048E">
        <w:t xml:space="preserve"> for </w:t>
      </w:r>
      <w:r>
        <w:t>control of fungal growth</w:t>
      </w:r>
      <w:r w:rsidRPr="006D55F2">
        <w:t xml:space="preserve"> </w:t>
      </w:r>
      <w:r w:rsidR="0082303A">
        <w:t>in canola, grapes</w:t>
      </w:r>
      <w:r>
        <w:t xml:space="preserve"> and potatoes,</w:t>
      </w:r>
      <w:r w:rsidRPr="0024048E">
        <w:t xml:space="preserve"> is supported</w:t>
      </w:r>
      <w:r>
        <w:t xml:space="preserve"> from a human health perspective</w:t>
      </w:r>
      <w:r w:rsidRPr="0024048E">
        <w:t>.</w:t>
      </w:r>
    </w:p>
    <w:p w14:paraId="0FD228C6" w14:textId="77777777" w:rsidR="00F27E0D" w:rsidRDefault="00F27E0D">
      <w:pPr>
        <w:pStyle w:val="APVMAText"/>
      </w:pPr>
    </w:p>
    <w:p w14:paraId="0C72E05E" w14:textId="77777777" w:rsidR="00F27E0D" w:rsidRDefault="00F27E0D">
      <w:pPr>
        <w:pStyle w:val="APVMAText"/>
      </w:pPr>
    </w:p>
    <w:p w14:paraId="2E161E9C" w14:textId="77777777" w:rsidR="00F27E0D" w:rsidRDefault="00F27E0D">
      <w:pPr>
        <w:pStyle w:val="APVMAText"/>
      </w:pPr>
    </w:p>
    <w:p w14:paraId="21A123CF"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3DE78D92" w14:textId="77777777" w:rsidR="00F27E0D" w:rsidRDefault="00F27E0D">
      <w:pPr>
        <w:pStyle w:val="Heading1"/>
      </w:pPr>
      <w:bookmarkStart w:id="51" w:name="_Toc507406685"/>
      <w:r>
        <w:lastRenderedPageBreak/>
        <w:t>Environmental assessment</w:t>
      </w:r>
      <w:bookmarkEnd w:id="51"/>
    </w:p>
    <w:p w14:paraId="267992E2" w14:textId="014AA540" w:rsidR="00F27E0D" w:rsidRDefault="008369BE" w:rsidP="008369BE">
      <w:pPr>
        <w:pStyle w:val="Heading2"/>
        <w:rPr>
          <w:lang w:val="en-GB"/>
        </w:rPr>
      </w:pPr>
      <w:bookmarkStart w:id="52" w:name="_Toc507406686"/>
      <w:r>
        <w:rPr>
          <w:lang w:val="en-GB"/>
        </w:rPr>
        <w:t>Introduction</w:t>
      </w:r>
      <w:bookmarkEnd w:id="52"/>
    </w:p>
    <w:p w14:paraId="6C6F34D4" w14:textId="77B35883" w:rsidR="008369BE" w:rsidRDefault="007B1810" w:rsidP="008369BE">
      <w:pPr>
        <w:pStyle w:val="APVMAText"/>
      </w:pPr>
      <w:r>
        <w:t>Miravis Fungicide</w:t>
      </w:r>
      <w:r w:rsidRPr="008369BE">
        <w:t xml:space="preserve"> </w:t>
      </w:r>
      <w:r w:rsidR="008369BE" w:rsidRPr="008369BE">
        <w:t xml:space="preserve">is a </w:t>
      </w:r>
      <w:r w:rsidR="0002532E">
        <w:t>200</w:t>
      </w:r>
      <w:r>
        <w:t xml:space="preserve"> </w:t>
      </w:r>
      <w:r w:rsidR="0002532E">
        <w:t xml:space="preserve">g/L pydiflumetofen </w:t>
      </w:r>
      <w:r w:rsidR="008369BE" w:rsidRPr="008369BE">
        <w:t xml:space="preserve">suspension concentrate (SC) formulation </w:t>
      </w:r>
      <w:r w:rsidR="0002532E">
        <w:t>proposed for use</w:t>
      </w:r>
      <w:r w:rsidR="008369BE" w:rsidRPr="008369BE">
        <w:t xml:space="preserve"> for the control of black leg (</w:t>
      </w:r>
      <w:r w:rsidR="008369BE" w:rsidRPr="008369BE">
        <w:rPr>
          <w:i/>
        </w:rPr>
        <w:t>Leptosphaeria maculans</w:t>
      </w:r>
      <w:r w:rsidR="0002532E">
        <w:t xml:space="preserve">) and </w:t>
      </w:r>
      <w:r w:rsidR="008369BE" w:rsidRPr="008369BE">
        <w:t>white leaf spot (</w:t>
      </w:r>
      <w:r w:rsidR="008369BE" w:rsidRPr="008369BE">
        <w:rPr>
          <w:i/>
        </w:rPr>
        <w:t>Mycosphaerella capsellae</w:t>
      </w:r>
      <w:r w:rsidR="008369BE" w:rsidRPr="008369BE">
        <w:t>)</w:t>
      </w:r>
      <w:r w:rsidR="0002532E">
        <w:t xml:space="preserve"> of canola</w:t>
      </w:r>
      <w:r w:rsidR="008369BE" w:rsidRPr="008369BE">
        <w:t>, powdery mildew (</w:t>
      </w:r>
      <w:r w:rsidR="008369BE" w:rsidRPr="008369BE">
        <w:rPr>
          <w:i/>
        </w:rPr>
        <w:t>Uncinular necator</w:t>
      </w:r>
      <w:r w:rsidR="008369BE" w:rsidRPr="008369BE">
        <w:t>)</w:t>
      </w:r>
      <w:r w:rsidR="0002532E">
        <w:t xml:space="preserve"> of grapevines</w:t>
      </w:r>
      <w:r w:rsidR="008369BE" w:rsidRPr="008369BE">
        <w:t xml:space="preserve"> and target spot/early blight (</w:t>
      </w:r>
      <w:r w:rsidR="008369BE" w:rsidRPr="008369BE">
        <w:rPr>
          <w:i/>
        </w:rPr>
        <w:t>Alternaria solani</w:t>
      </w:r>
      <w:r w:rsidR="008369BE" w:rsidRPr="008369BE">
        <w:t>)</w:t>
      </w:r>
      <w:r w:rsidR="0002532E">
        <w:t xml:space="preserve"> of potatoes</w:t>
      </w:r>
      <w:r w:rsidR="008369BE" w:rsidRPr="008369BE">
        <w:t>.</w:t>
      </w:r>
    </w:p>
    <w:p w14:paraId="6D6D8A09" w14:textId="325F30C6" w:rsidR="008369BE" w:rsidRDefault="008369BE" w:rsidP="008369BE">
      <w:pPr>
        <w:pStyle w:val="Heading2"/>
      </w:pPr>
      <w:bookmarkStart w:id="53" w:name="_Toc507406687"/>
      <w:r>
        <w:t>Environmental fate and behaviour</w:t>
      </w:r>
      <w:bookmarkEnd w:id="53"/>
    </w:p>
    <w:p w14:paraId="53244B07" w14:textId="7DB9664A" w:rsidR="008369BE" w:rsidRDefault="008369BE" w:rsidP="007B1810">
      <w:pPr>
        <w:pStyle w:val="Heading3"/>
      </w:pPr>
      <w:r>
        <w:t>Fate and behaviour in soil</w:t>
      </w:r>
    </w:p>
    <w:p w14:paraId="119226B2" w14:textId="77777777" w:rsidR="008369BE" w:rsidRPr="008369BE" w:rsidRDefault="008369BE" w:rsidP="008369BE">
      <w:pPr>
        <w:pStyle w:val="APVMAText"/>
      </w:pPr>
      <w:r w:rsidRPr="008369BE">
        <w:t>Pydiflumetofen biodegrades slowly in soil under both aerobic and anaerobic conditions in the laboratory (DegT</w:t>
      </w:r>
      <w:r w:rsidRPr="008369BE">
        <w:rPr>
          <w:vertAlign w:val="subscript"/>
        </w:rPr>
        <w:t>50</w:t>
      </w:r>
      <w:r w:rsidRPr="008369BE">
        <w:t xml:space="preserve"> ranged from 398 to 1,690 d and 313 to 1,970 d, respectively). Degradation on soil is faster by photolysis (DegT</w:t>
      </w:r>
      <w:r w:rsidRPr="008369BE">
        <w:rPr>
          <w:vertAlign w:val="subscript"/>
        </w:rPr>
        <w:t>50</w:t>
      </w:r>
      <w:r w:rsidRPr="008369BE">
        <w:t xml:space="preserve"> = 197 and 77 d on moist and dry soil, respectively). There was no clear relationship between soil type and conditions (pH, cation exchange capacity, etc.) and degradation half-lives for pydiflumetofen under either aerobic or anaerobic conditions.</w:t>
      </w:r>
    </w:p>
    <w:p w14:paraId="2EE341FF" w14:textId="77777777" w:rsidR="008369BE" w:rsidRPr="008369BE" w:rsidRDefault="008369BE" w:rsidP="008369BE">
      <w:pPr>
        <w:pStyle w:val="APVMAText"/>
      </w:pPr>
      <w:r w:rsidRPr="008369BE">
        <w:t>There was a large range of dissipation half-lives of pydiflumetofen in soils (DissT</w:t>
      </w:r>
      <w:r w:rsidRPr="008369BE">
        <w:rPr>
          <w:vertAlign w:val="subscript"/>
        </w:rPr>
        <w:t>50</w:t>
      </w:r>
      <w:r w:rsidRPr="008369BE">
        <w:t xml:space="preserve"> = 84 to 697 d).</w:t>
      </w:r>
      <w:r w:rsidRPr="008369BE" w:rsidDel="00874F91">
        <w:t xml:space="preserve"> </w:t>
      </w:r>
      <w:r w:rsidRPr="008369BE">
        <w:t>Dissipation was faster in the field than in the laboratory studies conducted in the dark. Photolysis on the soil surface is likely to have contributed to field dissipation in the bare soil plots. Soil type did not appear to influence the dissipation of pydiflumetofen from soil. In</w:t>
      </w:r>
      <w:r w:rsidRPr="008369BE" w:rsidDel="00874F91">
        <w:t xml:space="preserve"> </w:t>
      </w:r>
      <w:r w:rsidRPr="008369BE">
        <w:t xml:space="preserve">field dissipation studies, metabolites and degradation products </w:t>
      </w:r>
      <w:r w:rsidRPr="008369BE" w:rsidDel="00874F91">
        <w:t xml:space="preserve">were not </w:t>
      </w:r>
      <w:r w:rsidRPr="008369BE">
        <w:t>significant (&lt;10% AR). Pydiflumetofen was primarily in the top 10 to 15 cm of the treated soil and was below the limit of detection at greater depths.</w:t>
      </w:r>
    </w:p>
    <w:p w14:paraId="5F67AA7A" w14:textId="77777777" w:rsidR="008369BE" w:rsidRPr="008369BE" w:rsidRDefault="008369BE" w:rsidP="008369BE">
      <w:pPr>
        <w:pStyle w:val="APVMAText"/>
      </w:pPr>
      <w:r w:rsidRPr="008369BE">
        <w:t xml:space="preserve">Pydiflumetofen is </w:t>
      </w:r>
      <w:r w:rsidRPr="008369BE" w:rsidDel="00024810">
        <w:t>not readily mobile</w:t>
      </w:r>
      <w:r w:rsidRPr="008369BE">
        <w:t xml:space="preserve"> (low to slight mobility) in soil, and hence is unlikely to leach into groundwater. The K</w:t>
      </w:r>
      <w:r w:rsidRPr="008369BE">
        <w:rPr>
          <w:vertAlign w:val="subscript"/>
        </w:rPr>
        <w:t>OC</w:t>
      </w:r>
      <w:r w:rsidRPr="008369BE">
        <w:t xml:space="preserve"> for pydiflumetofen in soils ranged from 1,949 mL/g to 3,808 mL/g. There was no clear relationship between organic matter content, organic carbon content or pH and K</w:t>
      </w:r>
      <w:r w:rsidRPr="008369BE">
        <w:rPr>
          <w:vertAlign w:val="subscript"/>
        </w:rPr>
        <w:t>OC</w:t>
      </w:r>
      <w:r w:rsidRPr="008369BE">
        <w:t xml:space="preserve"> for pydiflumetofen. This is supported from the in-field observations that pydiflumetofen remained in the top 10 to 15 cm of soil.</w:t>
      </w:r>
    </w:p>
    <w:p w14:paraId="2703F82B" w14:textId="04089E0E" w:rsidR="008369BE" w:rsidRPr="008369BE" w:rsidRDefault="008369BE" w:rsidP="008369BE">
      <w:pPr>
        <w:pStyle w:val="APVMAText"/>
      </w:pPr>
      <w:r w:rsidRPr="008369BE">
        <w:t xml:space="preserve">SYN545547 </w:t>
      </w:r>
      <w:r w:rsidR="00EB0F3F">
        <w:t>(as identified in the</w:t>
      </w:r>
      <w:r w:rsidR="00EB0F3F" w:rsidRPr="00EB0F3F">
        <w:t xml:space="preserve"> </w:t>
      </w:r>
      <w:r w:rsidR="00EB0F3F" w:rsidRPr="005F3696">
        <w:rPr>
          <w:rFonts w:eastAsiaTheme="minorHAnsi"/>
        </w:rPr>
        <w:t xml:space="preserve">Proposed Metabolic </w:t>
      </w:r>
      <w:r w:rsidR="00EB0F3F" w:rsidRPr="00EB0F3F">
        <w:rPr>
          <w:rFonts w:eastAsiaTheme="minorHAnsi"/>
        </w:rPr>
        <w:t>Pathway</w:t>
      </w:r>
      <w:r w:rsidR="00EB0F3F">
        <w:rPr>
          <w:rFonts w:eastAsiaTheme="minorHAnsi"/>
        </w:rPr>
        <w:t>s</w:t>
      </w:r>
      <w:r w:rsidR="00EB0F3F" w:rsidRPr="00EB0F3F">
        <w:rPr>
          <w:rFonts w:eastAsiaTheme="minorHAnsi"/>
        </w:rPr>
        <w:t xml:space="preserve"> in</w:t>
      </w:r>
      <w:r w:rsidR="00EB0F3F" w:rsidRPr="005F3696">
        <w:rPr>
          <w:rFonts w:eastAsiaTheme="minorHAnsi"/>
        </w:rPr>
        <w:t xml:space="preserve"> the residues section</w:t>
      </w:r>
      <w:r w:rsidR="00EB0F3F">
        <w:rPr>
          <w:rFonts w:eastAsiaTheme="minorHAnsi"/>
          <w:i/>
        </w:rPr>
        <w:t xml:space="preserve">) </w:t>
      </w:r>
      <w:r w:rsidRPr="008369BE">
        <w:t>was a minor pydiflumetofen metabolite and degradation product in soil (&lt;10% AR). SYN545547 has a low to medium mobility in soils (K</w:t>
      </w:r>
      <w:r w:rsidRPr="008369BE">
        <w:rPr>
          <w:vertAlign w:val="subscript"/>
        </w:rPr>
        <w:t>OC</w:t>
      </w:r>
      <w:r w:rsidRPr="008369BE">
        <w:t xml:space="preserve"> = 490.7</w:t>
      </w:r>
      <w:r w:rsidR="007B1810">
        <w:t>–</w:t>
      </w:r>
      <w:r w:rsidRPr="008369BE">
        <w:t>1,300 mL/g )</w:t>
      </w:r>
      <w:r w:rsidRPr="008369BE">
        <w:fldChar w:fldCharType="begin"/>
      </w:r>
      <w:r w:rsidRPr="008369BE">
        <w:instrText xml:space="preserve"> ADDIN EN.CITE &lt;EndNote&gt;&lt;Cite&gt;&lt;Author&gt;McCall&lt;/Author&gt;&lt;Year&gt;1980&lt;/Year&gt;&lt;RecNum&gt;177&lt;/RecNum&gt;&lt;DisplayText&gt;(McCall et al. 1980)&lt;/DisplayText&gt;&lt;record&gt;&lt;rec-number&gt;177&lt;/rec-number&gt;&lt;foreign-keys&gt;&lt;key app="EN" db-id="0vpaed0pcwdxzmedtaqpfesudedxf20w50xw" timestamp="1496985418"&gt;177&lt;/key&gt;&lt;/foreign-keys&gt;&lt;ref-type name="Journal Article"&gt;17&lt;/ref-type&gt;&lt;contributors&gt;&lt;authors&gt;&lt;author&gt;McCall, P. J.&lt;/author&gt;&lt;author&gt;Swann, R. L.&lt;/author&gt;&lt;author&gt;Laskowski, D. A.&lt;/author&gt;&lt;author&gt;Unger, S. M.&lt;/author&gt;&lt;author&gt;Vrana, S. A. &lt;/author&gt;&lt;author&gt;Dishburger, H. J.&lt;/author&gt;&lt;/authors&gt;&lt;/contributors&gt;&lt;titles&gt;&lt;title&gt;Estimation of Chemical Mobility in Soil from Liquid Chromatographic Retention Times&lt;/title&gt;&lt;secondary-title&gt;Bulletin of Environmental Contamination and Toxicology&lt;/secondary-title&gt;&lt;/titles&gt;&lt;periodical&gt;&lt;full-title&gt;Bulletin of Environmental Contamination and Toxicology&lt;/full-title&gt;&lt;/periodical&gt;&lt;pages&gt;190-195&lt;/pages&gt;&lt;volume&gt;24&lt;/volume&gt;&lt;number&gt;1&lt;/number&gt;&lt;section&gt;190&lt;/section&gt;&lt;dates&gt;&lt;year&gt;1980&lt;/year&gt;&lt;/dates&gt;&lt;isbn&gt;00074861&lt;/isbn&gt;&lt;urls&gt;&lt;/urls&gt;&lt;/record&gt;&lt;/Cite&gt;&lt;/EndNote&gt;</w:instrText>
      </w:r>
      <w:r w:rsidRPr="008369BE">
        <w:fldChar w:fldCharType="end"/>
      </w:r>
      <w:r w:rsidRPr="008369BE">
        <w:t>. There was no correlation between organic matter content, organic carbon content or pH and K</w:t>
      </w:r>
      <w:r w:rsidRPr="008369BE">
        <w:rPr>
          <w:vertAlign w:val="subscript"/>
        </w:rPr>
        <w:t>OC</w:t>
      </w:r>
      <w:r w:rsidRPr="008369BE">
        <w:t xml:space="preserve"> for SYN545547.</w:t>
      </w:r>
    </w:p>
    <w:p w14:paraId="26394283" w14:textId="784774F6" w:rsidR="008369BE" w:rsidRDefault="008369BE" w:rsidP="008369BE">
      <w:pPr>
        <w:pStyle w:val="APVMAText"/>
      </w:pPr>
      <w:r w:rsidRPr="008369BE" w:rsidDel="0006507F">
        <w:t xml:space="preserve">SYN545547 was also a </w:t>
      </w:r>
      <w:r w:rsidRPr="008369BE">
        <w:t xml:space="preserve">metabolite and </w:t>
      </w:r>
      <w:r w:rsidRPr="008369BE" w:rsidDel="0006507F">
        <w:t xml:space="preserve">degradation product from the anaerobic soil metabolism or soil photolysis of </w:t>
      </w:r>
      <w:r w:rsidR="00B6794C" w:rsidRPr="008369BE">
        <w:t>pydiflumetofen</w:t>
      </w:r>
      <w:r w:rsidR="00B6794C">
        <w:t>.</w:t>
      </w:r>
    </w:p>
    <w:p w14:paraId="0A34BB7F" w14:textId="77777777" w:rsidR="007B1810" w:rsidRDefault="007B1810" w:rsidP="007B1810">
      <w:pPr>
        <w:pStyle w:val="Heading3"/>
        <w:sectPr w:rsidR="007B1810">
          <w:headerReference w:type="default" r:id="rId41"/>
          <w:pgSz w:w="11906" w:h="16838" w:code="9"/>
          <w:pgMar w:top="2835" w:right="1134" w:bottom="1134" w:left="1134" w:header="1701" w:footer="680" w:gutter="0"/>
          <w:cols w:space="708"/>
          <w:docGrid w:linePitch="360"/>
        </w:sectPr>
      </w:pPr>
    </w:p>
    <w:p w14:paraId="7E3E57A0" w14:textId="59A42BE4" w:rsidR="008369BE" w:rsidRDefault="008369BE" w:rsidP="007B1810">
      <w:pPr>
        <w:pStyle w:val="Heading3"/>
      </w:pPr>
      <w:r>
        <w:lastRenderedPageBreak/>
        <w:t>Fate and behaviour in water</w:t>
      </w:r>
    </w:p>
    <w:p w14:paraId="605BC7E9" w14:textId="31D341A5" w:rsidR="008369BE" w:rsidRPr="008369BE" w:rsidRDefault="008369BE" w:rsidP="008369BE">
      <w:pPr>
        <w:pStyle w:val="APVMAText"/>
      </w:pPr>
      <w:r w:rsidRPr="008369BE">
        <w:t xml:space="preserve">Pydiflumetofen was </w:t>
      </w:r>
      <w:r w:rsidRPr="008369BE" w:rsidDel="0006507F">
        <w:t>resistant to hydrolysis</w:t>
      </w:r>
      <w:r w:rsidR="007B1810">
        <w:t>—</w:t>
      </w:r>
      <w:r w:rsidRPr="008369BE">
        <w:t>hydrolytically stable under a range of environmentally relevant pH values (pH 4, pH 7 and pH 9).</w:t>
      </w:r>
    </w:p>
    <w:p w14:paraId="3C11133B" w14:textId="77777777" w:rsidR="008369BE" w:rsidRPr="008369BE" w:rsidRDefault="008369BE" w:rsidP="008369BE">
      <w:pPr>
        <w:pStyle w:val="APVMAText"/>
      </w:pPr>
      <w:r w:rsidRPr="008369BE">
        <w:t>Pydiflumetofen is expected to degrade slowly in water with half-lives due to direct and indirect photolysis of 89 and 33 d, respectively. Microbial degradation by aerobic mineralisation in water was slower than via photolysis, with degradation half-lives ranging from 402 to &gt;1,000 d.</w:t>
      </w:r>
    </w:p>
    <w:p w14:paraId="38B49F5E" w14:textId="761B9340" w:rsidR="008369BE" w:rsidRDefault="008369BE" w:rsidP="008369BE">
      <w:pPr>
        <w:pStyle w:val="APVMAText"/>
      </w:pPr>
      <w:r w:rsidRPr="008369BE">
        <w:t>Only minor metabolites and degradation products (SYN545547, SYN548262, NOA449410, Unk AP2) were observed in photolysis and aerobic mineralisation studies.</w:t>
      </w:r>
    </w:p>
    <w:p w14:paraId="54CE541A" w14:textId="48FBCBF0" w:rsidR="008369BE" w:rsidRDefault="008369BE" w:rsidP="007B1810">
      <w:pPr>
        <w:pStyle w:val="Heading3"/>
      </w:pPr>
      <w:r>
        <w:t>Fate and behaviour in water-sediment systems</w:t>
      </w:r>
    </w:p>
    <w:p w14:paraId="1265AEE4" w14:textId="77777777" w:rsidR="008369BE" w:rsidRPr="008369BE" w:rsidRDefault="008369BE" w:rsidP="008369BE">
      <w:pPr>
        <w:pStyle w:val="APVMAText"/>
      </w:pPr>
      <w:r w:rsidRPr="008369BE">
        <w:t>Pydiflumetofen will partition favourably to sediment and persist in water-sediment systems. A metabolite and degradation product – SYN545547 was identified in the aerobic and anaerobic biodegradation of pydiflumetofen. Degradation half-lives (DegT</w:t>
      </w:r>
      <w:r w:rsidRPr="008369BE">
        <w:rPr>
          <w:vertAlign w:val="subscript"/>
        </w:rPr>
        <w:t>50</w:t>
      </w:r>
      <w:r w:rsidRPr="008369BE">
        <w:t>) for pydiflumetofen in water-sediment systems, determined from laboratory-based studies ranged from 221 to 252 d and 152 to 163 d under aerobic and anaerobic conditions, respectively.</w:t>
      </w:r>
    </w:p>
    <w:p w14:paraId="61F32709" w14:textId="77777777" w:rsidR="008369BE" w:rsidRPr="008369BE" w:rsidRDefault="008369BE" w:rsidP="008369BE">
      <w:pPr>
        <w:pStyle w:val="APVMAText"/>
      </w:pPr>
      <w:r w:rsidRPr="008369BE">
        <w:t xml:space="preserve">Pydiflumetofen dissipates relatively quickly from the water column in water-sediment systems </w:t>
      </w:r>
      <w:r w:rsidRPr="008369BE" w:rsidDel="001D5420">
        <w:t>compared to total degradation time from the whole system. Time taken for half the amount of pydiflumetofen to dissipate from the water column (</w:t>
      </w:r>
      <w:r w:rsidRPr="008369BE">
        <w:t>DissT</w:t>
      </w:r>
      <w:r w:rsidRPr="008369BE">
        <w:rPr>
          <w:vertAlign w:val="subscript"/>
        </w:rPr>
        <w:t>50</w:t>
      </w:r>
      <w:r w:rsidRPr="008369BE" w:rsidDel="001D5420">
        <w:t xml:space="preserve">) </w:t>
      </w:r>
      <w:r w:rsidRPr="008369BE">
        <w:t xml:space="preserve">ranged from 6.4 to 34 d and 33 to 42 d in aerobic and anaerobic conditions, respectively. </w:t>
      </w:r>
      <w:r w:rsidRPr="008369BE" w:rsidDel="001D5420">
        <w:t>This indicates that the dissipation of pydiflumetofen primarily involves its transfer from water to sediment; and most of the pydiflumetofen degradation is expected to occur in the sediment compartment of water-sediment systems.</w:t>
      </w:r>
    </w:p>
    <w:p w14:paraId="7A0C67EC" w14:textId="685F08FC" w:rsidR="008369BE" w:rsidRDefault="008369BE" w:rsidP="008369BE">
      <w:pPr>
        <w:pStyle w:val="APVMAText"/>
      </w:pPr>
      <w:r w:rsidRPr="008369BE">
        <w:t>SYN545547</w:t>
      </w:r>
      <w:r w:rsidR="00D36EDA">
        <w:t xml:space="preserve"> </w:t>
      </w:r>
      <w:r w:rsidRPr="008369BE">
        <w:t>was a major metabolite and degradation product (&gt;10% AR) in both aerobic and anaerobic systems. SYN545547 was also found prior to experiment initiation. SYN545547 was typically in sediment extracts. SYN545547 may also be persistent in the sediment of some water-sediment systems. Yet, the DegT</w:t>
      </w:r>
      <w:r w:rsidRPr="008369BE">
        <w:rPr>
          <w:vertAlign w:val="subscript"/>
        </w:rPr>
        <w:t>50</w:t>
      </w:r>
      <w:r w:rsidRPr="008369BE">
        <w:t xml:space="preserve"> under aerobic conditions varied by an order of magnitude (460 d and 19 d for the two systems tested, the former being a silt-loam sediment and the latter a sand sediment).</w:t>
      </w:r>
    </w:p>
    <w:p w14:paraId="5873C894" w14:textId="637595F0" w:rsidR="008369BE" w:rsidRDefault="008369BE" w:rsidP="007B1810">
      <w:pPr>
        <w:pStyle w:val="Heading3"/>
      </w:pPr>
      <w:r>
        <w:t>Bioaccumulation</w:t>
      </w:r>
    </w:p>
    <w:p w14:paraId="5E11945D" w14:textId="6121FEF5" w:rsidR="008369BE" w:rsidRDefault="00055197" w:rsidP="008369BE">
      <w:pPr>
        <w:pStyle w:val="APVMAText"/>
      </w:pPr>
      <w:r w:rsidRPr="00055197">
        <w:t xml:space="preserve">Pydiflumetofen is not expected to bioaccumulate because the bioconcentration factors were &lt;100, </w:t>
      </w:r>
      <w:r w:rsidR="007B1810">
        <w:br/>
        <w:t>i</w:t>
      </w:r>
      <w:r w:rsidRPr="00055197">
        <w:t xml:space="preserve">e, slightly bioconcentrating </w:t>
      </w:r>
      <w:r w:rsidRPr="00055197">
        <w:fldChar w:fldCharType="begin"/>
      </w:r>
      <w:r w:rsidRPr="00055197">
        <w:instrText xml:space="preserve"> ADDIN EN.CITE &lt;EndNote&gt;&lt;Cite&gt;&lt;Author&gt;EPHC&lt;/Author&gt;&lt;Year&gt;2009&lt;/Year&gt;&lt;RecNum&gt;178&lt;/RecNum&gt;&lt;DisplayText&gt;(EPHC 2009)&lt;/DisplayText&gt;&lt;record&gt;&lt;rec-number&gt;178&lt;/rec-number&gt;&lt;foreign-keys&gt;&lt;key app="EN" db-id="0vpaed0pcwdxzmedtaqpfesudedxf20w50xw" timestamp="1496985418"&gt;178&lt;/key&gt;&lt;/foreign-keys&gt;&lt;ref-type name="Book"&gt;6&lt;/ref-type&gt;&lt;contributors&gt;&lt;authors&gt;&lt;author&gt;EPHC&lt;/author&gt;&lt;/authors&gt;&lt;/contributors&gt;&lt;titles&gt;&lt;title&gt;Environmental Risk Assessment Guidance Manual: For Agricultural and Veterinary Chemicals / prepared by Chris Lee-Steere of Australian Environment Agency Pty Ltd.&lt;/title&gt;&lt;/titles&gt;&lt;pages&gt;1-136&lt;/pages&gt;&lt;dates&gt;&lt;year&gt;2009&lt;/year&gt;&lt;/dates&gt;&lt;pub-location&gt;Canberra, ACT&lt;/pub-location&gt;&lt;publisher&gt;Environment Protection and Heritage Council&lt;/publisher&gt;&lt;isbn&gt;1921173238, 9781921173233&lt;/isbn&gt;&lt;urls&gt;&lt;/urls&gt;&lt;/record&gt;&lt;/Cite&gt;&lt;/EndNote&gt;</w:instrText>
      </w:r>
      <w:r w:rsidRPr="00055197">
        <w:fldChar w:fldCharType="separate"/>
      </w:r>
      <w:r w:rsidRPr="00055197">
        <w:t>(EPHC 2009)</w:t>
      </w:r>
      <w:r w:rsidRPr="00055197">
        <w:fldChar w:fldCharType="end"/>
      </w:r>
      <w:r w:rsidRPr="00055197">
        <w:t xml:space="preserve"> (steady state and lipid normalised steady state BCFs were 28 and 31, respectively).</w:t>
      </w:r>
    </w:p>
    <w:p w14:paraId="3585B0FD" w14:textId="77777777" w:rsidR="007B1810" w:rsidRDefault="007B1810" w:rsidP="007B1810">
      <w:pPr>
        <w:pStyle w:val="Heading3"/>
        <w:sectPr w:rsidR="007B1810">
          <w:pgSz w:w="11906" w:h="16838" w:code="9"/>
          <w:pgMar w:top="2835" w:right="1134" w:bottom="1134" w:left="1134" w:header="1701" w:footer="680" w:gutter="0"/>
          <w:cols w:space="708"/>
          <w:docGrid w:linePitch="360"/>
        </w:sectPr>
      </w:pPr>
    </w:p>
    <w:p w14:paraId="0DC5E6B5" w14:textId="703ED531" w:rsidR="00055197" w:rsidRDefault="00055197" w:rsidP="007B1810">
      <w:pPr>
        <w:pStyle w:val="Heading3"/>
      </w:pPr>
      <w:r>
        <w:lastRenderedPageBreak/>
        <w:t>Fate and behaviour in air</w:t>
      </w:r>
    </w:p>
    <w:p w14:paraId="7C307814" w14:textId="64E39ADF" w:rsidR="00055197" w:rsidRDefault="00055197" w:rsidP="00055197">
      <w:pPr>
        <w:pStyle w:val="APVMAText"/>
      </w:pPr>
      <w:r w:rsidRPr="00055197">
        <w:t>Pydiflumetofen is not considered volatile (1.8 x 10</w:t>
      </w:r>
      <w:r w:rsidRPr="00055197">
        <w:rPr>
          <w:vertAlign w:val="superscript"/>
        </w:rPr>
        <w:t>-7</w:t>
      </w:r>
      <w:r w:rsidRPr="00055197">
        <w:t xml:space="preserve"> Pa @ 20°C and 5.3 x 10</w:t>
      </w:r>
      <w:r w:rsidRPr="00055197">
        <w:rPr>
          <w:vertAlign w:val="superscript"/>
        </w:rPr>
        <w:t>-7</w:t>
      </w:r>
      <w:r w:rsidRPr="00055197">
        <w:t xml:space="preserve"> Pa @ 25°C (99.5% purity)), and hence it is unlikely to reach significant concentrations in the air as a result of volatilisation from dry soil or vegetation. The dimensionless Henry’s Law Constant of 3.7 x 10, indicates that pydiflumetofen is highly volatile from a water surface. However, pydiflumetofen is only slightly soluble in water (1.5 mg/L @ 25°C (99.5% chemical purity) so volatilisation from spray droplets or moist soil surfaces is unlikely to occur to a significant extent. Pydiflumetofen is also likely to degrade quickly in air with an estimated atmospheric </w:t>
      </w:r>
      <w:r w:rsidR="007B1810">
        <w:br/>
      </w:r>
      <w:r w:rsidRPr="00055197">
        <w:t>half-life of approximately 6 hours due to hydroxyl radical reactions.</w:t>
      </w:r>
    </w:p>
    <w:p w14:paraId="6878801E" w14:textId="05376792" w:rsidR="00055197" w:rsidRDefault="00055197" w:rsidP="00055197">
      <w:pPr>
        <w:pStyle w:val="Heading2"/>
      </w:pPr>
      <w:bookmarkStart w:id="54" w:name="_Toc507406688"/>
      <w:r>
        <w:t>Environmental Effects</w:t>
      </w:r>
      <w:bookmarkEnd w:id="54"/>
    </w:p>
    <w:p w14:paraId="71D7F74E" w14:textId="16889055" w:rsidR="00055197" w:rsidRDefault="00055197" w:rsidP="007B1810">
      <w:pPr>
        <w:pStyle w:val="Heading3"/>
      </w:pPr>
      <w:r>
        <w:t>Terrestrial organisms</w:t>
      </w:r>
    </w:p>
    <w:p w14:paraId="7CA8C894" w14:textId="20E8A30F" w:rsidR="00055197" w:rsidRPr="00055197" w:rsidRDefault="00055197" w:rsidP="00055197">
      <w:pPr>
        <w:pStyle w:val="APVMAText"/>
      </w:pPr>
      <w:r w:rsidRPr="00055197">
        <w:t xml:space="preserve">Pydiflumetofen is slightly toxic to birds and practically non-toxic to mammals. </w:t>
      </w:r>
      <w:r w:rsidR="00B6794C">
        <w:t>T</w:t>
      </w:r>
      <w:r w:rsidRPr="00055197">
        <w:t xml:space="preserve">he chronic toxicity to birds was 90 (21-w NOEC for </w:t>
      </w:r>
      <w:r w:rsidRPr="00055197">
        <w:rPr>
          <w:i/>
        </w:rPr>
        <w:t>Colinus virginianus</w:t>
      </w:r>
      <w:r w:rsidRPr="00055197">
        <w:t xml:space="preserve">) and 141 mg ac/kg bw/d (20-w NOEC for </w:t>
      </w:r>
      <w:r w:rsidRPr="00055197">
        <w:rPr>
          <w:i/>
        </w:rPr>
        <w:t>Anas platyrhynchos</w:t>
      </w:r>
      <w:r w:rsidRPr="00055197">
        <w:t>).</w:t>
      </w:r>
    </w:p>
    <w:p w14:paraId="3AC4EA78" w14:textId="3BB33F8B" w:rsidR="00880E66" w:rsidRDefault="00880E66" w:rsidP="00055197">
      <w:pPr>
        <w:pStyle w:val="APVMAText"/>
      </w:pPr>
      <w:r>
        <w:t xml:space="preserve">Pydiflumetofen was not toxic to adult bees following oral or contact exposure </w:t>
      </w:r>
      <w:r w:rsidRPr="00880E66">
        <w:t>(LD</w:t>
      </w:r>
      <w:r w:rsidRPr="00880E66">
        <w:rPr>
          <w:vertAlign w:val="subscript"/>
        </w:rPr>
        <w:t>50</w:t>
      </w:r>
      <w:r w:rsidRPr="00880E66">
        <w:t xml:space="preserve"> &gt;100 µg ac/bee)</w:t>
      </w:r>
      <w:r>
        <w:t>. However,</w:t>
      </w:r>
      <w:r w:rsidR="00055197" w:rsidRPr="00880E66">
        <w:t xml:space="preserve"> reproductive effects</w:t>
      </w:r>
      <w:r>
        <w:t xml:space="preserve"> on bee brood were</w:t>
      </w:r>
      <w:r w:rsidR="00055197" w:rsidRPr="00880E66">
        <w:t xml:space="preserve"> observed after chronic exposure at low levels (8-d cumulative mean larval mortality at 0.14 µg ac/larva/d) of this compound.</w:t>
      </w:r>
      <w:r>
        <w:rPr>
          <w:rFonts w:cs="Times New Roman"/>
          <w:szCs w:val="20"/>
        </w:rPr>
        <w:t xml:space="preserve"> </w:t>
      </w:r>
      <w:r w:rsidRPr="00880E66">
        <w:t xml:space="preserve">Although pydiflumetofen is a systemic fungicide, it moves within the plant via the xylem and therefore it is not expected to be translocated to pollen and nectar </w:t>
      </w:r>
      <w:r w:rsidR="00DE7532">
        <w:t xml:space="preserve">if applied </w:t>
      </w:r>
      <w:r w:rsidR="0056358D">
        <w:t>outside of the blooming period</w:t>
      </w:r>
      <w:r w:rsidR="007114A9">
        <w:t xml:space="preserve">. </w:t>
      </w:r>
    </w:p>
    <w:p w14:paraId="7223C3E8" w14:textId="318BCB97" w:rsidR="00055197" w:rsidRPr="00055197" w:rsidRDefault="00055197" w:rsidP="00055197">
      <w:pPr>
        <w:pStyle w:val="APVMAText"/>
      </w:pPr>
      <w:r w:rsidRPr="00055197">
        <w:t xml:space="preserve">There were no significant effects on other </w:t>
      </w:r>
      <w:r w:rsidR="00880E66">
        <w:t xml:space="preserve">beneficial </w:t>
      </w:r>
      <w:r w:rsidRPr="00055197">
        <w:t xml:space="preserve">arthropods after exposure to </w:t>
      </w:r>
      <w:r w:rsidR="006E5782" w:rsidRPr="005F3696">
        <w:rPr>
          <w:caps/>
        </w:rPr>
        <w:t>Miravis</w:t>
      </w:r>
      <w:r w:rsidRPr="005F3696">
        <w:rPr>
          <w:caps/>
        </w:rPr>
        <w:t xml:space="preserve"> Fungicide</w:t>
      </w:r>
      <w:r w:rsidRPr="00055197">
        <w:t xml:space="preserve"> under laboratory or field simulated exposure conditions. </w:t>
      </w:r>
    </w:p>
    <w:p w14:paraId="611F9C15" w14:textId="77777777" w:rsidR="00055197" w:rsidRPr="00055197" w:rsidRDefault="00055197" w:rsidP="00055197">
      <w:pPr>
        <w:pStyle w:val="APVMAText"/>
      </w:pPr>
      <w:r w:rsidRPr="00055197">
        <w:t>Pydiflumetofen had no adverse effects on soil macro- and micro-organisms. Pydiflumetofen was slightly acutely toxic to earthworms and chronic effects were seen to reproduction at relatively low levels (4-w NOEC (reproduction) of 32 mg ac/kg soil dw).</w:t>
      </w:r>
    </w:p>
    <w:p w14:paraId="7C63AA48" w14:textId="2E6E052B" w:rsidR="00055197" w:rsidRDefault="00055197" w:rsidP="00055197">
      <w:pPr>
        <w:pStyle w:val="APVMAText"/>
      </w:pPr>
      <w:r w:rsidRPr="00055197">
        <w:t>Pyd</w:t>
      </w:r>
      <w:r w:rsidR="0056358D">
        <w:t xml:space="preserve">iflumetofen has demonstrated no </w:t>
      </w:r>
      <w:r w:rsidRPr="00055197">
        <w:t>phytotoxic effects at the levels tested.</w:t>
      </w:r>
    </w:p>
    <w:p w14:paraId="01401AEE" w14:textId="77777777" w:rsidR="007B1810" w:rsidRDefault="007B1810" w:rsidP="007B1810">
      <w:pPr>
        <w:pStyle w:val="Heading3"/>
        <w:sectPr w:rsidR="007B1810">
          <w:pgSz w:w="11906" w:h="16838" w:code="9"/>
          <w:pgMar w:top="2835" w:right="1134" w:bottom="1134" w:left="1134" w:header="1701" w:footer="680" w:gutter="0"/>
          <w:cols w:space="708"/>
          <w:docGrid w:linePitch="360"/>
        </w:sectPr>
      </w:pPr>
    </w:p>
    <w:p w14:paraId="4E34C875" w14:textId="0AB9495D" w:rsidR="00055197" w:rsidRDefault="00055197" w:rsidP="007B1810">
      <w:pPr>
        <w:pStyle w:val="Heading3"/>
      </w:pPr>
      <w:r>
        <w:lastRenderedPageBreak/>
        <w:t>Aquatic organisms</w:t>
      </w:r>
    </w:p>
    <w:p w14:paraId="4AC98905" w14:textId="77777777" w:rsidR="00055197" w:rsidRPr="00055197" w:rsidRDefault="00055197" w:rsidP="00055197">
      <w:pPr>
        <w:pStyle w:val="APVMAText"/>
      </w:pPr>
      <w:r w:rsidRPr="00055197">
        <w:t>Pydiflumetofen is moderately to very toxic to aquatic organisms due to acute exposure. The most sensitive species to pydiflumetofen toxicity were aquatic invertebrates and fish.</w:t>
      </w:r>
    </w:p>
    <w:p w14:paraId="309A5165" w14:textId="6B108900" w:rsidR="00055197" w:rsidRPr="00055197" w:rsidRDefault="00055197" w:rsidP="00055197">
      <w:pPr>
        <w:pStyle w:val="APVMAText"/>
      </w:pPr>
      <w:r w:rsidRPr="00055197">
        <w:t>In regards to the acute toxicity of pydiflumetofen the 96-h LC</w:t>
      </w:r>
      <w:r w:rsidRPr="00055197">
        <w:rPr>
          <w:vertAlign w:val="subscript"/>
        </w:rPr>
        <w:t>50</w:t>
      </w:r>
      <w:r w:rsidRPr="00055197">
        <w:t xml:space="preserve"> for fish and the 48-h LC</w:t>
      </w:r>
      <w:r w:rsidRPr="00055197">
        <w:rPr>
          <w:vertAlign w:val="subscript"/>
        </w:rPr>
        <w:t>50</w:t>
      </w:r>
      <w:r w:rsidRPr="00055197">
        <w:t xml:space="preserve"> for </w:t>
      </w:r>
      <w:r w:rsidRPr="00055197">
        <w:rPr>
          <w:i/>
        </w:rPr>
        <w:t>Daphnia</w:t>
      </w:r>
      <w:r w:rsidRPr="00055197">
        <w:t xml:space="preserve"> were </w:t>
      </w:r>
      <w:r w:rsidRPr="00055197">
        <w:rPr>
          <w:bCs/>
        </w:rPr>
        <w:t>&lt;1 mg ac/L for most of the studies. Therefore pydiflumetofen was considered very</w:t>
      </w:r>
      <w:r w:rsidRPr="00055197">
        <w:t xml:space="preserve"> acutely toxic to fish and aquatic invertebrates </w:t>
      </w:r>
      <w:r w:rsidRPr="00055197">
        <w:fldChar w:fldCharType="begin"/>
      </w:r>
      <w:r w:rsidRPr="00055197">
        <w:instrText xml:space="preserve"> ADDIN EN.CITE &lt;EndNote&gt;&lt;Cite&gt;&lt;Author&gt;Mensink&lt;/Author&gt;&lt;Year&gt;1995&lt;/Year&gt;&lt;RecNum&gt;189&lt;/RecNum&gt;&lt;DisplayText&gt;(Mensink et al. 1995)&lt;/DisplayText&gt;&lt;record&gt;&lt;rec-number&gt;189&lt;/rec-number&gt;&lt;foreign-keys&gt;&lt;key app="EN" db-id="0vpaed0pcwdxzmedtaqpfesudedxf20w50xw" timestamp="1496985418"&gt;189&lt;/key&gt;&lt;/foreign-keys&gt;&lt;ref-type name="Report"&gt;27&lt;/ref-type&gt;&lt;contributors&gt;&lt;authors&gt;&lt;author&gt;Mensink, B.&lt;/author&gt;&lt;author&gt;Montforts, M.&lt;/author&gt;&lt;author&gt;Wijkhuizen-Maslankiewicz, L.&lt;/author&gt;&lt;author&gt;Tibosch, H.&lt;/author&gt;&lt;author&gt;Linders, J.&lt;/author&gt;&lt;/authors&gt;&lt;/contributors&gt;&lt;titles&gt;&lt;title&gt;Manual for summarising and evaluating the environmental aspects of pesticides&lt;/title&gt;&lt;/titles&gt;&lt;number&gt;679101022&lt;/number&gt;&lt;dates&gt;&lt;year&gt;1995&lt;/year&gt;&lt;pub-dates&gt;&lt;date&gt;July 1995&lt;/date&gt;&lt;/pub-dates&gt;&lt;/dates&gt;&lt;pub-location&gt;Bilthoven, Netherlands&lt;/pub-location&gt;&lt;publisher&gt;National Istitute of Public Health and Environmental Protection&lt;/publisher&gt;&lt;isbn&gt;Report No. 679101022&lt;/isbn&gt;&lt;urls&gt;&lt;/urls&gt;&lt;/record&gt;&lt;/Cite&gt;&lt;/EndNote&gt;</w:instrText>
      </w:r>
      <w:r w:rsidRPr="00055197">
        <w:fldChar w:fldCharType="separate"/>
      </w:r>
      <w:r w:rsidRPr="00055197">
        <w:t>(Mensink et al. 1995)</w:t>
      </w:r>
      <w:r w:rsidRPr="00055197">
        <w:fldChar w:fldCharType="end"/>
      </w:r>
      <w:r w:rsidRPr="00055197">
        <w:t xml:space="preserve">. The most sensitive aquatic species for acute toxicity of pydiflumetofen was the sediment dwelling </w:t>
      </w:r>
      <w:r w:rsidRPr="00055197">
        <w:rPr>
          <w:i/>
        </w:rPr>
        <w:t xml:space="preserve">Hyalella azteca </w:t>
      </w:r>
      <w:r w:rsidRPr="00055197">
        <w:t>(48-h LC</w:t>
      </w:r>
      <w:r w:rsidRPr="00055197">
        <w:rPr>
          <w:vertAlign w:val="subscript"/>
        </w:rPr>
        <w:t>50</w:t>
      </w:r>
      <w:r w:rsidRPr="00055197">
        <w:t xml:space="preserve"> was 0.12 mg ac/L).</w:t>
      </w:r>
      <w:r w:rsidRPr="00055197">
        <w:rPr>
          <w:i/>
        </w:rPr>
        <w:t xml:space="preserve"> Oncorhynchus mykiss</w:t>
      </w:r>
      <w:r w:rsidRPr="00055197">
        <w:t xml:space="preserve"> was the most sensitive fish species to the acute toxicity of pydiflumetofen (96-h LC</w:t>
      </w:r>
      <w:r w:rsidRPr="00055197">
        <w:rPr>
          <w:vertAlign w:val="subscript"/>
        </w:rPr>
        <w:t>50</w:t>
      </w:r>
      <w:r w:rsidRPr="00055197">
        <w:t xml:space="preserve"> = 0.18 mg ac/L). The toxicity of the pydiflumetofen formulation tested was similar to that of the active constituent. SYN545547 was a major metabolite and degradation product (&gt;10% AR) in water-sediment systems under aerobic and anaerobic conditions. However, the lowest SYN545547 acute toxicity endpoint for water column species was at least an order of magnitude higher (96-h LC</w:t>
      </w:r>
      <w:r w:rsidRPr="00055197">
        <w:rPr>
          <w:vertAlign w:val="subscript"/>
        </w:rPr>
        <w:t>50</w:t>
      </w:r>
      <w:r w:rsidRPr="00055197">
        <w:t xml:space="preserve"> = 1,400 µg as/L; rainbow trout (</w:t>
      </w:r>
      <w:r w:rsidRPr="00055197">
        <w:rPr>
          <w:i/>
        </w:rPr>
        <w:t>Oncorhynchus mykiss</w:t>
      </w:r>
      <w:r w:rsidRPr="00055197">
        <w:t>)) than that for pydiflumetofen. The geomean (range) of the acute toxicity data for fish (96-h LC</w:t>
      </w:r>
      <w:r w:rsidRPr="00055197">
        <w:rPr>
          <w:vertAlign w:val="subscript"/>
        </w:rPr>
        <w:t>50</w:t>
      </w:r>
      <w:r w:rsidRPr="00055197">
        <w:t>; 5 species) was 0.37 (0.18</w:t>
      </w:r>
      <w:r w:rsidR="007B1810">
        <w:t>–</w:t>
      </w:r>
      <w:r w:rsidRPr="00055197">
        <w:t>0.66) mg ac/L, and was the lowest for all aquatic taxonomic groups. The geomean (range) of the acute toxicity data for invertebrate species (48-h EC</w:t>
      </w:r>
      <w:r w:rsidRPr="00055197">
        <w:rPr>
          <w:vertAlign w:val="subscript"/>
        </w:rPr>
        <w:t>50</w:t>
      </w:r>
      <w:r w:rsidRPr="00055197">
        <w:t xml:space="preserve"> (immobility); 7 species) was an order of magnitude higher at 1.8 (0.42</w:t>
      </w:r>
      <w:r w:rsidR="007B1810">
        <w:t>–</w:t>
      </w:r>
      <w:r w:rsidRPr="00055197">
        <w:t>4.7) mg ac/L.</w:t>
      </w:r>
    </w:p>
    <w:p w14:paraId="2B315B98" w14:textId="77777777" w:rsidR="00055197" w:rsidRPr="00055197" w:rsidRDefault="00055197" w:rsidP="00055197">
      <w:pPr>
        <w:pStyle w:val="APVMAText"/>
      </w:pPr>
      <w:r w:rsidRPr="00055197">
        <w:t xml:space="preserve">Pydiflumetofen is slightly to moderately toxic (between 0.01 and 1 mg ac/L) in terms of chronic toxicity to the aquatic organisms tested that dwell in the water column </w:t>
      </w:r>
      <w:r w:rsidRPr="00055197">
        <w:fldChar w:fldCharType="begin"/>
      </w:r>
      <w:r w:rsidRPr="00055197">
        <w:instrText xml:space="preserve"> ADDIN EN.CITE &lt;EndNote&gt;&lt;Cite&gt;&lt;Author&gt;Mensink&lt;/Author&gt;&lt;Year&gt;1995&lt;/Year&gt;&lt;RecNum&gt;189&lt;/RecNum&gt;&lt;DisplayText&gt;(Mensink, Montforts et al. 1995)&lt;/DisplayText&gt;&lt;record&gt;&lt;rec-number&gt;189&lt;/rec-number&gt;&lt;foreign-keys&gt;&lt;key app="EN" db-id="0vpaed0pcwdxzmedtaqpfesudedxf20w50xw" timestamp="1496985418"&gt;189&lt;/key&gt;&lt;/foreign-keys&gt;&lt;ref-type name="Report"&gt;27&lt;/ref-type&gt;&lt;contributors&gt;&lt;authors&gt;&lt;author&gt;Mensink, B.&lt;/author&gt;&lt;author&gt;Montforts, M.&lt;/author&gt;&lt;author&gt;Wijkhuizen-Maslankiewicz, L.&lt;/author&gt;&lt;author&gt;Tibosch, H.&lt;/author&gt;&lt;author&gt;Linders, J.&lt;/author&gt;&lt;/authors&gt;&lt;/contributors&gt;&lt;titles&gt;&lt;title&gt;Manual for summarising and evaluating the environmental aspects of pesticides&lt;/title&gt;&lt;/titles&gt;&lt;number&gt;679101022&lt;/number&gt;&lt;dates&gt;&lt;year&gt;1995&lt;/year&gt;&lt;pub-dates&gt;&lt;date&gt;July 1995&lt;/date&gt;&lt;/pub-dates&gt;&lt;/dates&gt;&lt;pub-location&gt;Bilthoven, Netherlands&lt;/pub-location&gt;&lt;publisher&gt;National Istitute of Public Health and Environmental Protection&lt;/publisher&gt;&lt;isbn&gt;Report No. 679101022&lt;/isbn&gt;&lt;urls&gt;&lt;/urls&gt;&lt;/record&gt;&lt;/Cite&gt;&lt;/EndNote&gt;</w:instrText>
      </w:r>
      <w:r w:rsidRPr="00055197">
        <w:fldChar w:fldCharType="separate"/>
      </w:r>
      <w:r w:rsidRPr="00055197">
        <w:t>(Mensink, Montforts et al. 1995)</w:t>
      </w:r>
      <w:r w:rsidRPr="00055197">
        <w:fldChar w:fldCharType="end"/>
      </w:r>
      <w:r w:rsidRPr="00055197">
        <w:t>. The most sensitive chronic endpoint for species exposed to pydiflumetofen in the water column was live, normal fathead minnow (</w:t>
      </w:r>
      <w:r w:rsidRPr="00055197">
        <w:rPr>
          <w:i/>
        </w:rPr>
        <w:t>Pimephales promelas</w:t>
      </w:r>
      <w:r w:rsidRPr="00055197">
        <w:t>) at hatch (32-d NOEC – 0.025 mg ac/L). For sediment dwelling invertebrates the lowest NOEC was 15 mg ac/kg sediment dw. The toxicity of pydiflumetofen and SYN545547 was similar for sediment dwelling organisms.</w:t>
      </w:r>
    </w:p>
    <w:p w14:paraId="59FAFD9B" w14:textId="1F93B023" w:rsidR="00055197" w:rsidRDefault="00055197" w:rsidP="00055197">
      <w:pPr>
        <w:pStyle w:val="APVMAText"/>
      </w:pPr>
      <w:r w:rsidRPr="00055197">
        <w:t>Pydiflumetofen is not expected to significantly inhibit the respiration rate of the activated sludge.</w:t>
      </w:r>
    </w:p>
    <w:p w14:paraId="4B339B4C" w14:textId="3CE8CF6F" w:rsidR="00055197" w:rsidRDefault="00055197" w:rsidP="00055197">
      <w:pPr>
        <w:pStyle w:val="Heading2"/>
      </w:pPr>
      <w:bookmarkStart w:id="55" w:name="_Toc507406689"/>
      <w:r>
        <w:t>Risk assessment</w:t>
      </w:r>
      <w:bookmarkEnd w:id="55"/>
    </w:p>
    <w:p w14:paraId="731C151C" w14:textId="77777777" w:rsidR="0043416B" w:rsidRDefault="0043416B" w:rsidP="0043416B">
      <w:pPr>
        <w:pStyle w:val="APVMAText"/>
      </w:pPr>
      <w:r>
        <w:t>The focus for the risk assessment was aquatic organisms, which are the most sensitive to pydiflumetofen. The risk to aquatic organisms from exposure to pydiflumetofen through direct overspray and spray drift, as well as the risk to aquatic organisms exposed to pydiflumetofen via surface water and sediment runoff was assessed. Exposure of aquatic organisms to pydiflumetofen in groundwater is unlikely as the compound has a low mobility and is expected to remain in the surface layers of soil.</w:t>
      </w:r>
    </w:p>
    <w:p w14:paraId="1762C30B" w14:textId="31FA09E0" w:rsidR="0043416B" w:rsidRDefault="0043416B" w:rsidP="0043416B">
      <w:pPr>
        <w:pStyle w:val="APVMAText"/>
      </w:pPr>
      <w:r>
        <w:t xml:space="preserve">Non-target terrestrial organisms are likely to be exposed to pydiflumetofen under the proposed application scenario for </w:t>
      </w:r>
      <w:r w:rsidR="006E5782">
        <w:t>Miravis</w:t>
      </w:r>
      <w:r>
        <w:t xml:space="preserve"> Fungicide. However, terrestrial vertebrate and invertebrate species were less sensitive to pydiflumetofen than aquatic species</w:t>
      </w:r>
      <w:r w:rsidRPr="00880E66">
        <w:t xml:space="preserve">. </w:t>
      </w:r>
      <w:r w:rsidR="00B1644F">
        <w:t>Potential chronic effects were</w:t>
      </w:r>
      <w:r w:rsidRPr="00880E66">
        <w:t xml:space="preserve"> assessed for birds, honey bees and earthworms.</w:t>
      </w:r>
      <w:r>
        <w:t xml:space="preserve"> </w:t>
      </w:r>
      <w:r w:rsidR="00B1644F">
        <w:t xml:space="preserve">Acute effects were determined to be acceptable due to low toxicity. </w:t>
      </w:r>
      <w:r>
        <w:t>The risk</w:t>
      </w:r>
      <w:r w:rsidR="00B1644F">
        <w:t>s</w:t>
      </w:r>
      <w:r>
        <w:t xml:space="preserve"> to mammals, leaf and soil dwelling arthropods, as well as soil macro- and micro-organisms </w:t>
      </w:r>
      <w:r w:rsidR="00B1644F">
        <w:t xml:space="preserve">are considered to be acceptable </w:t>
      </w:r>
      <w:r>
        <w:t>due to low</w:t>
      </w:r>
      <w:r w:rsidR="00B1644F">
        <w:t xml:space="preserve"> acute and/or chronic</w:t>
      </w:r>
      <w:r>
        <w:t xml:space="preserve"> toxicity of pydiflumetofen to these organisms.</w:t>
      </w:r>
    </w:p>
    <w:p w14:paraId="559B53EB" w14:textId="77777777" w:rsidR="007B1810" w:rsidRDefault="007B1810" w:rsidP="0043416B">
      <w:pPr>
        <w:pStyle w:val="APVMAText"/>
        <w:sectPr w:rsidR="007B1810">
          <w:pgSz w:w="11906" w:h="16838" w:code="9"/>
          <w:pgMar w:top="2835" w:right="1134" w:bottom="1134" w:left="1134" w:header="1701" w:footer="680" w:gutter="0"/>
          <w:cols w:space="708"/>
          <w:docGrid w:linePitch="360"/>
        </w:sectPr>
      </w:pPr>
    </w:p>
    <w:p w14:paraId="7F8F70D6" w14:textId="7464AF05" w:rsidR="00055197" w:rsidRPr="00055197" w:rsidRDefault="0043416B" w:rsidP="0043416B">
      <w:pPr>
        <w:pStyle w:val="APVMAText"/>
      </w:pPr>
      <w:r>
        <w:lastRenderedPageBreak/>
        <w:t xml:space="preserve">Risk was acceptable to aquatic organisms from spray drift resulting from the proposed use without a mandatory no-spray zone. Risk was acceptable to aquatic organisms from runoff resulting from the proposed use provided </w:t>
      </w:r>
      <w:r w:rsidR="004F253E">
        <w:t xml:space="preserve">label </w:t>
      </w:r>
      <w:r w:rsidR="00CE3482">
        <w:t>restraints limiting application within</w:t>
      </w:r>
      <w:r w:rsidR="004F253E">
        <w:t xml:space="preserve"> </w:t>
      </w:r>
      <w:r w:rsidR="00CE3482">
        <w:t xml:space="preserve">3 days of irrigation or heavy rainfall </w:t>
      </w:r>
      <w:r w:rsidR="004F253E">
        <w:t xml:space="preserve">are </w:t>
      </w:r>
      <w:r w:rsidR="00CE3482">
        <w:t>followed</w:t>
      </w:r>
      <w:r w:rsidR="004F253E" w:rsidRPr="00880E66">
        <w:t xml:space="preserve">. </w:t>
      </w:r>
      <w:r w:rsidRPr="00880E66">
        <w:t xml:space="preserve">Although </w:t>
      </w:r>
      <w:r w:rsidR="004F253E" w:rsidRPr="00880E66">
        <w:t>Miravis</w:t>
      </w:r>
      <w:r w:rsidRPr="00880E66">
        <w:t xml:space="preserve"> Fungicide showed </w:t>
      </w:r>
      <w:r w:rsidR="00B1644F">
        <w:t xml:space="preserve">chronic </w:t>
      </w:r>
      <w:r w:rsidRPr="00880E66">
        <w:t xml:space="preserve">effects </w:t>
      </w:r>
      <w:r w:rsidR="00B1644F">
        <w:t>on</w:t>
      </w:r>
      <w:r w:rsidRPr="00880E66">
        <w:t xml:space="preserve"> bee larvae, </w:t>
      </w:r>
      <w:r w:rsidR="00B1644F">
        <w:t xml:space="preserve">their exposure is expected to be negligible </w:t>
      </w:r>
      <w:r w:rsidR="001936D7">
        <w:t>as</w:t>
      </w:r>
      <w:r w:rsidR="00B1644F">
        <w:t xml:space="preserve"> residues are not expected to be present in pollen or nectar </w:t>
      </w:r>
      <w:r w:rsidR="001936D7">
        <w:t>provided</w:t>
      </w:r>
      <w:r w:rsidR="00B1644F">
        <w:t xml:space="preserve"> the product is not applied during blooming periods. Additional protection measures on the label limit spray drift exposure to flowering weeds or flowering crops in the vicinity.</w:t>
      </w:r>
      <w:r>
        <w:t xml:space="preserve"> </w:t>
      </w:r>
      <w:r w:rsidR="00B1644F">
        <w:t>Risk</w:t>
      </w:r>
      <w:r>
        <w:t xml:space="preserve"> was acceptable for all other test species for short and long-term exposure from the proposed use pattern. Therefore the proposed use of this product is considered to be unlikely to have an unintended effect that is harmful to animals, plants or things or the environment.</w:t>
      </w:r>
    </w:p>
    <w:p w14:paraId="2104C22B" w14:textId="77777777" w:rsidR="00F27E0D" w:rsidRDefault="00F27E0D">
      <w:pPr>
        <w:pStyle w:val="APVMAText"/>
        <w:rPr>
          <w:lang w:val="en-GB"/>
        </w:rPr>
      </w:pPr>
    </w:p>
    <w:p w14:paraId="4E99ABD6" w14:textId="77777777" w:rsidR="00F27E0D" w:rsidRDefault="00F27E0D">
      <w:pPr>
        <w:pStyle w:val="APVMAText"/>
      </w:pPr>
    </w:p>
    <w:p w14:paraId="7861FDC4" w14:textId="77777777" w:rsidR="00F27E0D" w:rsidRDefault="00F27E0D">
      <w:pPr>
        <w:pStyle w:val="APVMAText"/>
      </w:pPr>
    </w:p>
    <w:p w14:paraId="62513DEA" w14:textId="77777777" w:rsidR="00F27E0D" w:rsidRDefault="00F27E0D">
      <w:pPr>
        <w:pStyle w:val="APVMAText"/>
      </w:pPr>
    </w:p>
    <w:p w14:paraId="61C121A2"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493425B5" w14:textId="77777777" w:rsidR="00F27E0D" w:rsidRDefault="00F27E0D">
      <w:pPr>
        <w:pStyle w:val="Heading1"/>
      </w:pPr>
      <w:bookmarkStart w:id="56" w:name="_Toc507406690"/>
      <w:r>
        <w:lastRenderedPageBreak/>
        <w:t>Efficacy and safety assessment</w:t>
      </w:r>
      <w:bookmarkEnd w:id="56"/>
    </w:p>
    <w:p w14:paraId="212C9DC1" w14:textId="5D84E247" w:rsidR="00F27E0D" w:rsidRDefault="00041C48" w:rsidP="00041C48">
      <w:pPr>
        <w:pStyle w:val="Heading2"/>
      </w:pPr>
      <w:bookmarkStart w:id="57" w:name="_Toc507406691"/>
      <w:r>
        <w:t>Proposed product use pattern</w:t>
      </w:r>
      <w:bookmarkEnd w:id="57"/>
    </w:p>
    <w:p w14:paraId="20AE1E9A" w14:textId="62A871A0" w:rsidR="000B113B" w:rsidRDefault="00873317" w:rsidP="007B1810">
      <w:pPr>
        <w:pStyle w:val="APVMAText"/>
      </w:pPr>
      <w:r>
        <w:t xml:space="preserve">The proposed </w:t>
      </w:r>
      <w:r w:rsidR="00A828BE">
        <w:t xml:space="preserve">product </w:t>
      </w:r>
      <w:r>
        <w:t>use pattern is for</w:t>
      </w:r>
      <w:r w:rsidR="000B113B">
        <w:t>:</w:t>
      </w:r>
    </w:p>
    <w:p w14:paraId="69772BE9" w14:textId="788F1EEF" w:rsidR="000B113B" w:rsidRDefault="001B7D45" w:rsidP="005F3696">
      <w:pPr>
        <w:pStyle w:val="APVMAText"/>
        <w:numPr>
          <w:ilvl w:val="0"/>
          <w:numId w:val="18"/>
        </w:numPr>
        <w:spacing w:before="0"/>
      </w:pPr>
      <w:r>
        <w:rPr>
          <w:b/>
        </w:rPr>
        <w:t>C</w:t>
      </w:r>
      <w:r w:rsidRPr="005A7C50">
        <w:rPr>
          <w:b/>
        </w:rPr>
        <w:t>anola</w:t>
      </w:r>
      <w:r>
        <w:t xml:space="preserve"> - </w:t>
      </w:r>
      <w:r w:rsidR="00873317">
        <w:t xml:space="preserve">control of </w:t>
      </w:r>
      <w:r w:rsidR="000B113B">
        <w:t>b</w:t>
      </w:r>
      <w:r w:rsidR="00873317">
        <w:t>lack leg (</w:t>
      </w:r>
      <w:r w:rsidR="00873317" w:rsidRPr="00873317">
        <w:rPr>
          <w:i/>
        </w:rPr>
        <w:t>Leptosphaeria maculans</w:t>
      </w:r>
      <w:r w:rsidR="00873317">
        <w:t xml:space="preserve">) and </w:t>
      </w:r>
      <w:r w:rsidR="000B113B">
        <w:t>w</w:t>
      </w:r>
      <w:r w:rsidR="00873317">
        <w:t>hite leaf spot (</w:t>
      </w:r>
      <w:r w:rsidR="00873317" w:rsidRPr="00873317">
        <w:rPr>
          <w:i/>
        </w:rPr>
        <w:t>Mycosphaerella capsellae</w:t>
      </w:r>
      <w:r w:rsidR="00873317">
        <w:t xml:space="preserve">) </w:t>
      </w:r>
      <w:r>
        <w:t>at an application rate of 300 to 450 mL/ha</w:t>
      </w:r>
      <w:r w:rsidR="0056358D">
        <w:t>,</w:t>
      </w:r>
      <w:r>
        <w:t xml:space="preserve"> </w:t>
      </w:r>
      <w:r w:rsidR="00873317">
        <w:t xml:space="preserve">applied at </w:t>
      </w:r>
      <w:r w:rsidR="007D5E72">
        <w:t>the 4</w:t>
      </w:r>
      <w:r w:rsidR="007B1810">
        <w:t>–</w:t>
      </w:r>
      <w:r w:rsidR="007D5E72">
        <w:t>6 leaf crop stage</w:t>
      </w:r>
      <w:r w:rsidR="00873317">
        <w:t xml:space="preserve"> when combined with use of a seed treatment or in-furrow treatment</w:t>
      </w:r>
      <w:r w:rsidR="00A828BE">
        <w:t>,</w:t>
      </w:r>
      <w:r w:rsidR="00873317">
        <w:t xml:space="preserve"> or at</w:t>
      </w:r>
      <w:r w:rsidR="00034505">
        <w:t xml:space="preserve"> a rate of</w:t>
      </w:r>
      <w:r w:rsidR="00873317">
        <w:t xml:space="preserve"> 450 to 600 mL/ha without prior use of seed t</w:t>
      </w:r>
      <w:r w:rsidR="00A828BE">
        <w:t>reatment or in-furrow treatmen</w:t>
      </w:r>
      <w:r w:rsidR="000B113B">
        <w:t>t</w:t>
      </w:r>
      <w:r w:rsidR="00066006">
        <w:t>.</w:t>
      </w:r>
      <w:bookmarkStart w:id="58" w:name="_GoBack"/>
      <w:bookmarkEnd w:id="58"/>
      <w:r w:rsidR="000B113B">
        <w:t xml:space="preserve"> </w:t>
      </w:r>
    </w:p>
    <w:p w14:paraId="731BECCD" w14:textId="1A0AEF06" w:rsidR="000B113B" w:rsidRDefault="001B7D45" w:rsidP="005F3696">
      <w:pPr>
        <w:pStyle w:val="APVMAText"/>
        <w:numPr>
          <w:ilvl w:val="0"/>
          <w:numId w:val="18"/>
        </w:numPr>
        <w:spacing w:before="0"/>
      </w:pPr>
      <w:r>
        <w:rPr>
          <w:b/>
        </w:rPr>
        <w:t>G</w:t>
      </w:r>
      <w:r w:rsidRPr="0020516C">
        <w:rPr>
          <w:b/>
        </w:rPr>
        <w:t>rapes</w:t>
      </w:r>
      <w:r w:rsidDel="000B113B">
        <w:t xml:space="preserve"> </w:t>
      </w:r>
      <w:r>
        <w:t xml:space="preserve">- </w:t>
      </w:r>
      <w:r w:rsidR="00A828BE">
        <w:t>control of</w:t>
      </w:r>
      <w:r w:rsidR="00873317">
        <w:t xml:space="preserve"> </w:t>
      </w:r>
      <w:r w:rsidR="000B113B">
        <w:t>p</w:t>
      </w:r>
      <w:r w:rsidR="00873317">
        <w:t>owdery mildew (</w:t>
      </w:r>
      <w:r w:rsidR="00873317" w:rsidRPr="00873317">
        <w:rPr>
          <w:i/>
        </w:rPr>
        <w:t>Uncinular necator</w:t>
      </w:r>
      <w:r w:rsidR="00873317">
        <w:t xml:space="preserve">) </w:t>
      </w:r>
      <w:r w:rsidR="00A828BE">
        <w:t>at a</w:t>
      </w:r>
      <w:r>
        <w:t xml:space="preserve">n application </w:t>
      </w:r>
      <w:r w:rsidR="00A828BE">
        <w:t>rate of 20 mL/100</w:t>
      </w:r>
      <w:r w:rsidR="007B1810">
        <w:t xml:space="preserve"> </w:t>
      </w:r>
      <w:r w:rsidR="00A828BE">
        <w:t>L by either dilute or concentrate methods as part of a regular spray program for powdery mildew control until pre-flowering</w:t>
      </w:r>
      <w:r w:rsidR="007D5E72">
        <w:t xml:space="preserve"> (EL19; BBCH49)</w:t>
      </w:r>
      <w:r w:rsidR="000B113B">
        <w:t>)</w:t>
      </w:r>
      <w:r w:rsidR="007D5E72">
        <w:t>.</w:t>
      </w:r>
      <w:r w:rsidR="007D5E72" w:rsidRPr="007D5E72">
        <w:rPr>
          <w:rFonts w:cs="Times New Roman"/>
        </w:rPr>
        <w:t xml:space="preserve"> </w:t>
      </w:r>
      <w:r>
        <w:t>N</w:t>
      </w:r>
      <w:r w:rsidR="007D5E72" w:rsidRPr="007D5E72">
        <w:t>o more than two applications</w:t>
      </w:r>
      <w:r w:rsidR="007D5E72">
        <w:t xml:space="preserve"> </w:t>
      </w:r>
      <w:r w:rsidR="007D5E72" w:rsidRPr="007D5E72">
        <w:t xml:space="preserve">are to be applied </w:t>
      </w:r>
      <w:r w:rsidR="000B113B">
        <w:t xml:space="preserve">per growing season </w:t>
      </w:r>
      <w:r w:rsidR="007D5E72" w:rsidRPr="007D5E72">
        <w:t>and no more than three applications of a Group 7 containing fungicide.</w:t>
      </w:r>
      <w:r w:rsidR="007D5E72">
        <w:t xml:space="preserve"> </w:t>
      </w:r>
    </w:p>
    <w:p w14:paraId="4A7844BA" w14:textId="3080817D" w:rsidR="00F27E0D" w:rsidRDefault="001B7D45" w:rsidP="005F3696">
      <w:pPr>
        <w:pStyle w:val="APVMAText"/>
        <w:numPr>
          <w:ilvl w:val="0"/>
          <w:numId w:val="18"/>
        </w:numPr>
        <w:spacing w:before="0"/>
      </w:pPr>
      <w:r w:rsidRPr="00F05863">
        <w:rPr>
          <w:b/>
        </w:rPr>
        <w:t>Potatoes</w:t>
      </w:r>
      <w:r>
        <w:t xml:space="preserve"> - </w:t>
      </w:r>
      <w:r w:rsidR="00A828BE">
        <w:t xml:space="preserve">control of </w:t>
      </w:r>
      <w:r w:rsidR="000B113B">
        <w:t>t</w:t>
      </w:r>
      <w:r w:rsidR="00A828BE">
        <w:t>arget spot/early blight (</w:t>
      </w:r>
      <w:r w:rsidR="00A828BE" w:rsidRPr="007D5E72">
        <w:rPr>
          <w:i/>
        </w:rPr>
        <w:t>Alternaria solani</w:t>
      </w:r>
      <w:r w:rsidR="00A828BE">
        <w:t xml:space="preserve">) </w:t>
      </w:r>
      <w:r>
        <w:t xml:space="preserve">at an application </w:t>
      </w:r>
      <w:r w:rsidR="00A828BE">
        <w:t xml:space="preserve">rate of </w:t>
      </w:r>
      <w:r w:rsidR="007B1810">
        <w:br/>
      </w:r>
      <w:r w:rsidR="00A828BE">
        <w:t>250 to 375 mL/ha when used in a protectant program.</w:t>
      </w:r>
      <w:r w:rsidR="00034505">
        <w:t xml:space="preserve"> </w:t>
      </w:r>
      <w:r>
        <w:t>N</w:t>
      </w:r>
      <w:r w:rsidR="007D5E72">
        <w:t>o more than three applications are to be made to a single crop.</w:t>
      </w:r>
    </w:p>
    <w:p w14:paraId="02F178F4" w14:textId="3F57D81D" w:rsidR="00F27E0D" w:rsidRDefault="00804345" w:rsidP="00804345">
      <w:pPr>
        <w:pStyle w:val="Heading2"/>
      </w:pPr>
      <w:bookmarkStart w:id="59" w:name="_Toc507406692"/>
      <w:r>
        <w:t>Assessment of study/trial data</w:t>
      </w:r>
      <w:bookmarkEnd w:id="59"/>
    </w:p>
    <w:p w14:paraId="04B9D2E7" w14:textId="286D9DCF" w:rsidR="00F27E0D" w:rsidRDefault="00804345" w:rsidP="00804345">
      <w:pPr>
        <w:pStyle w:val="Heading3"/>
      </w:pPr>
      <w:r>
        <w:t>Efficacy</w:t>
      </w:r>
      <w:r w:rsidR="009635C1">
        <w:t xml:space="preserve"> and Crop safety</w:t>
      </w:r>
    </w:p>
    <w:p w14:paraId="5D0D223C" w14:textId="3506B7D0" w:rsidR="00E616D6" w:rsidRDefault="000B113B" w:rsidP="00804345">
      <w:pPr>
        <w:pStyle w:val="APVMAText"/>
        <w:rPr>
          <w:lang w:val="en-US"/>
        </w:rPr>
      </w:pPr>
      <w:r>
        <w:rPr>
          <w:lang w:val="en-US"/>
        </w:rPr>
        <w:t>Data</w:t>
      </w:r>
      <w:r w:rsidR="00E616D6" w:rsidRPr="00E616D6">
        <w:rPr>
          <w:lang w:val="en-US"/>
        </w:rPr>
        <w:t xml:space="preserve"> from 52 replicated Australian field trials on efficacy and crop safety in canola, gr</w:t>
      </w:r>
      <w:r w:rsidR="007B1810">
        <w:rPr>
          <w:lang w:val="en-US"/>
        </w:rPr>
        <w:t>apevines and potatoes from 2012–</w:t>
      </w:r>
      <w:r w:rsidR="00E616D6" w:rsidRPr="00E616D6">
        <w:rPr>
          <w:lang w:val="en-US"/>
        </w:rPr>
        <w:t>2016</w:t>
      </w:r>
      <w:r>
        <w:rPr>
          <w:lang w:val="en-US"/>
        </w:rPr>
        <w:t xml:space="preserve"> were assessed</w:t>
      </w:r>
      <w:r w:rsidR="00E616D6" w:rsidRPr="00E616D6">
        <w:rPr>
          <w:lang w:val="en-US"/>
        </w:rPr>
        <w:t xml:space="preserve">. </w:t>
      </w:r>
      <w:r w:rsidR="007B1810" w:rsidRPr="005F3696">
        <w:t>Miravis Fungicide</w:t>
      </w:r>
      <w:r w:rsidR="007B1810" w:rsidRPr="00E616D6">
        <w:rPr>
          <w:lang w:val="en-US"/>
        </w:rPr>
        <w:t xml:space="preserve"> </w:t>
      </w:r>
      <w:r w:rsidR="00E616D6" w:rsidRPr="00E616D6">
        <w:rPr>
          <w:lang w:val="en-US"/>
        </w:rPr>
        <w:t>was applied either as a sole fungicide or in conjunction with other fungicides and compared against the efficacy of standard commercial fungicides in all trials.</w:t>
      </w:r>
    </w:p>
    <w:p w14:paraId="548367D0" w14:textId="4526CFF6" w:rsidR="006C41FB" w:rsidRDefault="006C41FB" w:rsidP="006C41FB">
      <w:pPr>
        <w:pStyle w:val="Heading4"/>
        <w:rPr>
          <w:lang w:val="en-US"/>
        </w:rPr>
      </w:pPr>
      <w:r>
        <w:rPr>
          <w:lang w:val="en-US"/>
        </w:rPr>
        <w:t>Canola</w:t>
      </w:r>
    </w:p>
    <w:p w14:paraId="5D45E296" w14:textId="15BA8F79" w:rsidR="00E616D6" w:rsidRPr="00E616D6" w:rsidRDefault="005E75D5" w:rsidP="00E616D6">
      <w:pPr>
        <w:pStyle w:val="APVMAText"/>
        <w:rPr>
          <w:bCs/>
        </w:rPr>
      </w:pPr>
      <w:r>
        <w:rPr>
          <w:bCs/>
        </w:rPr>
        <w:t>Data from 20</w:t>
      </w:r>
      <w:r w:rsidR="00E616D6" w:rsidRPr="00E616D6">
        <w:rPr>
          <w:bCs/>
        </w:rPr>
        <w:t xml:space="preserve"> Australian field trials </w:t>
      </w:r>
      <w:r w:rsidR="000B113B">
        <w:rPr>
          <w:bCs/>
        </w:rPr>
        <w:t xml:space="preserve">with application </w:t>
      </w:r>
      <w:r w:rsidR="00E616D6" w:rsidRPr="00E616D6">
        <w:rPr>
          <w:bCs/>
        </w:rPr>
        <w:t xml:space="preserve">rates up to </w:t>
      </w:r>
      <w:r w:rsidR="00E1601B" w:rsidRPr="00E1601B">
        <w:rPr>
          <w:bCs/>
        </w:rPr>
        <w:t>2</w:t>
      </w:r>
      <w:r w:rsidR="001547E7">
        <w:rPr>
          <w:bCs/>
        </w:rPr>
        <w:t xml:space="preserve"> </w:t>
      </w:r>
      <w:r w:rsidR="005F3696">
        <w:rPr>
          <w:bCs/>
        </w:rPr>
        <w:t>L</w:t>
      </w:r>
      <w:r w:rsidR="00E1601B" w:rsidRPr="00E1601B">
        <w:rPr>
          <w:bCs/>
        </w:rPr>
        <w:t>/ha (</w:t>
      </w:r>
      <w:r w:rsidR="00E616D6" w:rsidRPr="00E1601B">
        <w:rPr>
          <w:bCs/>
        </w:rPr>
        <w:t>400 g</w:t>
      </w:r>
      <w:r w:rsidR="00EE3374" w:rsidRPr="00E1601B">
        <w:rPr>
          <w:bCs/>
        </w:rPr>
        <w:t>.a.i.</w:t>
      </w:r>
      <w:r w:rsidR="00E616D6" w:rsidRPr="00E1601B">
        <w:rPr>
          <w:bCs/>
        </w:rPr>
        <w:t>/ha</w:t>
      </w:r>
      <w:r w:rsidR="00E1601B" w:rsidRPr="00E1601B">
        <w:rPr>
          <w:bCs/>
        </w:rPr>
        <w:t>)</w:t>
      </w:r>
      <w:r w:rsidR="00E616D6" w:rsidRPr="00E616D6">
        <w:rPr>
          <w:bCs/>
        </w:rPr>
        <w:t xml:space="preserve"> were submitted </w:t>
      </w:r>
      <w:r w:rsidR="000B113B">
        <w:rPr>
          <w:bCs/>
        </w:rPr>
        <w:t>to demonstrate</w:t>
      </w:r>
      <w:r w:rsidR="000B113B" w:rsidRPr="00E616D6">
        <w:rPr>
          <w:bCs/>
        </w:rPr>
        <w:t xml:space="preserve"> </w:t>
      </w:r>
      <w:r w:rsidR="00E616D6" w:rsidRPr="00E616D6">
        <w:rPr>
          <w:bCs/>
        </w:rPr>
        <w:t xml:space="preserve">efficacy and crop safety against blackleg disease in several varieties of </w:t>
      </w:r>
      <w:r w:rsidR="00E616D6" w:rsidRPr="00E1601B">
        <w:rPr>
          <w:bCs/>
        </w:rPr>
        <w:t xml:space="preserve">canola </w:t>
      </w:r>
      <w:r w:rsidR="00E616D6" w:rsidRPr="00E616D6">
        <w:rPr>
          <w:bCs/>
        </w:rPr>
        <w:t xml:space="preserve">of different resistance ratings. </w:t>
      </w:r>
      <w:r w:rsidR="00DE0A65">
        <w:rPr>
          <w:bCs/>
        </w:rPr>
        <w:t>Application</w:t>
      </w:r>
      <w:r w:rsidR="000B113B">
        <w:rPr>
          <w:bCs/>
        </w:rPr>
        <w:t xml:space="preserve"> at the</w:t>
      </w:r>
      <w:r w:rsidR="00E1601B" w:rsidRPr="00E1601B">
        <w:rPr>
          <w:bCs/>
        </w:rPr>
        <w:t xml:space="preserve"> 4</w:t>
      </w:r>
      <w:r w:rsidR="001547E7">
        <w:rPr>
          <w:bCs/>
        </w:rPr>
        <w:t>–</w:t>
      </w:r>
      <w:r w:rsidR="00E1601B" w:rsidRPr="00E1601B">
        <w:rPr>
          <w:bCs/>
        </w:rPr>
        <w:t xml:space="preserve">6 leaf stage </w:t>
      </w:r>
      <w:r w:rsidR="00E616D6" w:rsidRPr="00E616D6">
        <w:rPr>
          <w:bCs/>
        </w:rPr>
        <w:t>at the proposed label rates of 300</w:t>
      </w:r>
      <w:r w:rsidR="001547E7">
        <w:rPr>
          <w:bCs/>
        </w:rPr>
        <w:t>–</w:t>
      </w:r>
      <w:r w:rsidR="00E616D6" w:rsidRPr="00E616D6">
        <w:rPr>
          <w:bCs/>
        </w:rPr>
        <w:t xml:space="preserve">600 mL/ha </w:t>
      </w:r>
      <w:r w:rsidR="001547E7">
        <w:rPr>
          <w:bCs/>
        </w:rPr>
        <w:br/>
      </w:r>
      <w:r w:rsidR="00E616D6" w:rsidRPr="00E616D6">
        <w:rPr>
          <w:bCs/>
        </w:rPr>
        <w:t>(</w:t>
      </w:r>
      <w:r w:rsidR="007114A9">
        <w:rPr>
          <w:bCs/>
        </w:rPr>
        <w:t>ie</w:t>
      </w:r>
      <w:r w:rsidR="009635C1">
        <w:rPr>
          <w:bCs/>
        </w:rPr>
        <w:t xml:space="preserve"> </w:t>
      </w:r>
      <w:r w:rsidR="00E616D6" w:rsidRPr="00E616D6">
        <w:rPr>
          <w:bCs/>
        </w:rPr>
        <w:t>60</w:t>
      </w:r>
      <w:r w:rsidR="001547E7">
        <w:rPr>
          <w:bCs/>
        </w:rPr>
        <w:t>–</w:t>
      </w:r>
      <w:r w:rsidR="00E616D6" w:rsidRPr="00E616D6">
        <w:rPr>
          <w:bCs/>
        </w:rPr>
        <w:t>120 g</w:t>
      </w:r>
      <w:r w:rsidR="009635C1">
        <w:rPr>
          <w:bCs/>
        </w:rPr>
        <w:t>.a.i.</w:t>
      </w:r>
      <w:r w:rsidR="00E616D6" w:rsidRPr="00E616D6">
        <w:rPr>
          <w:bCs/>
        </w:rPr>
        <w:t>/ha)</w:t>
      </w:r>
      <w:r w:rsidR="000B113B">
        <w:rPr>
          <w:bCs/>
        </w:rPr>
        <w:t xml:space="preserve"> demonstrated that the proposed product</w:t>
      </w:r>
      <w:r w:rsidR="00E616D6" w:rsidRPr="00E616D6">
        <w:rPr>
          <w:bCs/>
        </w:rPr>
        <w:t xml:space="preserve"> was effective in significantly reducing blackleg disease including stem cankers, leaf disease and improving yield compared to the untreated controls and was as effective as </w:t>
      </w:r>
      <w:r w:rsidR="006C41FB">
        <w:rPr>
          <w:bCs/>
        </w:rPr>
        <w:t>industry standards</w:t>
      </w:r>
      <w:r w:rsidR="00E616D6" w:rsidRPr="00E616D6">
        <w:rPr>
          <w:bCs/>
        </w:rPr>
        <w:t xml:space="preserve">. </w:t>
      </w:r>
      <w:r w:rsidR="0056358D">
        <w:rPr>
          <w:bCs/>
        </w:rPr>
        <w:t>A</w:t>
      </w:r>
      <w:r w:rsidR="00E616D6" w:rsidRPr="00E616D6">
        <w:rPr>
          <w:bCs/>
        </w:rPr>
        <w:t xml:space="preserve"> lower rate was effective when used in conjunction with</w:t>
      </w:r>
      <w:r w:rsidR="006C41FB">
        <w:rPr>
          <w:bCs/>
        </w:rPr>
        <w:t xml:space="preserve"> an industry standard</w:t>
      </w:r>
      <w:r w:rsidR="00E616D6" w:rsidRPr="00E616D6">
        <w:rPr>
          <w:bCs/>
        </w:rPr>
        <w:t xml:space="preserve"> seed treatment. The higher rate of 90</w:t>
      </w:r>
      <w:r w:rsidR="001547E7">
        <w:rPr>
          <w:bCs/>
        </w:rPr>
        <w:t>–</w:t>
      </w:r>
      <w:r w:rsidR="00E616D6" w:rsidRPr="00E616D6">
        <w:rPr>
          <w:bCs/>
        </w:rPr>
        <w:t>120 g</w:t>
      </w:r>
      <w:r w:rsidR="009635C1">
        <w:rPr>
          <w:bCs/>
        </w:rPr>
        <w:t>.a.i.</w:t>
      </w:r>
      <w:r w:rsidR="00E616D6" w:rsidRPr="00E616D6">
        <w:rPr>
          <w:bCs/>
        </w:rPr>
        <w:t>/ha was more effective if disease pressure was high, or if less resistant varieties were used</w:t>
      </w:r>
      <w:r w:rsidR="00951FD8">
        <w:rPr>
          <w:bCs/>
        </w:rPr>
        <w:t>,</w:t>
      </w:r>
      <w:r w:rsidR="00E616D6" w:rsidRPr="00E616D6">
        <w:rPr>
          <w:bCs/>
        </w:rPr>
        <w:t xml:space="preserve"> or in the absence of a seed treatment.</w:t>
      </w:r>
      <w:r w:rsidR="009635C1" w:rsidRPr="009635C1">
        <w:rPr>
          <w:rFonts w:cs="Times New Roman"/>
        </w:rPr>
        <w:t xml:space="preserve"> </w:t>
      </w:r>
    </w:p>
    <w:p w14:paraId="17958692" w14:textId="77777777" w:rsidR="001547E7" w:rsidRDefault="001547E7" w:rsidP="00E616D6">
      <w:pPr>
        <w:pStyle w:val="APVMAText"/>
        <w:rPr>
          <w:bCs/>
        </w:rPr>
        <w:sectPr w:rsidR="001547E7">
          <w:headerReference w:type="default" r:id="rId42"/>
          <w:pgSz w:w="11906" w:h="16838" w:code="9"/>
          <w:pgMar w:top="2835" w:right="1134" w:bottom="1134" w:left="1134" w:header="1701" w:footer="680" w:gutter="0"/>
          <w:cols w:space="708"/>
          <w:docGrid w:linePitch="360"/>
        </w:sectPr>
      </w:pPr>
    </w:p>
    <w:p w14:paraId="7D04E017" w14:textId="684E1C03" w:rsidR="006C41FB" w:rsidRDefault="00E616D6" w:rsidP="00E616D6">
      <w:pPr>
        <w:pStyle w:val="APVMAText"/>
        <w:rPr>
          <w:bCs/>
        </w:rPr>
      </w:pPr>
      <w:r w:rsidRPr="00E616D6">
        <w:rPr>
          <w:bCs/>
        </w:rPr>
        <w:lastRenderedPageBreak/>
        <w:t xml:space="preserve">Two Australian trials were </w:t>
      </w:r>
      <w:r w:rsidR="00DE0A65">
        <w:rPr>
          <w:bCs/>
        </w:rPr>
        <w:t>undertaken to demonstrate effectiveness on</w:t>
      </w:r>
      <w:r w:rsidRPr="00E616D6">
        <w:rPr>
          <w:bCs/>
        </w:rPr>
        <w:t xml:space="preserve"> white leaf spot in canola</w:t>
      </w:r>
      <w:r w:rsidR="00DE0A65">
        <w:rPr>
          <w:bCs/>
        </w:rPr>
        <w:t xml:space="preserve">. Application </w:t>
      </w:r>
      <w:r w:rsidRPr="00E616D6">
        <w:rPr>
          <w:bCs/>
        </w:rPr>
        <w:t xml:space="preserve">at </w:t>
      </w:r>
      <w:r w:rsidR="00694383">
        <w:rPr>
          <w:bCs/>
        </w:rPr>
        <w:t xml:space="preserve">the </w:t>
      </w:r>
      <w:r w:rsidRPr="00E616D6">
        <w:rPr>
          <w:bCs/>
        </w:rPr>
        <w:t xml:space="preserve">rates </w:t>
      </w:r>
      <w:r w:rsidRPr="00694383">
        <w:rPr>
          <w:bCs/>
        </w:rPr>
        <w:t>of 45 and 90 g</w:t>
      </w:r>
      <w:r w:rsidR="00694383" w:rsidRPr="00694383">
        <w:rPr>
          <w:bCs/>
        </w:rPr>
        <w:t>.a.i.</w:t>
      </w:r>
      <w:r w:rsidRPr="00694383">
        <w:rPr>
          <w:bCs/>
        </w:rPr>
        <w:t>/ha</w:t>
      </w:r>
      <w:r w:rsidRPr="00E616D6">
        <w:rPr>
          <w:bCs/>
        </w:rPr>
        <w:t xml:space="preserve"> at 4</w:t>
      </w:r>
      <w:r w:rsidR="001547E7">
        <w:rPr>
          <w:bCs/>
        </w:rPr>
        <w:t>–</w:t>
      </w:r>
      <w:r w:rsidRPr="00E616D6">
        <w:rPr>
          <w:bCs/>
        </w:rPr>
        <w:t xml:space="preserve">6 leaf stage were effective in reducing white leaf spot in canola </w:t>
      </w:r>
      <w:r w:rsidR="001547E7">
        <w:rPr>
          <w:bCs/>
        </w:rPr>
        <w:br/>
      </w:r>
      <w:r w:rsidRPr="00E616D6">
        <w:rPr>
          <w:bCs/>
        </w:rPr>
        <w:t xml:space="preserve">(as were </w:t>
      </w:r>
      <w:r w:rsidR="00951FD8">
        <w:rPr>
          <w:bCs/>
        </w:rPr>
        <w:t>higher rates up to</w:t>
      </w:r>
      <w:r w:rsidRPr="00E616D6">
        <w:rPr>
          <w:bCs/>
        </w:rPr>
        <w:t xml:space="preserve"> 200 and 400 g</w:t>
      </w:r>
      <w:r w:rsidR="00694383">
        <w:rPr>
          <w:bCs/>
        </w:rPr>
        <w:t>.a.i.</w:t>
      </w:r>
      <w:r w:rsidRPr="00E616D6">
        <w:rPr>
          <w:bCs/>
        </w:rPr>
        <w:t>/ha)</w:t>
      </w:r>
      <w:r w:rsidR="008B330A">
        <w:rPr>
          <w:bCs/>
        </w:rPr>
        <w:t>,</w:t>
      </w:r>
      <w:r w:rsidRPr="00E616D6">
        <w:rPr>
          <w:bCs/>
        </w:rPr>
        <w:t xml:space="preserve"> and</w:t>
      </w:r>
      <w:r w:rsidR="008B330A">
        <w:rPr>
          <w:bCs/>
        </w:rPr>
        <w:t xml:space="preserve"> application at the proposed label rates</w:t>
      </w:r>
      <w:r w:rsidRPr="00E616D6">
        <w:rPr>
          <w:bCs/>
        </w:rPr>
        <w:t xml:space="preserve"> was as effective as </w:t>
      </w:r>
      <w:r w:rsidR="00694383">
        <w:rPr>
          <w:bCs/>
        </w:rPr>
        <w:t>an industry standard</w:t>
      </w:r>
      <w:r w:rsidRPr="00E616D6">
        <w:rPr>
          <w:bCs/>
        </w:rPr>
        <w:t>.</w:t>
      </w:r>
    </w:p>
    <w:p w14:paraId="2DCCB3FC" w14:textId="789284A5" w:rsidR="00951FD8" w:rsidRDefault="00521F3F" w:rsidP="00E616D6">
      <w:pPr>
        <w:pStyle w:val="APVMAText"/>
        <w:rPr>
          <w:bCs/>
        </w:rPr>
      </w:pPr>
      <w:r>
        <w:rPr>
          <w:bCs/>
        </w:rPr>
        <w:t xml:space="preserve">Trial data </w:t>
      </w:r>
      <w:r w:rsidR="00951FD8" w:rsidRPr="00951FD8">
        <w:rPr>
          <w:bCs/>
        </w:rPr>
        <w:t xml:space="preserve">on </w:t>
      </w:r>
      <w:r>
        <w:rPr>
          <w:bCs/>
        </w:rPr>
        <w:t xml:space="preserve">common </w:t>
      </w:r>
      <w:r w:rsidR="00951FD8" w:rsidRPr="00951FD8">
        <w:rPr>
          <w:bCs/>
        </w:rPr>
        <w:t xml:space="preserve">canola </w:t>
      </w:r>
      <w:r>
        <w:rPr>
          <w:bCs/>
        </w:rPr>
        <w:t xml:space="preserve">varieties </w:t>
      </w:r>
      <w:r w:rsidR="00951FD8" w:rsidRPr="00951FD8">
        <w:rPr>
          <w:bCs/>
        </w:rPr>
        <w:t xml:space="preserve">at the </w:t>
      </w:r>
      <w:r>
        <w:rPr>
          <w:bCs/>
        </w:rPr>
        <w:t xml:space="preserve">proposed </w:t>
      </w:r>
      <w:r w:rsidR="00951FD8" w:rsidRPr="00951FD8">
        <w:rPr>
          <w:bCs/>
        </w:rPr>
        <w:t>label rates</w:t>
      </w:r>
      <w:r w:rsidR="00865B09">
        <w:rPr>
          <w:bCs/>
        </w:rPr>
        <w:t xml:space="preserve"> and above</w:t>
      </w:r>
      <w:r>
        <w:rPr>
          <w:bCs/>
        </w:rPr>
        <w:t xml:space="preserve"> (up to </w:t>
      </w:r>
      <w:r w:rsidR="00865B09">
        <w:rPr>
          <w:bCs/>
        </w:rPr>
        <w:t>X2 label rate)</w:t>
      </w:r>
      <w:r>
        <w:rPr>
          <w:bCs/>
        </w:rPr>
        <w:t xml:space="preserve"> demonstrated satisfactory crop safety</w:t>
      </w:r>
      <w:r w:rsidR="00951FD8" w:rsidRPr="00951FD8">
        <w:rPr>
          <w:bCs/>
        </w:rPr>
        <w:t>.</w:t>
      </w:r>
    </w:p>
    <w:p w14:paraId="1B823624" w14:textId="3483A7FA" w:rsidR="006C41FB" w:rsidRDefault="006C41FB" w:rsidP="006C41FB">
      <w:pPr>
        <w:pStyle w:val="Heading4"/>
      </w:pPr>
      <w:r>
        <w:t>Grapevines</w:t>
      </w:r>
    </w:p>
    <w:p w14:paraId="2BB44FCA" w14:textId="0B25EFF7" w:rsidR="00E616D6" w:rsidRDefault="00E616D6" w:rsidP="00E616D6">
      <w:pPr>
        <w:pStyle w:val="APVMAText"/>
        <w:rPr>
          <w:bCs/>
        </w:rPr>
      </w:pPr>
      <w:r w:rsidRPr="00E616D6">
        <w:rPr>
          <w:bCs/>
        </w:rPr>
        <w:t xml:space="preserve">Data from 13 Australian field trials </w:t>
      </w:r>
      <w:r w:rsidR="00DE0A65" w:rsidRPr="00E616D6">
        <w:rPr>
          <w:bCs/>
        </w:rPr>
        <w:t xml:space="preserve">were submitted </w:t>
      </w:r>
      <w:r w:rsidR="00DE0A65">
        <w:rPr>
          <w:bCs/>
        </w:rPr>
        <w:t xml:space="preserve">to demonstrate </w:t>
      </w:r>
      <w:r w:rsidR="00DE0A65" w:rsidRPr="00E616D6">
        <w:rPr>
          <w:bCs/>
        </w:rPr>
        <w:t>efficacy and crop safety against powdery mildew</w:t>
      </w:r>
      <w:r w:rsidR="00DE0A65">
        <w:rPr>
          <w:bCs/>
        </w:rPr>
        <w:t xml:space="preserve"> in several varieties of grapes (</w:t>
      </w:r>
      <w:r w:rsidR="00DE0A65" w:rsidRPr="00E616D6">
        <w:rPr>
          <w:bCs/>
        </w:rPr>
        <w:t>wine and table</w:t>
      </w:r>
      <w:r w:rsidR="00DE0A65">
        <w:rPr>
          <w:bCs/>
        </w:rPr>
        <w:t>)</w:t>
      </w:r>
      <w:r w:rsidR="00DE0A65" w:rsidRPr="00E616D6" w:rsidDel="00DE0A65">
        <w:rPr>
          <w:bCs/>
        </w:rPr>
        <w:t xml:space="preserve"> </w:t>
      </w:r>
      <w:r w:rsidRPr="00E616D6">
        <w:rPr>
          <w:bCs/>
        </w:rPr>
        <w:t xml:space="preserve"> at </w:t>
      </w:r>
      <w:r w:rsidR="00DE0A65">
        <w:rPr>
          <w:bCs/>
        </w:rPr>
        <w:t xml:space="preserve">application rates </w:t>
      </w:r>
      <w:r w:rsidRPr="00E616D6">
        <w:rPr>
          <w:bCs/>
        </w:rPr>
        <w:t xml:space="preserve">of up to </w:t>
      </w:r>
      <w:r w:rsidR="00694383">
        <w:rPr>
          <w:bCs/>
        </w:rPr>
        <w:t>300 mL/100</w:t>
      </w:r>
      <w:r w:rsidR="001547E7">
        <w:rPr>
          <w:bCs/>
        </w:rPr>
        <w:t xml:space="preserve"> </w:t>
      </w:r>
      <w:r w:rsidR="00694383">
        <w:rPr>
          <w:bCs/>
        </w:rPr>
        <w:t xml:space="preserve">L </w:t>
      </w:r>
      <w:r w:rsidR="001547E7">
        <w:rPr>
          <w:bCs/>
        </w:rPr>
        <w:br/>
      </w:r>
      <w:r w:rsidR="00694383" w:rsidRPr="00694383">
        <w:rPr>
          <w:bCs/>
        </w:rPr>
        <w:t>(</w:t>
      </w:r>
      <w:r w:rsidRPr="00694383">
        <w:rPr>
          <w:bCs/>
        </w:rPr>
        <w:t>60 g</w:t>
      </w:r>
      <w:r w:rsidR="00694383" w:rsidRPr="00694383">
        <w:rPr>
          <w:bCs/>
        </w:rPr>
        <w:t>.a.i./100</w:t>
      </w:r>
      <w:r w:rsidRPr="00694383">
        <w:rPr>
          <w:bCs/>
        </w:rPr>
        <w:t>L</w:t>
      </w:r>
      <w:r w:rsidR="00694383" w:rsidRPr="00694383">
        <w:rPr>
          <w:bCs/>
        </w:rPr>
        <w:t>)</w:t>
      </w:r>
      <w:r w:rsidRPr="00E616D6">
        <w:rPr>
          <w:bCs/>
        </w:rPr>
        <w:t xml:space="preserve">. </w:t>
      </w:r>
      <w:r w:rsidR="00DE0A65">
        <w:rPr>
          <w:bCs/>
        </w:rPr>
        <w:t>A</w:t>
      </w:r>
      <w:r w:rsidRPr="00E616D6">
        <w:rPr>
          <w:bCs/>
        </w:rPr>
        <w:t xml:space="preserve">t the proposed label rate of </w:t>
      </w:r>
      <w:r w:rsidRPr="00694383">
        <w:rPr>
          <w:bCs/>
        </w:rPr>
        <w:t>20 mL/100 L (4 g</w:t>
      </w:r>
      <w:r w:rsidR="00694383" w:rsidRPr="00694383">
        <w:rPr>
          <w:bCs/>
        </w:rPr>
        <w:t>.a.i.</w:t>
      </w:r>
      <w:r w:rsidRPr="00694383">
        <w:rPr>
          <w:bCs/>
        </w:rPr>
        <w:t>/100 L)</w:t>
      </w:r>
      <w:r w:rsidRPr="00E616D6">
        <w:rPr>
          <w:bCs/>
        </w:rPr>
        <w:t xml:space="preserve"> </w:t>
      </w:r>
      <w:r w:rsidR="00DE0A65">
        <w:rPr>
          <w:bCs/>
        </w:rPr>
        <w:t>the product</w:t>
      </w:r>
      <w:r w:rsidRPr="00E616D6">
        <w:rPr>
          <w:bCs/>
        </w:rPr>
        <w:t xml:space="preserve"> significantly </w:t>
      </w:r>
      <w:r w:rsidR="00DE0A65" w:rsidRPr="00E616D6">
        <w:rPr>
          <w:bCs/>
        </w:rPr>
        <w:t>reduc</w:t>
      </w:r>
      <w:r w:rsidR="00DE0A65">
        <w:rPr>
          <w:bCs/>
        </w:rPr>
        <w:t xml:space="preserve">ed </w:t>
      </w:r>
      <w:r w:rsidRPr="00E616D6">
        <w:rPr>
          <w:bCs/>
        </w:rPr>
        <w:t xml:space="preserve">powdery mildew disease in leaves and bunches compared to the untreated controls and was as effective as </w:t>
      </w:r>
      <w:r w:rsidR="009674AE">
        <w:rPr>
          <w:bCs/>
        </w:rPr>
        <w:t>the industry standard fungicides</w:t>
      </w:r>
      <w:r w:rsidRPr="00E616D6">
        <w:rPr>
          <w:bCs/>
        </w:rPr>
        <w:t xml:space="preserve">. </w:t>
      </w:r>
      <w:r w:rsidR="00DE0A65">
        <w:rPr>
          <w:bCs/>
        </w:rPr>
        <w:t>There was no evidence of phytotoxicity on grapes at any of the application rates trialled</w:t>
      </w:r>
      <w:r w:rsidR="00865B09">
        <w:rPr>
          <w:bCs/>
        </w:rPr>
        <w:t xml:space="preserve"> at up to X3 label rate</w:t>
      </w:r>
      <w:r w:rsidR="00DE0A65">
        <w:rPr>
          <w:bCs/>
        </w:rPr>
        <w:t xml:space="preserve">. </w:t>
      </w:r>
    </w:p>
    <w:p w14:paraId="39CFEEB3" w14:textId="79050A70" w:rsidR="006C41FB" w:rsidRPr="00E616D6" w:rsidRDefault="006C41FB" w:rsidP="006C41FB">
      <w:pPr>
        <w:pStyle w:val="Heading4"/>
      </w:pPr>
      <w:r>
        <w:t>Potatoes</w:t>
      </w:r>
    </w:p>
    <w:p w14:paraId="7483D002" w14:textId="498F7497" w:rsidR="00E616D6" w:rsidRPr="007A42F0" w:rsidRDefault="00E616D6" w:rsidP="00804345">
      <w:pPr>
        <w:pStyle w:val="APVMAText"/>
        <w:rPr>
          <w:bCs/>
        </w:rPr>
      </w:pPr>
      <w:r w:rsidRPr="00E616D6">
        <w:rPr>
          <w:bCs/>
        </w:rPr>
        <w:t xml:space="preserve">Data from 17 Australian field trials </w:t>
      </w:r>
      <w:r w:rsidR="00DE0A65">
        <w:rPr>
          <w:bCs/>
        </w:rPr>
        <w:t xml:space="preserve">were submitted to demonstrate </w:t>
      </w:r>
      <w:r w:rsidR="00DE0A65" w:rsidRPr="00E616D6">
        <w:rPr>
          <w:bCs/>
        </w:rPr>
        <w:t xml:space="preserve">efficacy and crop safety against early blight in several varieties of potato </w:t>
      </w:r>
      <w:r w:rsidR="00DE0A65">
        <w:rPr>
          <w:bCs/>
        </w:rPr>
        <w:t>when the p</w:t>
      </w:r>
      <w:r w:rsidR="00951FD8">
        <w:rPr>
          <w:bCs/>
        </w:rPr>
        <w:t>roduct is applied</w:t>
      </w:r>
      <w:r w:rsidR="00DE0A65">
        <w:rPr>
          <w:bCs/>
        </w:rPr>
        <w:t xml:space="preserve"> </w:t>
      </w:r>
      <w:r w:rsidRPr="00E616D6">
        <w:rPr>
          <w:bCs/>
        </w:rPr>
        <w:t xml:space="preserve">at rates of up to </w:t>
      </w:r>
      <w:r w:rsidR="00694383">
        <w:rPr>
          <w:bCs/>
        </w:rPr>
        <w:t>1</w:t>
      </w:r>
      <w:r w:rsidR="001547E7">
        <w:rPr>
          <w:bCs/>
        </w:rPr>
        <w:t xml:space="preserve"> </w:t>
      </w:r>
      <w:r w:rsidR="00694383">
        <w:rPr>
          <w:bCs/>
        </w:rPr>
        <w:t xml:space="preserve">L/ha </w:t>
      </w:r>
      <w:r w:rsidR="00694383" w:rsidRPr="00694383">
        <w:rPr>
          <w:bCs/>
        </w:rPr>
        <w:t>(</w:t>
      </w:r>
      <w:r w:rsidRPr="00694383">
        <w:rPr>
          <w:bCs/>
        </w:rPr>
        <w:t>200 g</w:t>
      </w:r>
      <w:r w:rsidR="00694383" w:rsidRPr="00694383">
        <w:rPr>
          <w:bCs/>
        </w:rPr>
        <w:t>.a.i.</w:t>
      </w:r>
      <w:r w:rsidRPr="00694383">
        <w:rPr>
          <w:bCs/>
        </w:rPr>
        <w:t>/ha</w:t>
      </w:r>
      <w:r w:rsidR="00694383" w:rsidRPr="00694383">
        <w:rPr>
          <w:bCs/>
        </w:rPr>
        <w:t>)</w:t>
      </w:r>
      <w:r w:rsidRPr="00E616D6">
        <w:rPr>
          <w:bCs/>
        </w:rPr>
        <w:t xml:space="preserve"> . </w:t>
      </w:r>
      <w:r w:rsidR="00DE0A65">
        <w:rPr>
          <w:bCs/>
        </w:rPr>
        <w:t>T</w:t>
      </w:r>
      <w:r w:rsidRPr="00E616D6">
        <w:rPr>
          <w:bCs/>
        </w:rPr>
        <w:t xml:space="preserve">he proposed label rate of </w:t>
      </w:r>
      <w:r w:rsidR="001547E7">
        <w:rPr>
          <w:bCs/>
        </w:rPr>
        <w:t>250 to 375 mL/ha (50–</w:t>
      </w:r>
      <w:r w:rsidRPr="00694383">
        <w:rPr>
          <w:bCs/>
        </w:rPr>
        <w:t>75 g</w:t>
      </w:r>
      <w:r w:rsidR="00694383" w:rsidRPr="00694383">
        <w:rPr>
          <w:bCs/>
        </w:rPr>
        <w:t>.a.i.</w:t>
      </w:r>
      <w:r w:rsidRPr="00694383">
        <w:rPr>
          <w:bCs/>
        </w:rPr>
        <w:t>/ha)</w:t>
      </w:r>
      <w:r w:rsidRPr="00E616D6">
        <w:rPr>
          <w:bCs/>
        </w:rPr>
        <w:t xml:space="preserve"> in potato applied at 7</w:t>
      </w:r>
      <w:r w:rsidR="001547E7">
        <w:rPr>
          <w:bCs/>
        </w:rPr>
        <w:t>–</w:t>
      </w:r>
      <w:r w:rsidRPr="00E616D6">
        <w:rPr>
          <w:bCs/>
        </w:rPr>
        <w:t xml:space="preserve">14 day intervals was effective in reducing early blight disease incidence and severity on leaves compared to the untreated controls and was as effective as the </w:t>
      </w:r>
      <w:r w:rsidR="009674AE">
        <w:rPr>
          <w:bCs/>
        </w:rPr>
        <w:t xml:space="preserve">industry </w:t>
      </w:r>
      <w:r w:rsidRPr="00E616D6">
        <w:rPr>
          <w:bCs/>
        </w:rPr>
        <w:t>standard fungicides. The higher rate of 75 g</w:t>
      </w:r>
      <w:r w:rsidR="00694383">
        <w:rPr>
          <w:bCs/>
        </w:rPr>
        <w:t>.a.i.</w:t>
      </w:r>
      <w:r w:rsidRPr="00E616D6">
        <w:rPr>
          <w:bCs/>
        </w:rPr>
        <w:t>/ha was effective if spray intervals were increased to 21</w:t>
      </w:r>
      <w:r w:rsidR="001547E7">
        <w:rPr>
          <w:bCs/>
        </w:rPr>
        <w:t>–</w:t>
      </w:r>
      <w:r w:rsidRPr="00E616D6">
        <w:rPr>
          <w:bCs/>
        </w:rPr>
        <w:t xml:space="preserve">day intervals. </w:t>
      </w:r>
      <w:r w:rsidR="00DE0A65" w:rsidRPr="00DE0A65">
        <w:rPr>
          <w:bCs/>
        </w:rPr>
        <w:t xml:space="preserve">There was no evidence of phytotoxicity on </w:t>
      </w:r>
      <w:r w:rsidR="00DE0A65">
        <w:rPr>
          <w:bCs/>
        </w:rPr>
        <w:t>potatoes</w:t>
      </w:r>
      <w:r w:rsidR="00DE0A65" w:rsidRPr="00DE0A65">
        <w:rPr>
          <w:bCs/>
        </w:rPr>
        <w:t xml:space="preserve"> at any of </w:t>
      </w:r>
      <w:r w:rsidR="00DE0A65">
        <w:rPr>
          <w:bCs/>
        </w:rPr>
        <w:t>the application rates trialled</w:t>
      </w:r>
      <w:r w:rsidR="00865B09">
        <w:rPr>
          <w:bCs/>
        </w:rPr>
        <w:t xml:space="preserve"> at up to X2 label rate and five spray applications</w:t>
      </w:r>
      <w:r w:rsidR="007A42F0">
        <w:rPr>
          <w:bCs/>
        </w:rPr>
        <w:t>.</w:t>
      </w:r>
    </w:p>
    <w:p w14:paraId="4EE5D32B" w14:textId="042BC9E6" w:rsidR="00A828BE" w:rsidRPr="00A828BE" w:rsidRDefault="00A828BE" w:rsidP="00A828BE">
      <w:pPr>
        <w:pStyle w:val="Heading3"/>
      </w:pPr>
      <w:r>
        <w:t>Resistance management</w:t>
      </w:r>
    </w:p>
    <w:p w14:paraId="17D1BCE0" w14:textId="2D391D85" w:rsidR="00F27E0D" w:rsidRDefault="002541CD">
      <w:pPr>
        <w:pStyle w:val="APVMAText"/>
      </w:pPr>
      <w:r w:rsidRPr="002541CD">
        <w:t>Pydiflumetofen is a new broad-spectrum fungicide of the chemical group of N-methoxy-(phenyl-ethyl)-pyrazole-carboxamide). The mode of action of the active substance is respiration inhibition at complex II (Succinate-Dehydrogenase) in mitochondria of phytopathogenic fungi, thus pydiflumetofen belongs to the SDHI fungicide group.</w:t>
      </w:r>
      <w:r w:rsidR="007A42F0">
        <w:t xml:space="preserve"> For the purpose of f</w:t>
      </w:r>
      <w:r>
        <w:t xml:space="preserve">ungicide resistance management, </w:t>
      </w:r>
      <w:r w:rsidR="00930803" w:rsidRPr="005F3696">
        <w:t>Miravis Fungicide</w:t>
      </w:r>
      <w:r w:rsidR="00930803">
        <w:t xml:space="preserve"> </w:t>
      </w:r>
      <w:r w:rsidR="007A42F0">
        <w:t>is a Group 7 fungicide.</w:t>
      </w:r>
      <w:r>
        <w:t xml:space="preserve"> </w:t>
      </w:r>
    </w:p>
    <w:p w14:paraId="1EED386D" w14:textId="774B7EE8" w:rsidR="00A828BE" w:rsidRDefault="00A828BE" w:rsidP="00A828BE">
      <w:pPr>
        <w:pStyle w:val="Heading2"/>
      </w:pPr>
      <w:bookmarkStart w:id="60" w:name="_Toc507406693"/>
      <w:r>
        <w:t>Conclusions</w:t>
      </w:r>
      <w:bookmarkEnd w:id="60"/>
    </w:p>
    <w:p w14:paraId="7E5AD6E2" w14:textId="57A7C696" w:rsidR="007A42F0" w:rsidRPr="007A42F0" w:rsidRDefault="007A42F0" w:rsidP="007A42F0">
      <w:pPr>
        <w:pStyle w:val="APVMAText"/>
        <w:sectPr w:rsidR="007A42F0" w:rsidRPr="007A42F0">
          <w:pgSz w:w="11906" w:h="16838" w:code="9"/>
          <w:pgMar w:top="2835" w:right="1134" w:bottom="1134" w:left="1134" w:header="1701" w:footer="680" w:gutter="0"/>
          <w:cols w:space="708"/>
          <w:docGrid w:linePitch="360"/>
        </w:sectPr>
      </w:pPr>
      <w:r>
        <w:t xml:space="preserve">The product </w:t>
      </w:r>
      <w:r w:rsidRPr="005F3696">
        <w:rPr>
          <w:caps/>
        </w:rPr>
        <w:t>Miravis Fungicide</w:t>
      </w:r>
      <w:r>
        <w:t xml:space="preserve"> acts as a broad-spectrum fungicide and is expected to provide safe and efficacious control of the nominated diseases of canola, grapevines and potatoes when used as directed on the proposed label.</w:t>
      </w:r>
    </w:p>
    <w:p w14:paraId="098F6356" w14:textId="77777777" w:rsidR="00F27E0D" w:rsidRDefault="00F27E0D">
      <w:pPr>
        <w:pStyle w:val="Heading1"/>
      </w:pPr>
      <w:bookmarkStart w:id="61" w:name="_Toc507406694"/>
      <w:r>
        <w:lastRenderedPageBreak/>
        <w:t>Labelling requirements</w:t>
      </w:r>
      <w:bookmarkEnd w:id="61"/>
    </w:p>
    <w:p w14:paraId="78F96DCF" w14:textId="77777777" w:rsidR="00F27E0D" w:rsidRDefault="00F27E0D">
      <w:pPr>
        <w:pStyle w:val="APVMAText"/>
      </w:pPr>
    </w:p>
    <w:p w14:paraId="13F68C1F" w14:textId="77777777" w:rsidR="00F27E0D" w:rsidRDefault="00F27E0D">
      <w:pPr>
        <w:pStyle w:val="APVMAText"/>
      </w:pPr>
    </w:p>
    <w:p w14:paraId="746A46B8" w14:textId="77777777" w:rsidR="00F27E0D" w:rsidRDefault="00F27E0D">
      <w:pPr>
        <w:pStyle w:val="APVMAText"/>
      </w:pPr>
    </w:p>
    <w:p w14:paraId="22DB92F1" w14:textId="77777777" w:rsidR="009674AE" w:rsidRPr="009674AE" w:rsidRDefault="009674AE" w:rsidP="009674AE">
      <w:pPr>
        <w:rPr>
          <w:rFonts w:cs="Arial"/>
          <w:b/>
          <w:bCs/>
          <w:sz w:val="24"/>
          <w:szCs w:val="20"/>
        </w:rPr>
      </w:pPr>
      <w:r w:rsidRPr="009674AE">
        <w:rPr>
          <w:rFonts w:cs="Arial"/>
          <w:b/>
          <w:bCs/>
          <w:snapToGrid w:val="0"/>
          <w:sz w:val="24"/>
          <w:szCs w:val="20"/>
        </w:rPr>
        <w:t>READ SAFETY DIRECTIONS BEFORE OPENING OR USING</w:t>
      </w:r>
    </w:p>
    <w:p w14:paraId="5CA0EA9C" w14:textId="77777777" w:rsidR="009674AE" w:rsidRPr="009674AE" w:rsidRDefault="00066006" w:rsidP="009674AE">
      <w:pPr>
        <w:rPr>
          <w:rFonts w:cs="Arial"/>
          <w:szCs w:val="20"/>
        </w:rPr>
      </w:pPr>
      <w:r>
        <w:rPr>
          <w:rFonts w:cs="Arial"/>
          <w:szCs w:val="20"/>
        </w:rPr>
        <w:object w:dxaOrig="1440" w:dyaOrig="1440" w14:anchorId="1F8A3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Image of main label" style="position:absolute;margin-left:.3pt;margin-top:.55pt;width:452.8pt;height:453.7pt;z-index:-251654656">
            <v:imagedata r:id="rId43" o:title="" grayscale="t"/>
          </v:shape>
          <o:OLEObject Type="Embed" ProgID="Unknown" ShapeID="_x0000_s1028" DrawAspect="Content" ObjectID="_1581148667" r:id="rId44"/>
        </w:object>
      </w:r>
    </w:p>
    <w:p w14:paraId="24555251" w14:textId="77777777" w:rsidR="009674AE" w:rsidRPr="009674AE" w:rsidRDefault="009674AE" w:rsidP="009674AE">
      <w:pPr>
        <w:rPr>
          <w:rFonts w:cs="Arial"/>
          <w:szCs w:val="20"/>
        </w:rPr>
      </w:pPr>
      <w:r w:rsidRPr="009674AE">
        <w:rPr>
          <w:rFonts w:cs="Arial"/>
          <w:noProof/>
          <w:szCs w:val="20"/>
          <w:lang w:eastAsia="en-AU"/>
        </w:rPr>
        <mc:AlternateContent>
          <mc:Choice Requires="wps">
            <w:drawing>
              <wp:anchor distT="0" distB="0" distL="114300" distR="114300" simplePos="0" relativeHeight="251658752" behindDoc="0" locked="0" layoutInCell="1" allowOverlap="1" wp14:anchorId="41218726" wp14:editId="294C0B7B">
                <wp:simplePos x="0" y="0"/>
                <wp:positionH relativeFrom="column">
                  <wp:posOffset>3810</wp:posOffset>
                </wp:positionH>
                <wp:positionV relativeFrom="paragraph">
                  <wp:posOffset>53340</wp:posOffset>
                </wp:positionV>
                <wp:extent cx="5750560" cy="1150620"/>
                <wp:effectExtent l="0" t="0" r="2540" b="0"/>
                <wp:wrapNone/>
                <wp:docPr id="4" name="Text Box 30" descr="Name of product" title="Miravis Fungic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1150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E2F23" w14:textId="77777777" w:rsidR="006719DB" w:rsidRPr="00464BB6" w:rsidRDefault="006719DB" w:rsidP="009674AE">
                            <w:pPr>
                              <w:ind w:left="1134" w:right="21"/>
                              <w:rPr>
                                <w:rFonts w:cs="Arial"/>
                              </w:rPr>
                            </w:pPr>
                            <w:r>
                              <w:rPr>
                                <w:rFonts w:cs="Arial"/>
                                <w:b/>
                                <w:sz w:val="72"/>
                                <w:szCs w:val="72"/>
                              </w:rPr>
                              <w:t>MIRAVIS™</w:t>
                            </w:r>
                            <w:r w:rsidRPr="00464BB6">
                              <w:rPr>
                                <w:rFonts w:cs="Arial"/>
                                <w:b/>
                                <w:sz w:val="72"/>
                                <w:szCs w:val="72"/>
                              </w:rPr>
                              <w:t xml:space="preserve"> Fungicide</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18726" id="Text Box 30" o:spid="_x0000_s1027" type="#_x0000_t202" alt="Title: Miravis Fungicide - Description: Name of product" style="position:absolute;margin-left:.3pt;margin-top:4.2pt;width:452.8pt;height:9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" stroked="f">
                <v:textbox inset="1mm,1mm,1mm,1mm">
                  <w:txbxContent>
                    <w:p w14:paraId="089E2F23" w14:textId="77777777" w:rsidR="006719DB" w:rsidRPr="00464BB6" w:rsidRDefault="006719DB" w:rsidP="009674AE">
                      <w:pPr>
                        <w:ind w:left="1134" w:right="21"/>
                        <w:rPr>
                          <w:rFonts w:cs="Arial"/>
                        </w:rPr>
                      </w:pPr>
                      <w:r>
                        <w:rPr>
                          <w:rFonts w:cs="Arial"/>
                          <w:b/>
                          <w:sz w:val="72"/>
                          <w:szCs w:val="72"/>
                        </w:rPr>
                        <w:t>MIRAVIS™</w:t>
                      </w:r>
                      <w:r w:rsidRPr="00464BB6">
                        <w:rPr>
                          <w:rFonts w:cs="Arial"/>
                          <w:b/>
                          <w:sz w:val="72"/>
                          <w:szCs w:val="72"/>
                        </w:rPr>
                        <w:t xml:space="preserve"> Fungicide</w:t>
                      </w:r>
                    </w:p>
                  </w:txbxContent>
                </v:textbox>
              </v:shape>
            </w:pict>
          </mc:Fallback>
        </mc:AlternateContent>
      </w:r>
    </w:p>
    <w:p w14:paraId="7843B9A0" w14:textId="77777777" w:rsidR="009674AE" w:rsidRPr="009674AE" w:rsidRDefault="009674AE" w:rsidP="009674AE">
      <w:pPr>
        <w:rPr>
          <w:rFonts w:cs="Arial"/>
          <w:szCs w:val="20"/>
        </w:rPr>
      </w:pPr>
    </w:p>
    <w:p w14:paraId="593524E9" w14:textId="77777777" w:rsidR="009674AE" w:rsidRPr="009674AE" w:rsidRDefault="009674AE" w:rsidP="009674AE">
      <w:pPr>
        <w:rPr>
          <w:rFonts w:cs="Arial"/>
          <w:szCs w:val="20"/>
        </w:rPr>
      </w:pPr>
    </w:p>
    <w:p w14:paraId="66D5ED29" w14:textId="77777777" w:rsidR="009674AE" w:rsidRPr="009674AE" w:rsidRDefault="009674AE" w:rsidP="009674AE">
      <w:pPr>
        <w:rPr>
          <w:rFonts w:cs="Arial"/>
          <w:szCs w:val="20"/>
        </w:rPr>
      </w:pPr>
    </w:p>
    <w:p w14:paraId="37F83B07" w14:textId="77777777" w:rsidR="009674AE" w:rsidRPr="009674AE" w:rsidRDefault="009674AE" w:rsidP="009674AE">
      <w:pPr>
        <w:rPr>
          <w:rFonts w:cs="Arial"/>
          <w:szCs w:val="20"/>
        </w:rPr>
      </w:pPr>
    </w:p>
    <w:p w14:paraId="48FD3C0E" w14:textId="77777777" w:rsidR="009674AE" w:rsidRPr="009674AE" w:rsidRDefault="009674AE" w:rsidP="009674AE">
      <w:pPr>
        <w:rPr>
          <w:rFonts w:cs="Arial"/>
          <w:szCs w:val="20"/>
        </w:rPr>
      </w:pPr>
    </w:p>
    <w:p w14:paraId="35F5CDFD" w14:textId="77777777" w:rsidR="009674AE" w:rsidRPr="009674AE" w:rsidRDefault="009674AE" w:rsidP="009674AE">
      <w:pPr>
        <w:rPr>
          <w:rFonts w:cs="Arial"/>
          <w:szCs w:val="20"/>
        </w:rPr>
      </w:pPr>
    </w:p>
    <w:p w14:paraId="31EC21C7" w14:textId="77777777" w:rsidR="009674AE" w:rsidRPr="009674AE" w:rsidRDefault="009674AE" w:rsidP="009674AE">
      <w:pPr>
        <w:rPr>
          <w:rFonts w:cs="Arial"/>
          <w:szCs w:val="20"/>
        </w:rPr>
      </w:pPr>
    </w:p>
    <w:p w14:paraId="4AD891FB" w14:textId="77777777" w:rsidR="009674AE" w:rsidRPr="009674AE" w:rsidRDefault="009674AE" w:rsidP="009674AE">
      <w:pPr>
        <w:rPr>
          <w:rFonts w:cs="Arial"/>
          <w:szCs w:val="20"/>
        </w:rPr>
      </w:pPr>
    </w:p>
    <w:p w14:paraId="716516FB" w14:textId="77777777" w:rsidR="009674AE" w:rsidRPr="009674AE" w:rsidRDefault="009674AE" w:rsidP="009674AE">
      <w:pPr>
        <w:rPr>
          <w:rFonts w:cs="Arial"/>
          <w:szCs w:val="20"/>
        </w:rPr>
      </w:pPr>
    </w:p>
    <w:p w14:paraId="4E2FA25B" w14:textId="77777777" w:rsidR="009674AE" w:rsidRPr="009674AE" w:rsidRDefault="009674AE" w:rsidP="009674AE">
      <w:pPr>
        <w:rPr>
          <w:rFonts w:cs="Arial"/>
          <w:szCs w:val="20"/>
        </w:rPr>
      </w:pPr>
    </w:p>
    <w:p w14:paraId="14744A9D" w14:textId="77777777" w:rsidR="009674AE" w:rsidRPr="009674AE" w:rsidRDefault="009674AE" w:rsidP="009674AE">
      <w:pPr>
        <w:rPr>
          <w:rFonts w:cs="Arial"/>
          <w:szCs w:val="20"/>
        </w:rPr>
      </w:pPr>
    </w:p>
    <w:p w14:paraId="4C5F1C6F" w14:textId="77777777" w:rsidR="009674AE" w:rsidRPr="009674AE" w:rsidRDefault="009674AE" w:rsidP="009674AE">
      <w:pPr>
        <w:rPr>
          <w:rFonts w:cs="Arial"/>
          <w:szCs w:val="20"/>
        </w:rPr>
      </w:pPr>
      <w:r w:rsidRPr="009674AE">
        <w:rPr>
          <w:rFonts w:cs="Arial"/>
          <w:noProof/>
          <w:szCs w:val="20"/>
          <w:lang w:eastAsia="en-AU"/>
        </w:rPr>
        <mc:AlternateContent>
          <mc:Choice Requires="wps">
            <w:drawing>
              <wp:anchor distT="0" distB="0" distL="114300" distR="114300" simplePos="0" relativeHeight="251657728" behindDoc="0" locked="0" layoutInCell="1" allowOverlap="1" wp14:anchorId="4C854081" wp14:editId="2F086EC7">
                <wp:simplePos x="0" y="0"/>
                <wp:positionH relativeFrom="column">
                  <wp:posOffset>-56211</wp:posOffset>
                </wp:positionH>
                <wp:positionV relativeFrom="paragraph">
                  <wp:posOffset>140352</wp:posOffset>
                </wp:positionV>
                <wp:extent cx="4597053" cy="382905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053" cy="382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BF33B" w14:textId="77777777" w:rsidR="006719DB" w:rsidRPr="00CA2961" w:rsidRDefault="006719DB" w:rsidP="009674AE">
                            <w:pPr>
                              <w:rPr>
                                <w:rFonts w:cs="Arial"/>
                                <w:b/>
                                <w:sz w:val="24"/>
                                <w:szCs w:val="28"/>
                                <w:lang w:val="fr-FR"/>
                              </w:rPr>
                            </w:pPr>
                          </w:p>
                          <w:p w14:paraId="1A7EF73A" w14:textId="77777777" w:rsidR="006719DB" w:rsidRPr="00CA2961" w:rsidRDefault="006719DB" w:rsidP="009674AE">
                            <w:pPr>
                              <w:rPr>
                                <w:rFonts w:cs="Arial"/>
                                <w:b/>
                                <w:sz w:val="28"/>
                                <w:szCs w:val="28"/>
                                <w:lang w:val="fr-FR"/>
                              </w:rPr>
                            </w:pPr>
                            <w:r w:rsidRPr="00CA2961">
                              <w:rPr>
                                <w:rFonts w:cs="Arial"/>
                                <w:b/>
                                <w:sz w:val="28"/>
                                <w:szCs w:val="28"/>
                                <w:lang w:val="fr-FR"/>
                              </w:rPr>
                              <w:t>ACTIVE CONSTITUENT: 200 g/L PYDIFLUMETOFEN</w:t>
                            </w:r>
                          </w:p>
                          <w:p w14:paraId="13DF28EA" w14:textId="77777777" w:rsidR="006719DB" w:rsidRPr="00CA2961" w:rsidRDefault="006719DB" w:rsidP="009674AE">
                            <w:pPr>
                              <w:rPr>
                                <w:rFonts w:cs="Arial"/>
                                <w:b/>
                                <w:sz w:val="22"/>
                                <w:szCs w:val="22"/>
                                <w:lang w:val="fr-FR"/>
                              </w:rPr>
                            </w:pPr>
                          </w:p>
                          <w:tbl>
                            <w:tblPr>
                              <w:tblW w:w="0" w:type="auto"/>
                              <w:tblInd w:w="108" w:type="dxa"/>
                              <w:tblLayout w:type="fixed"/>
                              <w:tblLook w:val="0000" w:firstRow="0" w:lastRow="0" w:firstColumn="0" w:lastColumn="0" w:noHBand="0" w:noVBand="0"/>
                              <w:tblCaption w:val="Main label"/>
                              <w:tblDescription w:val="Image shows Fungicide Group on main label"/>
                            </w:tblPr>
                            <w:tblGrid>
                              <w:gridCol w:w="1418"/>
                              <w:gridCol w:w="567"/>
                              <w:gridCol w:w="2126"/>
                            </w:tblGrid>
                            <w:tr w:rsidR="006719DB" w:rsidRPr="00CA2961" w14:paraId="333D4CDD" w14:textId="77777777" w:rsidTr="001936D7">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73315F5D" w14:textId="77777777" w:rsidR="006719DB" w:rsidRPr="00CA2961" w:rsidRDefault="006719DB" w:rsidP="001936D7">
                                  <w:pPr>
                                    <w:jc w:val="center"/>
                                    <w:rPr>
                                      <w:rFonts w:cs="Arial"/>
                                      <w:b/>
                                      <w:sz w:val="28"/>
                                      <w:szCs w:val="28"/>
                                    </w:rPr>
                                  </w:pPr>
                                  <w:r w:rsidRPr="00CA2961">
                                    <w:rPr>
                                      <w:rFonts w:cs="Arial"/>
                                      <w:b/>
                                      <w:sz w:val="28"/>
                                      <w:szCs w:val="28"/>
                                    </w:rPr>
                                    <w:t>GROUP</w:t>
                                  </w:r>
                                </w:p>
                              </w:tc>
                              <w:tc>
                                <w:tcPr>
                                  <w:tcW w:w="567" w:type="dxa"/>
                                  <w:tcBorders>
                                    <w:top w:val="single" w:sz="4" w:space="0" w:color="auto"/>
                                    <w:left w:val="single" w:sz="4" w:space="0" w:color="auto"/>
                                    <w:bottom w:val="single" w:sz="4" w:space="0" w:color="auto"/>
                                    <w:right w:val="single" w:sz="4" w:space="0" w:color="auto"/>
                                  </w:tcBorders>
                                  <w:shd w:val="clear" w:color="auto" w:fill="000000"/>
                                  <w:vAlign w:val="center"/>
                                </w:tcPr>
                                <w:p w14:paraId="48246221" w14:textId="77777777" w:rsidR="006719DB" w:rsidRPr="00CA2961" w:rsidRDefault="006719DB" w:rsidP="001936D7">
                                  <w:pPr>
                                    <w:jc w:val="center"/>
                                    <w:rPr>
                                      <w:rFonts w:cs="Arial"/>
                                      <w:b/>
                                      <w:sz w:val="48"/>
                                      <w:szCs w:val="48"/>
                                    </w:rPr>
                                  </w:pPr>
                                  <w:r w:rsidRPr="00CA2961">
                                    <w:rPr>
                                      <w:rFonts w:cs="Arial"/>
                                      <w:b/>
                                      <w:bCs/>
                                      <w:sz w:val="48"/>
                                      <w:szCs w:val="48"/>
                                    </w:rPr>
                                    <w:t>7</w:t>
                                  </w:r>
                                </w:p>
                              </w:tc>
                              <w:tc>
                                <w:tcPr>
                                  <w:tcW w:w="2126" w:type="dxa"/>
                                  <w:tcBorders>
                                    <w:top w:val="single" w:sz="4" w:space="0" w:color="auto"/>
                                    <w:left w:val="single" w:sz="4" w:space="0" w:color="auto"/>
                                    <w:bottom w:val="single" w:sz="4" w:space="0" w:color="auto"/>
                                    <w:right w:val="single" w:sz="4" w:space="0" w:color="auto"/>
                                  </w:tcBorders>
                                  <w:vAlign w:val="center"/>
                                </w:tcPr>
                                <w:p w14:paraId="36D562D5" w14:textId="77777777" w:rsidR="006719DB" w:rsidRPr="00CA2961" w:rsidRDefault="006719DB" w:rsidP="001936D7">
                                  <w:pPr>
                                    <w:jc w:val="center"/>
                                    <w:rPr>
                                      <w:rFonts w:cs="Arial"/>
                                      <w:b/>
                                      <w:sz w:val="28"/>
                                      <w:szCs w:val="28"/>
                                    </w:rPr>
                                  </w:pPr>
                                  <w:r w:rsidRPr="00CA2961">
                                    <w:rPr>
                                      <w:rFonts w:cs="Arial"/>
                                      <w:b/>
                                      <w:sz w:val="28"/>
                                      <w:szCs w:val="28"/>
                                    </w:rPr>
                                    <w:t>FUNGICIDE</w:t>
                                  </w:r>
                                </w:p>
                              </w:tc>
                            </w:tr>
                          </w:tbl>
                          <w:p w14:paraId="51BA78B3" w14:textId="77777777" w:rsidR="006719DB" w:rsidRDefault="006719DB" w:rsidP="009674AE">
                            <w:pPr>
                              <w:rPr>
                                <w:rFonts w:cs="Arial"/>
                                <w:b/>
                                <w:sz w:val="22"/>
                                <w:szCs w:val="22"/>
                                <w:lang w:val="fr-FR"/>
                              </w:rPr>
                            </w:pPr>
                          </w:p>
                          <w:p w14:paraId="79B550A0" w14:textId="77777777" w:rsidR="006719DB" w:rsidRPr="00CA2961" w:rsidRDefault="006719DB" w:rsidP="009674AE">
                            <w:pPr>
                              <w:rPr>
                                <w:rFonts w:cs="Arial"/>
                                <w:b/>
                                <w:sz w:val="22"/>
                                <w:szCs w:val="22"/>
                                <w:lang w:val="fr-FR"/>
                              </w:rPr>
                            </w:pPr>
                          </w:p>
                          <w:p w14:paraId="3BE31604" w14:textId="77777777" w:rsidR="006719DB" w:rsidRPr="009674AE" w:rsidRDefault="006719DB" w:rsidP="009674AE">
                            <w:pPr>
                              <w:pStyle w:val="BodyText0"/>
                              <w:rPr>
                                <w:rFonts w:ascii="Arial" w:hAnsi="Arial" w:cs="Arial"/>
                                <w:sz w:val="28"/>
                              </w:rPr>
                            </w:pPr>
                            <w:r w:rsidRPr="009674AE">
                              <w:rPr>
                                <w:rFonts w:ascii="Arial" w:hAnsi="Arial" w:cs="Arial"/>
                                <w:sz w:val="28"/>
                              </w:rPr>
                              <w:t xml:space="preserve">For the control of various diseases in Canola, Grapes and Potatoes as per the Directions for Use </w:t>
                            </w:r>
                          </w:p>
                          <w:p w14:paraId="11D07617" w14:textId="77777777" w:rsidR="006719DB" w:rsidRPr="00CA2961" w:rsidRDefault="006719DB" w:rsidP="009674AE">
                            <w:pPr>
                              <w:rPr>
                                <w:rFonts w:cs="Arial"/>
                                <w:b/>
                                <w:sz w:val="22"/>
                                <w:szCs w:val="22"/>
                                <w:lang w:val="fr-FR"/>
                              </w:rPr>
                            </w:pPr>
                          </w:p>
                          <w:p w14:paraId="054F13A5" w14:textId="77777777" w:rsidR="006719DB" w:rsidRPr="00CA2961" w:rsidRDefault="006719DB" w:rsidP="009674AE">
                            <w:pPr>
                              <w:rPr>
                                <w:rFonts w:cs="Arial"/>
                                <w:b/>
                                <w:sz w:val="22"/>
                                <w:szCs w:val="22"/>
                                <w:lang w:val="fr-FR"/>
                              </w:rPr>
                            </w:pPr>
                          </w:p>
                          <w:p w14:paraId="45B158C3" w14:textId="77777777" w:rsidR="006719DB" w:rsidRPr="00CA2961" w:rsidRDefault="006719DB" w:rsidP="009674AE">
                            <w:pPr>
                              <w:pStyle w:val="Header"/>
                              <w:rPr>
                                <w:b/>
                                <w:sz w:val="40"/>
                              </w:rPr>
                            </w:pPr>
                            <w:r w:rsidRPr="00CA2961">
                              <w:rPr>
                                <w:b/>
                                <w:sz w:val="40"/>
                              </w:rPr>
                              <w:t>1–20 Litres</w:t>
                            </w:r>
                          </w:p>
                          <w:p w14:paraId="3FA7170B" w14:textId="77777777" w:rsidR="006719DB" w:rsidRPr="00CA2961" w:rsidRDefault="006719DB" w:rsidP="009674AE">
                            <w:pPr>
                              <w:rPr>
                                <w:rFonts w:cs="Arial"/>
                                <w:b/>
                                <w:sz w:val="22"/>
                                <w:szCs w:val="22"/>
                                <w:lang w:val="fr-FR"/>
                              </w:rPr>
                            </w:pPr>
                          </w:p>
                          <w:p w14:paraId="082BD18C" w14:textId="77777777" w:rsidR="006719DB" w:rsidRPr="00CA2961" w:rsidRDefault="006719DB" w:rsidP="009674AE">
                            <w:pPr>
                              <w:rPr>
                                <w:rFonts w:cs="Arial"/>
                                <w:b/>
                                <w:sz w:val="22"/>
                                <w:szCs w:val="22"/>
                                <w:lang w:val="fr-FR"/>
                              </w:rPr>
                            </w:pPr>
                          </w:p>
                          <w:p w14:paraId="1412A574" w14:textId="77777777" w:rsidR="006719DB" w:rsidRPr="00CA2961" w:rsidRDefault="006719DB" w:rsidP="009674AE">
                            <w:pPr>
                              <w:pStyle w:val="Header"/>
                              <w:rPr>
                                <w:rFonts w:cs="Arial"/>
                                <w:b/>
                                <w:bCs/>
                              </w:rPr>
                            </w:pPr>
                            <w:r w:rsidRPr="00CA2961">
                              <w:rPr>
                                <w:rFonts w:cs="Arial"/>
                                <w:b/>
                                <w:bCs/>
                              </w:rPr>
                              <w:t>Syngenta Australia Pty Ltd</w:t>
                            </w:r>
                          </w:p>
                          <w:p w14:paraId="2A621275" w14:textId="77777777" w:rsidR="006719DB" w:rsidRPr="00CA2961" w:rsidRDefault="006719DB" w:rsidP="009674AE">
                            <w:pPr>
                              <w:rPr>
                                <w:rFonts w:cs="Arial"/>
                              </w:rPr>
                            </w:pPr>
                            <w:r w:rsidRPr="00CA2961">
                              <w:rPr>
                                <w:rFonts w:cs="Arial"/>
                              </w:rPr>
                              <w:t>Level 1, 2-4 Lyonpark Road, Macquarie Park NSW 2113</w:t>
                            </w:r>
                          </w:p>
                          <w:p w14:paraId="0F6AD8A4" w14:textId="77777777" w:rsidR="006719DB" w:rsidRPr="00CA2961" w:rsidRDefault="006719DB" w:rsidP="009674AE">
                            <w:pPr>
                              <w:rPr>
                                <w:rFonts w:cs="Arial"/>
                              </w:rPr>
                            </w:pPr>
                          </w:p>
                          <w:p w14:paraId="1105BFA8" w14:textId="77777777" w:rsidR="006719DB" w:rsidRPr="00CA2961" w:rsidRDefault="006719DB" w:rsidP="009674AE">
                            <w:pPr>
                              <w:rPr>
                                <w:rFonts w:cs="Arial"/>
                                <w:b/>
                                <w:bCs/>
                              </w:rPr>
                            </w:pPr>
                            <w:r w:rsidRPr="00CA2961">
                              <w:rPr>
                                <w:rFonts w:cs="Arial"/>
                                <w:b/>
                                <w:bCs/>
                              </w:rPr>
                              <w:t>In a transport emergency dial 000, Police or Fire Brigade</w:t>
                            </w:r>
                          </w:p>
                          <w:p w14:paraId="24964CBA" w14:textId="77777777" w:rsidR="006719DB" w:rsidRPr="00CA2961" w:rsidRDefault="006719DB" w:rsidP="009674AE">
                            <w:pPr>
                              <w:rPr>
                                <w:rFonts w:cs="Arial"/>
                                <w:b/>
                                <w:bCs/>
                              </w:rPr>
                            </w:pPr>
                            <w:r w:rsidRPr="00CA2961">
                              <w:rPr>
                                <w:rFonts w:cs="Arial"/>
                                <w:b/>
                                <w:bCs/>
                              </w:rPr>
                              <w:t>For specialist advice in an emergency only, call 1800 033 111 (24 hours)</w:t>
                            </w:r>
                          </w:p>
                          <w:p w14:paraId="350A33FE" w14:textId="77777777" w:rsidR="006719DB" w:rsidRPr="00CA2961" w:rsidRDefault="006719DB" w:rsidP="009674AE">
                            <w:pPr>
                              <w:rPr>
                                <w:rFonts w:cs="Arial"/>
                                <w:b/>
                                <w:bCs/>
                              </w:rPr>
                            </w:pPr>
                          </w:p>
                          <w:p w14:paraId="6379687E" w14:textId="77777777" w:rsidR="006719DB" w:rsidRPr="00CA2961" w:rsidRDefault="006719DB" w:rsidP="009674AE">
                            <w:pPr>
                              <w:rPr>
                                <w:rFonts w:cs="Arial"/>
                                <w:b/>
                                <w:bCs/>
                              </w:rPr>
                            </w:pPr>
                            <w:r w:rsidRPr="00CA2961">
                              <w:rPr>
                                <w:rFonts w:cs="Arial"/>
                                <w:b/>
                                <w:bCs/>
                              </w:rPr>
                              <w:t xml:space="preserve">APVMA Approval no. </w:t>
                            </w:r>
                            <w:r w:rsidRPr="00070184">
                              <w:rPr>
                                <w:rFonts w:cs="Arial"/>
                                <w:b/>
                                <w:bCs/>
                              </w:rPr>
                              <w:t>82484/105866</w:t>
                            </w:r>
                          </w:p>
                          <w:p w14:paraId="43AAA614" w14:textId="77777777" w:rsidR="006719DB" w:rsidRPr="00CA2961" w:rsidRDefault="006719DB" w:rsidP="009674AE">
                            <w:pPr>
                              <w:rPr>
                                <w:rFonts w:cs="Arial"/>
                                <w:b/>
                                <w:bCs/>
                              </w:rPr>
                            </w:pPr>
                          </w:p>
                          <w:p w14:paraId="04B23439" w14:textId="77777777" w:rsidR="006719DB" w:rsidRPr="00CA2961" w:rsidRDefault="006719DB" w:rsidP="009674AE">
                            <w:pPr>
                              <w:rPr>
                                <w:rFonts w:cs="Arial"/>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54081" id="Text Box 28" o:spid="_x0000_s1028" type="#_x0000_t202" style="position:absolute;margin-left:-4.45pt;margin-top:11.05pt;width:361.95pt;height:3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" stroked="f">
                <v:textbox>
                  <w:txbxContent>
                    <w:p w14:paraId="390BF33B" w14:textId="77777777" w:rsidR="006719DB" w:rsidRPr="00CA2961" w:rsidRDefault="006719DB" w:rsidP="009674AE">
                      <w:pPr>
                        <w:rPr>
                          <w:rFonts w:cs="Arial"/>
                          <w:b/>
                          <w:sz w:val="24"/>
                          <w:szCs w:val="28"/>
                          <w:lang w:val="fr-FR"/>
                        </w:rPr>
                      </w:pPr>
                    </w:p>
                    <w:p w14:paraId="1A7EF73A" w14:textId="77777777" w:rsidR="006719DB" w:rsidRPr="00CA2961" w:rsidRDefault="006719DB" w:rsidP="009674AE">
                      <w:pPr>
                        <w:rPr>
                          <w:rFonts w:cs="Arial"/>
                          <w:b/>
                          <w:sz w:val="28"/>
                          <w:szCs w:val="28"/>
                          <w:lang w:val="fr-FR"/>
                        </w:rPr>
                      </w:pPr>
                      <w:r w:rsidRPr="00CA2961">
                        <w:rPr>
                          <w:rFonts w:cs="Arial"/>
                          <w:b/>
                          <w:sz w:val="28"/>
                          <w:szCs w:val="28"/>
                          <w:lang w:val="fr-FR"/>
                        </w:rPr>
                        <w:t>ACTIVE CONSTITUENT: 200 g/L PYDIFLUMETOFEN</w:t>
                      </w:r>
                    </w:p>
                    <w:p w14:paraId="13DF28EA" w14:textId="77777777" w:rsidR="006719DB" w:rsidRPr="00CA2961" w:rsidRDefault="006719DB" w:rsidP="009674AE">
                      <w:pPr>
                        <w:rPr>
                          <w:rFonts w:cs="Arial"/>
                          <w:b/>
                          <w:sz w:val="22"/>
                          <w:szCs w:val="22"/>
                          <w:lang w:val="fr-FR"/>
                        </w:rPr>
                      </w:pPr>
                    </w:p>
                    <w:tbl>
                      <w:tblPr>
                        <w:tblW w:w="0" w:type="auto"/>
                        <w:tblInd w:w="108" w:type="dxa"/>
                        <w:tblLayout w:type="fixed"/>
                        <w:tblLook w:val="0000" w:firstRow="0" w:lastRow="0" w:firstColumn="0" w:lastColumn="0" w:noHBand="0" w:noVBand="0"/>
                        <w:tblCaption w:val="Main label"/>
                        <w:tblDescription w:val="Image shows Fungicide Group on main label"/>
                      </w:tblPr>
                      <w:tblGrid>
                        <w:gridCol w:w="1418"/>
                        <w:gridCol w:w="567"/>
                        <w:gridCol w:w="2126"/>
                      </w:tblGrid>
                      <w:tr w:rsidR="006719DB" w:rsidRPr="00CA2961" w14:paraId="333D4CDD" w14:textId="77777777" w:rsidTr="001936D7">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73315F5D" w14:textId="77777777" w:rsidR="006719DB" w:rsidRPr="00CA2961" w:rsidRDefault="006719DB" w:rsidP="001936D7">
                            <w:pPr>
                              <w:jc w:val="center"/>
                              <w:rPr>
                                <w:rFonts w:cs="Arial"/>
                                <w:b/>
                                <w:sz w:val="28"/>
                                <w:szCs w:val="28"/>
                              </w:rPr>
                            </w:pPr>
                            <w:r w:rsidRPr="00CA2961">
                              <w:rPr>
                                <w:rFonts w:cs="Arial"/>
                                <w:b/>
                                <w:sz w:val="28"/>
                                <w:szCs w:val="28"/>
                              </w:rPr>
                              <w:t>GROUP</w:t>
                            </w:r>
                          </w:p>
                        </w:tc>
                        <w:tc>
                          <w:tcPr>
                            <w:tcW w:w="567" w:type="dxa"/>
                            <w:tcBorders>
                              <w:top w:val="single" w:sz="4" w:space="0" w:color="auto"/>
                              <w:left w:val="single" w:sz="4" w:space="0" w:color="auto"/>
                              <w:bottom w:val="single" w:sz="4" w:space="0" w:color="auto"/>
                              <w:right w:val="single" w:sz="4" w:space="0" w:color="auto"/>
                            </w:tcBorders>
                            <w:shd w:val="clear" w:color="auto" w:fill="000000"/>
                            <w:vAlign w:val="center"/>
                          </w:tcPr>
                          <w:p w14:paraId="48246221" w14:textId="77777777" w:rsidR="006719DB" w:rsidRPr="00CA2961" w:rsidRDefault="006719DB" w:rsidP="001936D7">
                            <w:pPr>
                              <w:jc w:val="center"/>
                              <w:rPr>
                                <w:rFonts w:cs="Arial"/>
                                <w:b/>
                                <w:sz w:val="48"/>
                                <w:szCs w:val="48"/>
                              </w:rPr>
                            </w:pPr>
                            <w:r w:rsidRPr="00CA2961">
                              <w:rPr>
                                <w:rFonts w:cs="Arial"/>
                                <w:b/>
                                <w:bCs/>
                                <w:sz w:val="48"/>
                                <w:szCs w:val="48"/>
                              </w:rPr>
                              <w:t>7</w:t>
                            </w:r>
                          </w:p>
                        </w:tc>
                        <w:tc>
                          <w:tcPr>
                            <w:tcW w:w="2126" w:type="dxa"/>
                            <w:tcBorders>
                              <w:top w:val="single" w:sz="4" w:space="0" w:color="auto"/>
                              <w:left w:val="single" w:sz="4" w:space="0" w:color="auto"/>
                              <w:bottom w:val="single" w:sz="4" w:space="0" w:color="auto"/>
                              <w:right w:val="single" w:sz="4" w:space="0" w:color="auto"/>
                            </w:tcBorders>
                            <w:vAlign w:val="center"/>
                          </w:tcPr>
                          <w:p w14:paraId="36D562D5" w14:textId="77777777" w:rsidR="006719DB" w:rsidRPr="00CA2961" w:rsidRDefault="006719DB" w:rsidP="001936D7">
                            <w:pPr>
                              <w:jc w:val="center"/>
                              <w:rPr>
                                <w:rFonts w:cs="Arial"/>
                                <w:b/>
                                <w:sz w:val="28"/>
                                <w:szCs w:val="28"/>
                              </w:rPr>
                            </w:pPr>
                            <w:r w:rsidRPr="00CA2961">
                              <w:rPr>
                                <w:rFonts w:cs="Arial"/>
                                <w:b/>
                                <w:sz w:val="28"/>
                                <w:szCs w:val="28"/>
                              </w:rPr>
                              <w:t>FUNGICIDE</w:t>
                            </w:r>
                          </w:p>
                        </w:tc>
                      </w:tr>
                    </w:tbl>
                    <w:p w14:paraId="51BA78B3" w14:textId="77777777" w:rsidR="006719DB" w:rsidRDefault="006719DB" w:rsidP="009674AE">
                      <w:pPr>
                        <w:rPr>
                          <w:rFonts w:cs="Arial"/>
                          <w:b/>
                          <w:sz w:val="22"/>
                          <w:szCs w:val="22"/>
                          <w:lang w:val="fr-FR"/>
                        </w:rPr>
                      </w:pPr>
                    </w:p>
                    <w:p w14:paraId="79B550A0" w14:textId="77777777" w:rsidR="006719DB" w:rsidRPr="00CA2961" w:rsidRDefault="006719DB" w:rsidP="009674AE">
                      <w:pPr>
                        <w:rPr>
                          <w:rFonts w:cs="Arial"/>
                          <w:b/>
                          <w:sz w:val="22"/>
                          <w:szCs w:val="22"/>
                          <w:lang w:val="fr-FR"/>
                        </w:rPr>
                      </w:pPr>
                    </w:p>
                    <w:p w14:paraId="3BE31604" w14:textId="77777777" w:rsidR="006719DB" w:rsidRPr="009674AE" w:rsidRDefault="006719DB" w:rsidP="009674AE">
                      <w:pPr>
                        <w:pStyle w:val="BodyText0"/>
                        <w:rPr>
                          <w:rFonts w:ascii="Arial" w:hAnsi="Arial" w:cs="Arial"/>
                          <w:sz w:val="28"/>
                        </w:rPr>
                      </w:pPr>
                      <w:r w:rsidRPr="009674AE">
                        <w:rPr>
                          <w:rFonts w:ascii="Arial" w:hAnsi="Arial" w:cs="Arial"/>
                          <w:sz w:val="28"/>
                        </w:rPr>
                        <w:t xml:space="preserve">For the control of various diseases in Canola, Grapes and Potatoes as per the Directions for Use </w:t>
                      </w:r>
                    </w:p>
                    <w:p w14:paraId="11D07617" w14:textId="77777777" w:rsidR="006719DB" w:rsidRPr="00CA2961" w:rsidRDefault="006719DB" w:rsidP="009674AE">
                      <w:pPr>
                        <w:rPr>
                          <w:rFonts w:cs="Arial"/>
                          <w:b/>
                          <w:sz w:val="22"/>
                          <w:szCs w:val="22"/>
                          <w:lang w:val="fr-FR"/>
                        </w:rPr>
                      </w:pPr>
                    </w:p>
                    <w:p w14:paraId="054F13A5" w14:textId="77777777" w:rsidR="006719DB" w:rsidRPr="00CA2961" w:rsidRDefault="006719DB" w:rsidP="009674AE">
                      <w:pPr>
                        <w:rPr>
                          <w:rFonts w:cs="Arial"/>
                          <w:b/>
                          <w:sz w:val="22"/>
                          <w:szCs w:val="22"/>
                          <w:lang w:val="fr-FR"/>
                        </w:rPr>
                      </w:pPr>
                    </w:p>
                    <w:p w14:paraId="45B158C3" w14:textId="77777777" w:rsidR="006719DB" w:rsidRPr="00CA2961" w:rsidRDefault="006719DB" w:rsidP="009674AE">
                      <w:pPr>
                        <w:pStyle w:val="Header"/>
                        <w:rPr>
                          <w:b/>
                          <w:sz w:val="40"/>
                        </w:rPr>
                      </w:pPr>
                      <w:r w:rsidRPr="00CA2961">
                        <w:rPr>
                          <w:b/>
                          <w:sz w:val="40"/>
                        </w:rPr>
                        <w:t>1–20 Litres</w:t>
                      </w:r>
                    </w:p>
                    <w:p w14:paraId="3FA7170B" w14:textId="77777777" w:rsidR="006719DB" w:rsidRPr="00CA2961" w:rsidRDefault="006719DB" w:rsidP="009674AE">
                      <w:pPr>
                        <w:rPr>
                          <w:rFonts w:cs="Arial"/>
                          <w:b/>
                          <w:sz w:val="22"/>
                          <w:szCs w:val="22"/>
                          <w:lang w:val="fr-FR"/>
                        </w:rPr>
                      </w:pPr>
                    </w:p>
                    <w:p w14:paraId="082BD18C" w14:textId="77777777" w:rsidR="006719DB" w:rsidRPr="00CA2961" w:rsidRDefault="006719DB" w:rsidP="009674AE">
                      <w:pPr>
                        <w:rPr>
                          <w:rFonts w:cs="Arial"/>
                          <w:b/>
                          <w:sz w:val="22"/>
                          <w:szCs w:val="22"/>
                          <w:lang w:val="fr-FR"/>
                        </w:rPr>
                      </w:pPr>
                    </w:p>
                    <w:p w14:paraId="1412A574" w14:textId="77777777" w:rsidR="006719DB" w:rsidRPr="00CA2961" w:rsidRDefault="006719DB" w:rsidP="009674AE">
                      <w:pPr>
                        <w:pStyle w:val="Header"/>
                        <w:rPr>
                          <w:rFonts w:cs="Arial"/>
                          <w:b/>
                          <w:bCs/>
                        </w:rPr>
                      </w:pPr>
                      <w:r w:rsidRPr="00CA2961">
                        <w:rPr>
                          <w:rFonts w:cs="Arial"/>
                          <w:b/>
                          <w:bCs/>
                        </w:rPr>
                        <w:t>Syngenta Australia Pty Ltd</w:t>
                      </w:r>
                    </w:p>
                    <w:p w14:paraId="2A621275" w14:textId="77777777" w:rsidR="006719DB" w:rsidRPr="00CA2961" w:rsidRDefault="006719DB" w:rsidP="009674AE">
                      <w:pPr>
                        <w:rPr>
                          <w:rFonts w:cs="Arial"/>
                        </w:rPr>
                      </w:pPr>
                      <w:r w:rsidRPr="00CA2961">
                        <w:rPr>
                          <w:rFonts w:cs="Arial"/>
                        </w:rPr>
                        <w:t>Level 1, 2-4 Lyonpark Road, Macquarie Park NSW 2113</w:t>
                      </w:r>
                    </w:p>
                    <w:p w14:paraId="0F6AD8A4" w14:textId="77777777" w:rsidR="006719DB" w:rsidRPr="00CA2961" w:rsidRDefault="006719DB" w:rsidP="009674AE">
                      <w:pPr>
                        <w:rPr>
                          <w:rFonts w:cs="Arial"/>
                        </w:rPr>
                      </w:pPr>
                    </w:p>
                    <w:p w14:paraId="1105BFA8" w14:textId="77777777" w:rsidR="006719DB" w:rsidRPr="00CA2961" w:rsidRDefault="006719DB" w:rsidP="009674AE">
                      <w:pPr>
                        <w:rPr>
                          <w:rFonts w:cs="Arial"/>
                          <w:b/>
                          <w:bCs/>
                        </w:rPr>
                      </w:pPr>
                      <w:r w:rsidRPr="00CA2961">
                        <w:rPr>
                          <w:rFonts w:cs="Arial"/>
                          <w:b/>
                          <w:bCs/>
                        </w:rPr>
                        <w:t>In a transport emergency dial 000, Police or Fire Brigade</w:t>
                      </w:r>
                    </w:p>
                    <w:p w14:paraId="24964CBA" w14:textId="77777777" w:rsidR="006719DB" w:rsidRPr="00CA2961" w:rsidRDefault="006719DB" w:rsidP="009674AE">
                      <w:pPr>
                        <w:rPr>
                          <w:rFonts w:cs="Arial"/>
                          <w:b/>
                          <w:bCs/>
                        </w:rPr>
                      </w:pPr>
                      <w:r w:rsidRPr="00CA2961">
                        <w:rPr>
                          <w:rFonts w:cs="Arial"/>
                          <w:b/>
                          <w:bCs/>
                        </w:rPr>
                        <w:t>For specialist advice in an emergency only, call 1800 033 111 (24 hours)</w:t>
                      </w:r>
                    </w:p>
                    <w:p w14:paraId="350A33FE" w14:textId="77777777" w:rsidR="006719DB" w:rsidRPr="00CA2961" w:rsidRDefault="006719DB" w:rsidP="009674AE">
                      <w:pPr>
                        <w:rPr>
                          <w:rFonts w:cs="Arial"/>
                          <w:b/>
                          <w:bCs/>
                        </w:rPr>
                      </w:pPr>
                    </w:p>
                    <w:p w14:paraId="6379687E" w14:textId="77777777" w:rsidR="006719DB" w:rsidRPr="00CA2961" w:rsidRDefault="006719DB" w:rsidP="009674AE">
                      <w:pPr>
                        <w:rPr>
                          <w:rFonts w:cs="Arial"/>
                          <w:b/>
                          <w:bCs/>
                        </w:rPr>
                      </w:pPr>
                      <w:r w:rsidRPr="00CA2961">
                        <w:rPr>
                          <w:rFonts w:cs="Arial"/>
                          <w:b/>
                          <w:bCs/>
                        </w:rPr>
                        <w:t xml:space="preserve">APVMA Approval no. </w:t>
                      </w:r>
                      <w:r w:rsidRPr="00070184">
                        <w:rPr>
                          <w:rFonts w:cs="Arial"/>
                          <w:b/>
                          <w:bCs/>
                        </w:rPr>
                        <w:t>82484/105866</w:t>
                      </w:r>
                    </w:p>
                    <w:p w14:paraId="43AAA614" w14:textId="77777777" w:rsidR="006719DB" w:rsidRPr="00CA2961" w:rsidRDefault="006719DB" w:rsidP="009674AE">
                      <w:pPr>
                        <w:rPr>
                          <w:rFonts w:cs="Arial"/>
                          <w:b/>
                          <w:bCs/>
                        </w:rPr>
                      </w:pPr>
                    </w:p>
                    <w:p w14:paraId="04B23439" w14:textId="77777777" w:rsidR="006719DB" w:rsidRPr="00CA2961" w:rsidRDefault="006719DB" w:rsidP="009674AE">
                      <w:pPr>
                        <w:rPr>
                          <w:rFonts w:cs="Arial"/>
                          <w:b/>
                          <w:bCs/>
                        </w:rPr>
                      </w:pPr>
                    </w:p>
                  </w:txbxContent>
                </v:textbox>
              </v:shape>
            </w:pict>
          </mc:Fallback>
        </mc:AlternateContent>
      </w:r>
    </w:p>
    <w:p w14:paraId="77D2BF63" w14:textId="77777777" w:rsidR="009674AE" w:rsidRPr="009674AE" w:rsidRDefault="009674AE" w:rsidP="009674AE">
      <w:pPr>
        <w:rPr>
          <w:rFonts w:cs="Arial"/>
          <w:szCs w:val="20"/>
        </w:rPr>
      </w:pPr>
    </w:p>
    <w:p w14:paraId="6B053CD6" w14:textId="77777777" w:rsidR="009674AE" w:rsidRPr="009674AE" w:rsidRDefault="009674AE" w:rsidP="009674AE">
      <w:pPr>
        <w:rPr>
          <w:rFonts w:cs="Arial"/>
          <w:szCs w:val="20"/>
        </w:rPr>
      </w:pPr>
    </w:p>
    <w:p w14:paraId="42FBD1F5" w14:textId="77777777" w:rsidR="009674AE" w:rsidRPr="009674AE" w:rsidRDefault="009674AE" w:rsidP="009674AE">
      <w:pPr>
        <w:rPr>
          <w:rFonts w:cs="Arial"/>
          <w:szCs w:val="20"/>
        </w:rPr>
      </w:pPr>
    </w:p>
    <w:p w14:paraId="51B2735A" w14:textId="77777777" w:rsidR="009674AE" w:rsidRPr="009674AE" w:rsidRDefault="009674AE" w:rsidP="009674AE">
      <w:pPr>
        <w:rPr>
          <w:rFonts w:cs="Arial"/>
          <w:szCs w:val="20"/>
        </w:rPr>
      </w:pPr>
    </w:p>
    <w:p w14:paraId="46002B3F" w14:textId="77777777" w:rsidR="009674AE" w:rsidRPr="009674AE" w:rsidRDefault="009674AE" w:rsidP="009674AE">
      <w:pPr>
        <w:rPr>
          <w:rFonts w:cs="Arial"/>
          <w:szCs w:val="20"/>
        </w:rPr>
      </w:pPr>
    </w:p>
    <w:p w14:paraId="0F87EAC7" w14:textId="77777777" w:rsidR="009674AE" w:rsidRPr="009674AE" w:rsidRDefault="009674AE" w:rsidP="009674AE">
      <w:pPr>
        <w:rPr>
          <w:rFonts w:cs="Arial"/>
          <w:szCs w:val="20"/>
        </w:rPr>
      </w:pPr>
    </w:p>
    <w:p w14:paraId="6C46946E" w14:textId="77777777" w:rsidR="009674AE" w:rsidRPr="009674AE" w:rsidRDefault="009674AE" w:rsidP="009674AE">
      <w:pPr>
        <w:rPr>
          <w:rFonts w:cs="Arial"/>
          <w:szCs w:val="20"/>
        </w:rPr>
      </w:pPr>
    </w:p>
    <w:p w14:paraId="6AB92C61" w14:textId="77777777" w:rsidR="009674AE" w:rsidRPr="009674AE" w:rsidRDefault="009674AE" w:rsidP="009674AE">
      <w:pPr>
        <w:rPr>
          <w:rFonts w:cs="Arial"/>
          <w:szCs w:val="20"/>
        </w:rPr>
      </w:pPr>
    </w:p>
    <w:p w14:paraId="5CE87F25" w14:textId="77777777" w:rsidR="009674AE" w:rsidRPr="009674AE" w:rsidRDefault="009674AE" w:rsidP="009674AE">
      <w:pPr>
        <w:rPr>
          <w:rFonts w:cs="Arial"/>
          <w:szCs w:val="20"/>
        </w:rPr>
      </w:pPr>
    </w:p>
    <w:p w14:paraId="5E629C96" w14:textId="77777777" w:rsidR="009674AE" w:rsidRPr="009674AE" w:rsidRDefault="009674AE" w:rsidP="009674AE">
      <w:pPr>
        <w:rPr>
          <w:rFonts w:cs="Arial"/>
          <w:szCs w:val="20"/>
        </w:rPr>
      </w:pPr>
    </w:p>
    <w:p w14:paraId="081E00C9" w14:textId="77777777" w:rsidR="009674AE" w:rsidRPr="009674AE" w:rsidRDefault="009674AE" w:rsidP="009674AE">
      <w:pPr>
        <w:rPr>
          <w:rFonts w:cs="Arial"/>
          <w:szCs w:val="20"/>
        </w:rPr>
      </w:pPr>
    </w:p>
    <w:p w14:paraId="0210CDC7" w14:textId="77777777" w:rsidR="009674AE" w:rsidRPr="009674AE" w:rsidRDefault="009674AE" w:rsidP="009674AE">
      <w:pPr>
        <w:rPr>
          <w:rFonts w:cs="Arial"/>
          <w:szCs w:val="20"/>
        </w:rPr>
      </w:pPr>
    </w:p>
    <w:p w14:paraId="59B30BF4" w14:textId="77777777" w:rsidR="009674AE" w:rsidRPr="009674AE" w:rsidRDefault="009674AE" w:rsidP="009674AE">
      <w:pPr>
        <w:rPr>
          <w:rFonts w:cs="Arial"/>
          <w:szCs w:val="20"/>
        </w:rPr>
      </w:pPr>
    </w:p>
    <w:p w14:paraId="44DE867B" w14:textId="77777777" w:rsidR="009674AE" w:rsidRPr="009674AE" w:rsidRDefault="009674AE" w:rsidP="009674AE">
      <w:pPr>
        <w:rPr>
          <w:rFonts w:cs="Arial"/>
          <w:szCs w:val="20"/>
        </w:rPr>
      </w:pPr>
    </w:p>
    <w:p w14:paraId="27D9EA50" w14:textId="77777777" w:rsidR="009674AE" w:rsidRPr="009674AE" w:rsidRDefault="009674AE" w:rsidP="009674AE">
      <w:pPr>
        <w:rPr>
          <w:rFonts w:cs="Arial"/>
          <w:szCs w:val="20"/>
        </w:rPr>
      </w:pPr>
    </w:p>
    <w:p w14:paraId="6DFEB96E" w14:textId="77777777" w:rsidR="009674AE" w:rsidRPr="009674AE" w:rsidRDefault="009674AE" w:rsidP="009674AE">
      <w:pPr>
        <w:rPr>
          <w:rFonts w:cs="Arial"/>
          <w:szCs w:val="20"/>
        </w:rPr>
      </w:pPr>
    </w:p>
    <w:p w14:paraId="601C9DE8" w14:textId="77777777" w:rsidR="009674AE" w:rsidRPr="009674AE" w:rsidRDefault="009674AE" w:rsidP="009674AE">
      <w:pPr>
        <w:rPr>
          <w:rFonts w:cs="Arial"/>
          <w:szCs w:val="20"/>
        </w:rPr>
      </w:pPr>
    </w:p>
    <w:p w14:paraId="44E2AB51" w14:textId="77777777" w:rsidR="009674AE" w:rsidRPr="009674AE" w:rsidRDefault="009674AE" w:rsidP="009674AE">
      <w:pPr>
        <w:rPr>
          <w:rFonts w:cs="Arial"/>
          <w:szCs w:val="20"/>
        </w:rPr>
      </w:pPr>
    </w:p>
    <w:p w14:paraId="46D31AB1" w14:textId="77777777" w:rsidR="009674AE" w:rsidRPr="009674AE" w:rsidRDefault="009674AE" w:rsidP="009674AE">
      <w:pPr>
        <w:rPr>
          <w:rFonts w:cs="Arial"/>
          <w:szCs w:val="20"/>
        </w:rPr>
      </w:pPr>
    </w:p>
    <w:p w14:paraId="2BB3D118" w14:textId="77777777" w:rsidR="009674AE" w:rsidRPr="009674AE" w:rsidRDefault="009674AE" w:rsidP="009674AE">
      <w:pPr>
        <w:rPr>
          <w:rFonts w:cs="Arial"/>
          <w:szCs w:val="20"/>
        </w:rPr>
      </w:pPr>
    </w:p>
    <w:p w14:paraId="2C694290" w14:textId="77777777" w:rsidR="009674AE" w:rsidRPr="009674AE" w:rsidRDefault="009674AE" w:rsidP="009674AE">
      <w:pPr>
        <w:rPr>
          <w:rFonts w:cs="Arial"/>
          <w:szCs w:val="20"/>
        </w:rPr>
      </w:pPr>
    </w:p>
    <w:p w14:paraId="5D2B54AB" w14:textId="77777777" w:rsidR="009674AE" w:rsidRPr="009674AE" w:rsidRDefault="009674AE" w:rsidP="009674AE">
      <w:pPr>
        <w:rPr>
          <w:rFonts w:cs="Arial"/>
          <w:szCs w:val="20"/>
        </w:rPr>
      </w:pPr>
    </w:p>
    <w:p w14:paraId="625C1376" w14:textId="77777777" w:rsidR="009674AE" w:rsidRPr="009674AE" w:rsidRDefault="009674AE" w:rsidP="009674AE">
      <w:pPr>
        <w:rPr>
          <w:rFonts w:cs="Arial"/>
          <w:szCs w:val="20"/>
        </w:rPr>
      </w:pPr>
    </w:p>
    <w:p w14:paraId="016392ED" w14:textId="77777777" w:rsidR="009674AE" w:rsidRPr="009674AE" w:rsidRDefault="009674AE" w:rsidP="009674AE">
      <w:pPr>
        <w:rPr>
          <w:rFonts w:cs="Arial"/>
          <w:szCs w:val="20"/>
        </w:rPr>
      </w:pPr>
    </w:p>
    <w:p w14:paraId="640847A4" w14:textId="77777777" w:rsidR="009674AE" w:rsidRPr="009674AE" w:rsidRDefault="009674AE" w:rsidP="009674AE">
      <w:pPr>
        <w:rPr>
          <w:rFonts w:cs="Arial"/>
          <w:szCs w:val="20"/>
        </w:rPr>
      </w:pPr>
    </w:p>
    <w:p w14:paraId="2CB14B9A" w14:textId="77777777" w:rsidR="009674AE" w:rsidRPr="009674AE" w:rsidRDefault="009674AE" w:rsidP="009674AE">
      <w:pPr>
        <w:rPr>
          <w:rFonts w:cs="Arial"/>
          <w:szCs w:val="20"/>
        </w:rPr>
      </w:pPr>
    </w:p>
    <w:p w14:paraId="28AE1CE7" w14:textId="77777777" w:rsidR="009674AE" w:rsidRPr="009674AE" w:rsidRDefault="009674AE" w:rsidP="009674AE">
      <w:pPr>
        <w:rPr>
          <w:rFonts w:cs="Arial"/>
          <w:szCs w:val="20"/>
        </w:rPr>
      </w:pPr>
      <w:r w:rsidRPr="009674AE">
        <w:rPr>
          <w:rFonts w:cs="Arial"/>
          <w:szCs w:val="20"/>
        </w:rPr>
        <w:br w:type="page"/>
      </w:r>
    </w:p>
    <w:p w14:paraId="3A97881C" w14:textId="77777777" w:rsidR="009674AE" w:rsidRPr="009674AE" w:rsidRDefault="009674AE" w:rsidP="009674AE">
      <w:pPr>
        <w:rPr>
          <w:rFonts w:cs="Arial"/>
          <w:b/>
          <w:szCs w:val="20"/>
        </w:rPr>
      </w:pPr>
      <w:r w:rsidRPr="009674AE">
        <w:rPr>
          <w:rFonts w:cs="Arial"/>
          <w:b/>
          <w:szCs w:val="20"/>
        </w:rPr>
        <w:lastRenderedPageBreak/>
        <w:t>DIRECTIONS FOR USE</w:t>
      </w:r>
    </w:p>
    <w:p w14:paraId="624D6ADE" w14:textId="77777777" w:rsidR="009674AE" w:rsidRPr="009674AE" w:rsidRDefault="009674AE" w:rsidP="009674AE">
      <w:pPr>
        <w:rPr>
          <w:rFonts w:cs="Arial"/>
          <w:b/>
          <w:szCs w:val="20"/>
        </w:rPr>
      </w:pPr>
    </w:p>
    <w:p w14:paraId="4F09B88A" w14:textId="77777777" w:rsidR="009674AE" w:rsidRPr="009674AE" w:rsidRDefault="009674AE" w:rsidP="009674AE">
      <w:pPr>
        <w:rPr>
          <w:rFonts w:cs="Arial"/>
          <w:b/>
          <w:szCs w:val="20"/>
        </w:rPr>
      </w:pPr>
      <w:r w:rsidRPr="009674AE">
        <w:rPr>
          <w:rFonts w:cs="Arial"/>
          <w:b/>
          <w:szCs w:val="20"/>
        </w:rPr>
        <w:t>Restraints</w:t>
      </w:r>
    </w:p>
    <w:p w14:paraId="42F96392" w14:textId="77777777" w:rsidR="009674AE" w:rsidRPr="009674AE" w:rsidRDefault="009674AE" w:rsidP="009674AE">
      <w:pPr>
        <w:rPr>
          <w:rFonts w:cs="Arial"/>
          <w:szCs w:val="20"/>
        </w:rPr>
      </w:pPr>
      <w:r w:rsidRPr="009674AE">
        <w:rPr>
          <w:rFonts w:cs="Arial"/>
          <w:szCs w:val="20"/>
        </w:rPr>
        <w:t>DO NOT apply with aircraft</w:t>
      </w:r>
    </w:p>
    <w:p w14:paraId="746D9EEB" w14:textId="77777777" w:rsidR="009674AE" w:rsidRPr="009674AE" w:rsidRDefault="009674AE" w:rsidP="009674AE">
      <w:pPr>
        <w:rPr>
          <w:rFonts w:cs="Arial"/>
          <w:szCs w:val="20"/>
        </w:rPr>
      </w:pPr>
      <w:r w:rsidRPr="009674AE">
        <w:rPr>
          <w:rFonts w:cs="Arial"/>
          <w:szCs w:val="20"/>
        </w:rPr>
        <w:t>DO NOT apply if heavy rains or storms that are likely to cause runoff are forecast within 3 days</w:t>
      </w:r>
    </w:p>
    <w:p w14:paraId="2C769722" w14:textId="77777777" w:rsidR="009674AE" w:rsidRPr="009674AE" w:rsidRDefault="009674AE" w:rsidP="009674AE">
      <w:pPr>
        <w:rPr>
          <w:rFonts w:cs="Arial"/>
          <w:szCs w:val="20"/>
        </w:rPr>
      </w:pPr>
      <w:r w:rsidRPr="009674AE">
        <w:rPr>
          <w:rFonts w:cs="Arial"/>
          <w:szCs w:val="20"/>
        </w:rPr>
        <w:t>DO NOT irrigate to the point of runoff for at least 3 days after application</w:t>
      </w:r>
    </w:p>
    <w:p w14:paraId="5C90AD45" w14:textId="77777777" w:rsidR="009674AE" w:rsidRPr="009674AE" w:rsidRDefault="009674AE" w:rsidP="009674AE">
      <w:pPr>
        <w:rPr>
          <w:rFonts w:cs="Arial"/>
          <w:szCs w:val="20"/>
        </w:rPr>
      </w:pPr>
    </w:p>
    <w:p w14:paraId="35541991" w14:textId="77777777" w:rsidR="009674AE" w:rsidRPr="009674AE" w:rsidRDefault="009674AE" w:rsidP="009674AE">
      <w:pPr>
        <w:rPr>
          <w:rFonts w:cs="Arial"/>
          <w:b/>
          <w:bCs/>
          <w:szCs w:val="20"/>
        </w:rPr>
      </w:pPr>
      <w:r w:rsidRPr="009674AE">
        <w:rPr>
          <w:rFonts w:cs="Arial"/>
          <w:b/>
          <w:bCs/>
          <w:szCs w:val="20"/>
        </w:rPr>
        <w:t>Spray Drift Restraints:</w:t>
      </w:r>
    </w:p>
    <w:p w14:paraId="76659FEC" w14:textId="77777777" w:rsidR="009674AE" w:rsidRPr="009674AE" w:rsidRDefault="009674AE" w:rsidP="009674AE">
      <w:pPr>
        <w:rPr>
          <w:rFonts w:cs="Arial"/>
          <w:szCs w:val="20"/>
        </w:rPr>
      </w:pPr>
      <w:r w:rsidRPr="009674AE">
        <w:rPr>
          <w:rFonts w:cs="Arial"/>
          <w:szCs w:val="20"/>
        </w:rPr>
        <w:t xml:space="preserve">Except when applying with vineyard airblast equipment, DO NOT apply with spray droplets smaller than a MEDIUM spray droplet size category according to nozzle manufacturer specifications that refer to the ASAE S572 Standard or the BCPC Guideline. </w:t>
      </w:r>
    </w:p>
    <w:p w14:paraId="33B50F2E" w14:textId="77777777" w:rsidR="009674AE" w:rsidRPr="009674AE" w:rsidRDefault="009674AE" w:rsidP="009674AE">
      <w:pPr>
        <w:rPr>
          <w:rFonts w:cs="Arial"/>
          <w:szCs w:val="20"/>
        </w:rPr>
      </w:pPr>
      <w:r w:rsidRPr="009674AE">
        <w:rPr>
          <w:rFonts w:cs="Arial"/>
          <w:bCs/>
          <w:szCs w:val="20"/>
        </w:rPr>
        <w:t>DO NOT</w:t>
      </w:r>
      <w:r w:rsidRPr="009674AE">
        <w:rPr>
          <w:rFonts w:cs="Arial"/>
          <w:szCs w:val="20"/>
        </w:rPr>
        <w:t xml:space="preserve"> apply when the wind speed is less than 3 or more than 20 kilometres per hour as measured at the application site.</w:t>
      </w:r>
    </w:p>
    <w:p w14:paraId="441427A9" w14:textId="77777777" w:rsidR="009674AE" w:rsidRPr="009674AE" w:rsidRDefault="009674AE" w:rsidP="009674AE">
      <w:pPr>
        <w:rPr>
          <w:rFonts w:cs="Arial"/>
          <w:szCs w:val="20"/>
        </w:rPr>
      </w:pPr>
      <w:r w:rsidRPr="009674AE">
        <w:rPr>
          <w:rFonts w:cs="Arial"/>
          <w:bCs/>
          <w:szCs w:val="20"/>
        </w:rPr>
        <w:t>DO NOT</w:t>
      </w:r>
      <w:r w:rsidRPr="009674AE">
        <w:rPr>
          <w:rFonts w:cs="Arial"/>
          <w:szCs w:val="20"/>
        </w:rPr>
        <w:t xml:space="preserve"> apply during surface temperature inversion conditions at the application site.</w:t>
      </w:r>
    </w:p>
    <w:p w14:paraId="544250F7" w14:textId="77777777" w:rsidR="009674AE" w:rsidRPr="009674AE" w:rsidRDefault="009674AE" w:rsidP="009674AE">
      <w:pPr>
        <w:rPr>
          <w:rFonts w:cs="Arial"/>
          <w:szCs w:val="20"/>
        </w:rPr>
      </w:pPr>
      <w:r w:rsidRPr="009674AE">
        <w:rPr>
          <w:rFonts w:cs="Arial"/>
          <w:bCs/>
          <w:szCs w:val="20"/>
        </w:rPr>
        <w:t>DO NOT</w:t>
      </w:r>
      <w:r w:rsidRPr="009674AE">
        <w:rPr>
          <w:rFonts w:cs="Arial"/>
          <w:szCs w:val="20"/>
        </w:rPr>
        <w:t xml:space="preserve"> direct the spray above vines during airblast applications.</w:t>
      </w:r>
    </w:p>
    <w:p w14:paraId="0F28F404" w14:textId="77777777" w:rsidR="009674AE" w:rsidRPr="009674AE" w:rsidRDefault="009674AE" w:rsidP="009674AE">
      <w:pPr>
        <w:rPr>
          <w:rFonts w:cs="Arial"/>
          <w:szCs w:val="20"/>
        </w:rPr>
      </w:pPr>
      <w:r w:rsidRPr="009674AE">
        <w:rPr>
          <w:rFonts w:cs="Arial"/>
          <w:bCs/>
          <w:szCs w:val="20"/>
        </w:rPr>
        <w:t>TURN OFF</w:t>
      </w:r>
      <w:r w:rsidRPr="009674AE">
        <w:rPr>
          <w:rFonts w:cs="Arial"/>
          <w:szCs w:val="20"/>
        </w:rPr>
        <w:t xml:space="preserve"> outward pointing nozzles at row ends and outer rows during airblast applications.</w:t>
      </w:r>
    </w:p>
    <w:p w14:paraId="31260097" w14:textId="77777777" w:rsidR="009674AE" w:rsidRPr="009674AE" w:rsidRDefault="009674AE" w:rsidP="009674AE">
      <w:pPr>
        <w:rPr>
          <w:rFonts w:cs="Arial"/>
          <w:szCs w:val="20"/>
        </w:rPr>
      </w:pPr>
    </w:p>
    <w:p w14:paraId="19F1711B" w14:textId="77777777" w:rsidR="009674AE" w:rsidRPr="009674AE" w:rsidRDefault="009674AE" w:rsidP="009674AE">
      <w:pPr>
        <w:rPr>
          <w:rFonts w:cs="Arial"/>
          <w:szCs w:val="20"/>
          <w:lang w:val="en-US"/>
        </w:rPr>
      </w:pPr>
      <w:r w:rsidRPr="009674AE">
        <w:rPr>
          <w:rFonts w:cs="Arial"/>
          <w:szCs w:val="20"/>
        </w:rPr>
        <w:t>Users of this product</w:t>
      </w:r>
      <w:r w:rsidRPr="009674AE">
        <w:rPr>
          <w:rFonts w:cs="Arial"/>
          <w:b/>
          <w:szCs w:val="20"/>
        </w:rPr>
        <w:t xml:space="preserve"> MUST</w:t>
      </w:r>
      <w:r w:rsidRPr="009674AE">
        <w:rPr>
          <w:rFonts w:cs="Arial"/>
          <w:szCs w:val="20"/>
        </w:rPr>
        <w:t xml:space="preserve"> </w:t>
      </w:r>
      <w:r w:rsidRPr="009674AE">
        <w:rPr>
          <w:rFonts w:cs="Arial"/>
          <w:b/>
          <w:szCs w:val="20"/>
        </w:rPr>
        <w:t>make an accurate written record</w:t>
      </w:r>
      <w:r w:rsidRPr="009674AE">
        <w:rPr>
          <w:rFonts w:cs="Arial"/>
          <w:szCs w:val="20"/>
        </w:rPr>
        <w:t xml:space="preserve"> of the details of each spray application within 24 hours following application and </w:t>
      </w:r>
      <w:r w:rsidRPr="009674AE">
        <w:rPr>
          <w:rFonts w:cs="Arial"/>
          <w:b/>
          <w:szCs w:val="20"/>
        </w:rPr>
        <w:t>KEEP</w:t>
      </w:r>
      <w:r w:rsidRPr="009674AE">
        <w:rPr>
          <w:rFonts w:cs="Arial"/>
          <w:szCs w:val="20"/>
        </w:rPr>
        <w:t xml:space="preserve"> this record for a minimum of 2 years. The spray application details that must be recorded are: </w:t>
      </w:r>
      <w:r w:rsidRPr="009674AE">
        <w:rPr>
          <w:rFonts w:cs="Arial"/>
          <w:b/>
          <w:szCs w:val="20"/>
        </w:rPr>
        <w:t>1.</w:t>
      </w:r>
      <w:r w:rsidRPr="009674AE">
        <w:rPr>
          <w:rFonts w:cs="Arial"/>
          <w:szCs w:val="20"/>
        </w:rPr>
        <w:t xml:space="preserve"> date with start and finish times of application; </w:t>
      </w:r>
      <w:r w:rsidRPr="009674AE">
        <w:rPr>
          <w:rFonts w:cs="Arial"/>
          <w:b/>
          <w:szCs w:val="20"/>
        </w:rPr>
        <w:t>2.</w:t>
      </w:r>
      <w:r w:rsidRPr="009674AE">
        <w:rPr>
          <w:rFonts w:cs="Arial"/>
          <w:szCs w:val="20"/>
        </w:rPr>
        <w:t xml:space="preserve"> location address and paddock/s sprayed; </w:t>
      </w:r>
      <w:r w:rsidRPr="009674AE">
        <w:rPr>
          <w:rFonts w:cs="Arial"/>
          <w:b/>
          <w:szCs w:val="20"/>
        </w:rPr>
        <w:t>3.</w:t>
      </w:r>
      <w:r w:rsidRPr="009674AE">
        <w:rPr>
          <w:rFonts w:cs="Arial"/>
          <w:szCs w:val="20"/>
        </w:rPr>
        <w:t xml:space="preserve"> full name of this product; </w:t>
      </w:r>
      <w:r w:rsidRPr="009674AE">
        <w:rPr>
          <w:rFonts w:cs="Arial"/>
          <w:b/>
          <w:szCs w:val="20"/>
        </w:rPr>
        <w:t>4.</w:t>
      </w:r>
      <w:r w:rsidRPr="009674AE">
        <w:rPr>
          <w:rFonts w:cs="Arial"/>
          <w:szCs w:val="20"/>
        </w:rPr>
        <w:t xml:space="preserve"> amount of product used per hectare and number of hectares applied to; </w:t>
      </w:r>
      <w:r w:rsidRPr="009674AE">
        <w:rPr>
          <w:rFonts w:cs="Arial"/>
          <w:b/>
          <w:szCs w:val="20"/>
        </w:rPr>
        <w:t>5.</w:t>
      </w:r>
      <w:r w:rsidRPr="009674AE">
        <w:rPr>
          <w:rFonts w:cs="Arial"/>
          <w:szCs w:val="20"/>
        </w:rPr>
        <w:t xml:space="preserve"> crop/situation and weed/pest; </w:t>
      </w:r>
      <w:r w:rsidRPr="009674AE">
        <w:rPr>
          <w:rFonts w:cs="Arial"/>
          <w:b/>
          <w:szCs w:val="20"/>
        </w:rPr>
        <w:t>6.</w:t>
      </w:r>
      <w:r w:rsidRPr="009674AE">
        <w:rPr>
          <w:rFonts w:cs="Arial"/>
          <w:szCs w:val="20"/>
        </w:rPr>
        <w:t xml:space="preserve"> wind speed and direction during application; </w:t>
      </w:r>
      <w:r w:rsidRPr="009674AE">
        <w:rPr>
          <w:rFonts w:cs="Arial"/>
          <w:b/>
          <w:szCs w:val="20"/>
        </w:rPr>
        <w:t>7.</w:t>
      </w:r>
      <w:r w:rsidRPr="009674AE">
        <w:rPr>
          <w:rFonts w:cs="Arial"/>
          <w:szCs w:val="20"/>
        </w:rPr>
        <w:t xml:space="preserve"> air temperature and relative humidity during application; </w:t>
      </w:r>
      <w:r w:rsidRPr="009674AE">
        <w:rPr>
          <w:rFonts w:cs="Arial"/>
          <w:b/>
          <w:szCs w:val="20"/>
        </w:rPr>
        <w:t>8.</w:t>
      </w:r>
      <w:r w:rsidRPr="009674AE">
        <w:rPr>
          <w:rFonts w:cs="Arial"/>
          <w:szCs w:val="20"/>
        </w:rPr>
        <w:t xml:space="preserve"> nozzle brand, type, spray angle, nozzle capacity and spray system pressure measured during application; </w:t>
      </w:r>
      <w:r w:rsidRPr="009674AE">
        <w:rPr>
          <w:rFonts w:cs="Arial"/>
          <w:b/>
          <w:szCs w:val="20"/>
        </w:rPr>
        <w:t xml:space="preserve">9. </w:t>
      </w:r>
      <w:r w:rsidRPr="009674AE">
        <w:rPr>
          <w:rFonts w:cs="Arial"/>
          <w:szCs w:val="20"/>
        </w:rPr>
        <w:t>name and address of person applying this product. (Additional record details may be required by the state or territory where this product is used.)</w:t>
      </w:r>
    </w:p>
    <w:p w14:paraId="5E8CE0E3" w14:textId="77777777" w:rsidR="009674AE" w:rsidRPr="009674AE" w:rsidRDefault="009674AE" w:rsidP="009674AE">
      <w:pPr>
        <w:rPr>
          <w:rFonts w:cs="Arial"/>
          <w:szCs w:val="20"/>
        </w:rPr>
      </w:pPr>
    </w:p>
    <w:tbl>
      <w:tblPr>
        <w:tblW w:w="102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Caption w:val="Directions for Use Table"/>
        <w:tblDescription w:val="Table shows directions for use of Miravis Fungicide for control of Black leg and White leaf spot in canola, Powdery mildew in grapevines and Target spot/early blight in potatoes."/>
      </w:tblPr>
      <w:tblGrid>
        <w:gridCol w:w="1159"/>
        <w:gridCol w:w="1818"/>
        <w:gridCol w:w="1816"/>
        <w:gridCol w:w="5454"/>
      </w:tblGrid>
      <w:tr w:rsidR="009674AE" w:rsidRPr="009674AE" w14:paraId="74328FDB" w14:textId="77777777" w:rsidTr="001936D7">
        <w:trPr>
          <w:cantSplit/>
          <w:tblHeader/>
        </w:trPr>
        <w:tc>
          <w:tcPr>
            <w:tcW w:w="1159" w:type="dxa"/>
            <w:tcMar>
              <w:top w:w="85" w:type="dxa"/>
              <w:left w:w="57" w:type="dxa"/>
              <w:bottom w:w="85" w:type="dxa"/>
              <w:right w:w="57" w:type="dxa"/>
            </w:tcMar>
          </w:tcPr>
          <w:p w14:paraId="5D9C5AA0" w14:textId="77777777" w:rsidR="009674AE" w:rsidRPr="009674AE" w:rsidRDefault="009674AE" w:rsidP="009674AE">
            <w:pPr>
              <w:jc w:val="center"/>
              <w:rPr>
                <w:rFonts w:cs="Arial"/>
                <w:b/>
                <w:szCs w:val="20"/>
              </w:rPr>
            </w:pPr>
            <w:r w:rsidRPr="009674AE">
              <w:rPr>
                <w:rFonts w:cs="Arial"/>
                <w:b/>
                <w:szCs w:val="20"/>
              </w:rPr>
              <w:t>Crop</w:t>
            </w:r>
          </w:p>
        </w:tc>
        <w:tc>
          <w:tcPr>
            <w:tcW w:w="1818" w:type="dxa"/>
            <w:tcMar>
              <w:top w:w="85" w:type="dxa"/>
              <w:left w:w="57" w:type="dxa"/>
              <w:bottom w:w="85" w:type="dxa"/>
              <w:right w:w="57" w:type="dxa"/>
            </w:tcMar>
          </w:tcPr>
          <w:p w14:paraId="524D971F" w14:textId="77777777" w:rsidR="009674AE" w:rsidRPr="009674AE" w:rsidRDefault="009674AE" w:rsidP="009674AE">
            <w:pPr>
              <w:jc w:val="center"/>
              <w:rPr>
                <w:rFonts w:cs="Arial"/>
                <w:b/>
                <w:szCs w:val="20"/>
              </w:rPr>
            </w:pPr>
            <w:r w:rsidRPr="009674AE">
              <w:rPr>
                <w:rFonts w:cs="Arial"/>
                <w:b/>
                <w:szCs w:val="20"/>
              </w:rPr>
              <w:t>Disease</w:t>
            </w:r>
          </w:p>
        </w:tc>
        <w:tc>
          <w:tcPr>
            <w:tcW w:w="1816" w:type="dxa"/>
            <w:tcMar>
              <w:top w:w="85" w:type="dxa"/>
              <w:left w:w="57" w:type="dxa"/>
              <w:bottom w:w="85" w:type="dxa"/>
              <w:right w:w="57" w:type="dxa"/>
            </w:tcMar>
          </w:tcPr>
          <w:p w14:paraId="05AB68CA" w14:textId="77777777" w:rsidR="009674AE" w:rsidRPr="009674AE" w:rsidRDefault="009674AE" w:rsidP="009674AE">
            <w:pPr>
              <w:jc w:val="center"/>
              <w:rPr>
                <w:rFonts w:cs="Arial"/>
                <w:b/>
                <w:szCs w:val="20"/>
              </w:rPr>
            </w:pPr>
            <w:r w:rsidRPr="009674AE">
              <w:rPr>
                <w:rFonts w:cs="Arial"/>
                <w:b/>
                <w:szCs w:val="20"/>
              </w:rPr>
              <w:t>Rate</w:t>
            </w:r>
          </w:p>
        </w:tc>
        <w:tc>
          <w:tcPr>
            <w:tcW w:w="5454" w:type="dxa"/>
            <w:tcMar>
              <w:top w:w="85" w:type="dxa"/>
              <w:left w:w="57" w:type="dxa"/>
              <w:bottom w:w="85" w:type="dxa"/>
              <w:right w:w="57" w:type="dxa"/>
            </w:tcMar>
          </w:tcPr>
          <w:p w14:paraId="1BDFCFC6" w14:textId="77777777" w:rsidR="009674AE" w:rsidRPr="009674AE" w:rsidRDefault="009674AE" w:rsidP="009674AE">
            <w:pPr>
              <w:jc w:val="center"/>
              <w:rPr>
                <w:rFonts w:cs="Arial"/>
                <w:b/>
                <w:szCs w:val="20"/>
              </w:rPr>
            </w:pPr>
            <w:r w:rsidRPr="009674AE">
              <w:rPr>
                <w:rFonts w:cs="Arial"/>
                <w:b/>
                <w:szCs w:val="20"/>
              </w:rPr>
              <w:t>Critical Comments</w:t>
            </w:r>
          </w:p>
        </w:tc>
      </w:tr>
      <w:tr w:rsidR="009674AE" w:rsidRPr="009674AE" w14:paraId="6F04694A" w14:textId="77777777" w:rsidTr="001936D7">
        <w:trPr>
          <w:cantSplit/>
        </w:trPr>
        <w:tc>
          <w:tcPr>
            <w:tcW w:w="1159" w:type="dxa"/>
            <w:vMerge w:val="restart"/>
            <w:tcMar>
              <w:left w:w="57" w:type="dxa"/>
              <w:right w:w="57" w:type="dxa"/>
            </w:tcMar>
          </w:tcPr>
          <w:p w14:paraId="52C5B5D9" w14:textId="77777777" w:rsidR="009674AE" w:rsidRPr="009674AE" w:rsidRDefault="009674AE" w:rsidP="009674AE">
            <w:pPr>
              <w:rPr>
                <w:rFonts w:cs="Arial"/>
                <w:szCs w:val="20"/>
              </w:rPr>
            </w:pPr>
            <w:r w:rsidRPr="009674AE">
              <w:rPr>
                <w:rFonts w:cs="Arial"/>
                <w:szCs w:val="20"/>
              </w:rPr>
              <w:t>Canola</w:t>
            </w:r>
          </w:p>
        </w:tc>
        <w:tc>
          <w:tcPr>
            <w:tcW w:w="1818" w:type="dxa"/>
            <w:vMerge w:val="restart"/>
            <w:noWrap/>
            <w:tcMar>
              <w:left w:w="57" w:type="dxa"/>
              <w:right w:w="57" w:type="dxa"/>
            </w:tcMar>
          </w:tcPr>
          <w:p w14:paraId="05DE3840" w14:textId="77777777" w:rsidR="009674AE" w:rsidRPr="009674AE" w:rsidRDefault="009674AE" w:rsidP="009674AE">
            <w:pPr>
              <w:rPr>
                <w:rFonts w:cs="Arial"/>
                <w:szCs w:val="20"/>
              </w:rPr>
            </w:pPr>
            <w:r w:rsidRPr="009674AE">
              <w:rPr>
                <w:rFonts w:cs="Arial"/>
                <w:szCs w:val="20"/>
              </w:rPr>
              <w:t>Black leg (</w:t>
            </w:r>
            <w:r w:rsidRPr="009674AE">
              <w:rPr>
                <w:rFonts w:cs="Arial"/>
                <w:i/>
                <w:szCs w:val="20"/>
              </w:rPr>
              <w:t>Leptosphaeria maculans</w:t>
            </w:r>
            <w:r w:rsidRPr="009674AE">
              <w:rPr>
                <w:rFonts w:cs="Arial"/>
                <w:szCs w:val="20"/>
              </w:rPr>
              <w:t>)</w:t>
            </w:r>
          </w:p>
          <w:p w14:paraId="3920B0BD" w14:textId="77777777" w:rsidR="009674AE" w:rsidRPr="009674AE" w:rsidRDefault="009674AE" w:rsidP="009674AE">
            <w:pPr>
              <w:rPr>
                <w:rFonts w:cs="Arial"/>
                <w:szCs w:val="20"/>
              </w:rPr>
            </w:pPr>
          </w:p>
          <w:p w14:paraId="3629130F" w14:textId="77777777" w:rsidR="009674AE" w:rsidRPr="009674AE" w:rsidRDefault="009674AE" w:rsidP="009674AE">
            <w:pPr>
              <w:rPr>
                <w:rFonts w:cs="Arial"/>
                <w:szCs w:val="20"/>
              </w:rPr>
            </w:pPr>
            <w:r w:rsidRPr="009674AE">
              <w:rPr>
                <w:rFonts w:cs="Arial"/>
                <w:szCs w:val="20"/>
              </w:rPr>
              <w:t>White leaf spot (</w:t>
            </w:r>
            <w:r w:rsidRPr="009674AE">
              <w:rPr>
                <w:rFonts w:cs="Arial"/>
                <w:i/>
                <w:szCs w:val="20"/>
              </w:rPr>
              <w:t>Mycosphaerella capsellae</w:t>
            </w:r>
            <w:r w:rsidRPr="009674AE">
              <w:rPr>
                <w:rFonts w:cs="Arial"/>
                <w:szCs w:val="20"/>
              </w:rPr>
              <w:t>)</w:t>
            </w:r>
          </w:p>
        </w:tc>
        <w:tc>
          <w:tcPr>
            <w:tcW w:w="1816" w:type="dxa"/>
            <w:tcMar>
              <w:left w:w="57" w:type="dxa"/>
              <w:right w:w="57" w:type="dxa"/>
            </w:tcMar>
          </w:tcPr>
          <w:p w14:paraId="60CCFC77" w14:textId="77777777" w:rsidR="009674AE" w:rsidRPr="009674AE" w:rsidRDefault="009674AE" w:rsidP="009674AE">
            <w:pPr>
              <w:rPr>
                <w:rFonts w:cs="Arial"/>
                <w:szCs w:val="20"/>
              </w:rPr>
            </w:pPr>
            <w:r w:rsidRPr="009674AE">
              <w:rPr>
                <w:rFonts w:cs="Arial"/>
                <w:szCs w:val="20"/>
              </w:rPr>
              <w:t>300 to 450 mL/ha when combined with use of a seed treatment or in-furrow treatment</w:t>
            </w:r>
          </w:p>
        </w:tc>
        <w:tc>
          <w:tcPr>
            <w:tcW w:w="5454" w:type="dxa"/>
            <w:vMerge w:val="restart"/>
            <w:tcMar>
              <w:left w:w="57" w:type="dxa"/>
              <w:right w:w="57" w:type="dxa"/>
            </w:tcMar>
          </w:tcPr>
          <w:p w14:paraId="32FE4F27" w14:textId="77777777" w:rsidR="009674AE" w:rsidRPr="009674AE" w:rsidRDefault="009674AE" w:rsidP="009674AE">
            <w:pPr>
              <w:rPr>
                <w:rFonts w:cs="Arial"/>
                <w:szCs w:val="20"/>
              </w:rPr>
            </w:pPr>
            <w:r w:rsidRPr="009674AE">
              <w:rPr>
                <w:rFonts w:cs="Arial"/>
                <w:szCs w:val="20"/>
              </w:rPr>
              <w:t xml:space="preserve">Apply at the 4–6 leaf crop stage. Use lower rate range when used in combination with an effective seed treatment/in-furrow product. </w:t>
            </w:r>
          </w:p>
          <w:p w14:paraId="612F508D" w14:textId="77777777" w:rsidR="009674AE" w:rsidRPr="009674AE" w:rsidRDefault="009674AE" w:rsidP="009674AE">
            <w:pPr>
              <w:rPr>
                <w:rFonts w:cs="Arial"/>
                <w:szCs w:val="20"/>
              </w:rPr>
            </w:pPr>
            <w:r w:rsidRPr="009674AE">
              <w:rPr>
                <w:rFonts w:cs="Arial"/>
                <w:szCs w:val="20"/>
              </w:rPr>
              <w:t xml:space="preserve">When planting highly susceptible varieties combine with effective seed or in-furrow treatment. Application of MIRAVIS™ will reduce lodging, improve adult plant survival and stem canker from blackleg. </w:t>
            </w:r>
          </w:p>
          <w:p w14:paraId="6F3212B4" w14:textId="77777777" w:rsidR="009674AE" w:rsidRPr="009674AE" w:rsidRDefault="009674AE" w:rsidP="009674AE">
            <w:pPr>
              <w:rPr>
                <w:rFonts w:cs="Arial"/>
                <w:szCs w:val="20"/>
              </w:rPr>
            </w:pPr>
            <w:r w:rsidRPr="009674AE">
              <w:rPr>
                <w:rFonts w:cs="Arial"/>
                <w:szCs w:val="20"/>
              </w:rPr>
              <w:t>Use higher rate in crops with a higher disease risk (see Disease control in canola)</w:t>
            </w:r>
          </w:p>
        </w:tc>
      </w:tr>
      <w:tr w:rsidR="009674AE" w:rsidRPr="009674AE" w14:paraId="7154C33E" w14:textId="77777777" w:rsidTr="001936D7">
        <w:trPr>
          <w:cantSplit/>
        </w:trPr>
        <w:tc>
          <w:tcPr>
            <w:tcW w:w="1159" w:type="dxa"/>
            <w:vMerge/>
            <w:tcMar>
              <w:left w:w="57" w:type="dxa"/>
              <w:right w:w="57" w:type="dxa"/>
            </w:tcMar>
          </w:tcPr>
          <w:p w14:paraId="17483D49" w14:textId="77777777" w:rsidR="009674AE" w:rsidRPr="009674AE" w:rsidRDefault="009674AE" w:rsidP="009674AE">
            <w:pPr>
              <w:rPr>
                <w:rFonts w:cs="Arial"/>
                <w:szCs w:val="20"/>
              </w:rPr>
            </w:pPr>
          </w:p>
        </w:tc>
        <w:tc>
          <w:tcPr>
            <w:tcW w:w="1818" w:type="dxa"/>
            <w:vMerge/>
            <w:noWrap/>
            <w:tcMar>
              <w:left w:w="57" w:type="dxa"/>
              <w:right w:w="57" w:type="dxa"/>
            </w:tcMar>
          </w:tcPr>
          <w:p w14:paraId="4963E7AB" w14:textId="77777777" w:rsidR="009674AE" w:rsidRPr="009674AE" w:rsidRDefault="009674AE" w:rsidP="009674AE">
            <w:pPr>
              <w:rPr>
                <w:rFonts w:cs="Arial"/>
                <w:szCs w:val="20"/>
              </w:rPr>
            </w:pPr>
          </w:p>
        </w:tc>
        <w:tc>
          <w:tcPr>
            <w:tcW w:w="1816" w:type="dxa"/>
            <w:tcMar>
              <w:left w:w="57" w:type="dxa"/>
              <w:right w:w="57" w:type="dxa"/>
            </w:tcMar>
          </w:tcPr>
          <w:p w14:paraId="18BB7645" w14:textId="77777777" w:rsidR="009674AE" w:rsidRPr="009674AE" w:rsidRDefault="009674AE" w:rsidP="009674AE">
            <w:pPr>
              <w:rPr>
                <w:rFonts w:cs="Arial"/>
                <w:szCs w:val="20"/>
              </w:rPr>
            </w:pPr>
            <w:r w:rsidRPr="009674AE">
              <w:rPr>
                <w:rFonts w:cs="Arial"/>
                <w:szCs w:val="20"/>
              </w:rPr>
              <w:t>450 to 600 mL/ha</w:t>
            </w:r>
          </w:p>
          <w:p w14:paraId="6AB5052A" w14:textId="77777777" w:rsidR="009674AE" w:rsidRPr="009674AE" w:rsidRDefault="009674AE" w:rsidP="009674AE">
            <w:pPr>
              <w:rPr>
                <w:rFonts w:cs="Arial"/>
                <w:szCs w:val="20"/>
              </w:rPr>
            </w:pPr>
            <w:r w:rsidRPr="009674AE">
              <w:rPr>
                <w:rFonts w:cs="Arial"/>
                <w:szCs w:val="20"/>
              </w:rPr>
              <w:t>without prior use of seed treatment or in-furrow treatment</w:t>
            </w:r>
          </w:p>
        </w:tc>
        <w:tc>
          <w:tcPr>
            <w:tcW w:w="5454" w:type="dxa"/>
            <w:vMerge/>
            <w:tcMar>
              <w:left w:w="57" w:type="dxa"/>
              <w:right w:w="57" w:type="dxa"/>
            </w:tcMar>
          </w:tcPr>
          <w:p w14:paraId="3D93FCC4" w14:textId="77777777" w:rsidR="009674AE" w:rsidRPr="009674AE" w:rsidRDefault="009674AE" w:rsidP="009674AE">
            <w:pPr>
              <w:rPr>
                <w:rFonts w:cs="Arial"/>
                <w:szCs w:val="20"/>
              </w:rPr>
            </w:pPr>
          </w:p>
        </w:tc>
      </w:tr>
      <w:tr w:rsidR="009674AE" w:rsidRPr="009674AE" w14:paraId="3404AB60" w14:textId="77777777" w:rsidTr="001936D7">
        <w:trPr>
          <w:cantSplit/>
        </w:trPr>
        <w:tc>
          <w:tcPr>
            <w:tcW w:w="1159" w:type="dxa"/>
            <w:tcMar>
              <w:left w:w="57" w:type="dxa"/>
              <w:right w:w="57" w:type="dxa"/>
            </w:tcMar>
          </w:tcPr>
          <w:p w14:paraId="5BD30BC5" w14:textId="77777777" w:rsidR="009674AE" w:rsidRPr="009674AE" w:rsidRDefault="009674AE" w:rsidP="009674AE">
            <w:pPr>
              <w:rPr>
                <w:rFonts w:cs="Arial"/>
                <w:szCs w:val="20"/>
              </w:rPr>
            </w:pPr>
            <w:r w:rsidRPr="009674AE">
              <w:rPr>
                <w:rFonts w:cs="Arial"/>
                <w:szCs w:val="20"/>
              </w:rPr>
              <w:t>Grapes, wine, table and dried fruit production</w:t>
            </w:r>
          </w:p>
        </w:tc>
        <w:tc>
          <w:tcPr>
            <w:tcW w:w="1818" w:type="dxa"/>
            <w:noWrap/>
            <w:tcMar>
              <w:left w:w="57" w:type="dxa"/>
              <w:right w:w="57" w:type="dxa"/>
            </w:tcMar>
          </w:tcPr>
          <w:p w14:paraId="4A777449" w14:textId="77777777" w:rsidR="009674AE" w:rsidRPr="009674AE" w:rsidRDefault="009674AE" w:rsidP="009674AE">
            <w:pPr>
              <w:rPr>
                <w:rFonts w:cs="Arial"/>
                <w:szCs w:val="20"/>
              </w:rPr>
            </w:pPr>
            <w:r w:rsidRPr="009674AE">
              <w:rPr>
                <w:rFonts w:cs="Arial"/>
                <w:szCs w:val="20"/>
              </w:rPr>
              <w:t>Powdery Mildew</w:t>
            </w:r>
          </w:p>
          <w:p w14:paraId="63B4E7B0" w14:textId="77777777" w:rsidR="009674AE" w:rsidRPr="009674AE" w:rsidRDefault="009674AE" w:rsidP="009674AE">
            <w:pPr>
              <w:rPr>
                <w:rFonts w:cs="Arial"/>
                <w:szCs w:val="20"/>
              </w:rPr>
            </w:pPr>
            <w:r w:rsidRPr="009674AE">
              <w:rPr>
                <w:rFonts w:cs="Arial"/>
                <w:szCs w:val="20"/>
              </w:rPr>
              <w:t>(</w:t>
            </w:r>
            <w:r w:rsidRPr="009674AE">
              <w:rPr>
                <w:rFonts w:cs="Arial"/>
                <w:i/>
                <w:szCs w:val="20"/>
              </w:rPr>
              <w:t>Uncinular necator</w:t>
            </w:r>
            <w:r w:rsidRPr="009674AE">
              <w:rPr>
                <w:rFonts w:cs="Arial"/>
                <w:szCs w:val="20"/>
              </w:rPr>
              <w:t>)</w:t>
            </w:r>
          </w:p>
        </w:tc>
        <w:tc>
          <w:tcPr>
            <w:tcW w:w="1816" w:type="dxa"/>
            <w:tcMar>
              <w:left w:w="57" w:type="dxa"/>
              <w:right w:w="57" w:type="dxa"/>
            </w:tcMar>
          </w:tcPr>
          <w:p w14:paraId="2E293C9B" w14:textId="77777777" w:rsidR="009674AE" w:rsidRPr="009674AE" w:rsidRDefault="009674AE" w:rsidP="009674AE">
            <w:pPr>
              <w:rPr>
                <w:rFonts w:cs="Arial"/>
                <w:szCs w:val="20"/>
              </w:rPr>
            </w:pPr>
            <w:r w:rsidRPr="009674AE">
              <w:rPr>
                <w:rFonts w:cs="Arial"/>
                <w:szCs w:val="20"/>
              </w:rPr>
              <w:t>20 mL/100 L</w:t>
            </w:r>
          </w:p>
        </w:tc>
        <w:tc>
          <w:tcPr>
            <w:tcW w:w="5454" w:type="dxa"/>
            <w:tcMar>
              <w:left w:w="57" w:type="dxa"/>
              <w:right w:w="57" w:type="dxa"/>
            </w:tcMar>
          </w:tcPr>
          <w:p w14:paraId="7F06CED6" w14:textId="77777777" w:rsidR="009674AE" w:rsidRPr="009674AE" w:rsidRDefault="009674AE" w:rsidP="009674AE">
            <w:pPr>
              <w:rPr>
                <w:rFonts w:cs="Arial"/>
                <w:szCs w:val="20"/>
              </w:rPr>
            </w:pPr>
            <w:r w:rsidRPr="009674AE">
              <w:rPr>
                <w:rFonts w:cs="Arial"/>
                <w:szCs w:val="20"/>
              </w:rPr>
              <w:t xml:space="preserve">Apply as part of a regular spray program for powdery mildew until pre-flowering (EL19; BBCH49). </w:t>
            </w:r>
          </w:p>
          <w:p w14:paraId="4339E15A" w14:textId="77777777" w:rsidR="009674AE" w:rsidRPr="009674AE" w:rsidRDefault="009674AE" w:rsidP="009674AE">
            <w:pPr>
              <w:rPr>
                <w:rFonts w:cs="Arial"/>
                <w:szCs w:val="20"/>
              </w:rPr>
            </w:pPr>
            <w:r w:rsidRPr="009674AE">
              <w:rPr>
                <w:rFonts w:cs="Arial"/>
                <w:szCs w:val="20"/>
              </w:rPr>
              <w:t>Apply by dilute or concentrate spraying equipment applying the same total amount of product to the crop. Refer to Application Section for calculations. Do not apply at more than 3x concentration.</w:t>
            </w:r>
          </w:p>
          <w:p w14:paraId="1E870C0B" w14:textId="77777777" w:rsidR="009674AE" w:rsidRPr="009674AE" w:rsidRDefault="009674AE" w:rsidP="009674AE">
            <w:pPr>
              <w:rPr>
                <w:rFonts w:cs="Arial"/>
                <w:szCs w:val="20"/>
              </w:rPr>
            </w:pPr>
            <w:r w:rsidRPr="009674AE">
              <w:rPr>
                <w:rFonts w:cs="Arial"/>
                <w:szCs w:val="20"/>
              </w:rPr>
              <w:t xml:space="preserve">Apply MIRAVIS™ as part of a protectant fungicide program at 14 to 21 day intervals. Apply an alternative mode of action fungicide at no more than 21 days after the application of MIRAVIS™ during periods conducive to powdery mildew infection or periods of rapid vine growth. </w:t>
            </w:r>
          </w:p>
          <w:p w14:paraId="3DE5CD60" w14:textId="77777777" w:rsidR="009674AE" w:rsidRPr="009674AE" w:rsidRDefault="009674AE" w:rsidP="009674AE">
            <w:pPr>
              <w:rPr>
                <w:rFonts w:cs="Arial"/>
                <w:szCs w:val="20"/>
              </w:rPr>
            </w:pPr>
            <w:r w:rsidRPr="009674AE">
              <w:rPr>
                <w:rFonts w:cs="Arial"/>
                <w:szCs w:val="20"/>
              </w:rPr>
              <w:t>Do not apply more than two applications of MIRAVIS™ per growing season and no more than three applications of a group 7 containing fungicide. Do not apply consecutive applications of a group 7 fungicide.</w:t>
            </w:r>
          </w:p>
        </w:tc>
      </w:tr>
      <w:tr w:rsidR="009674AE" w:rsidRPr="009674AE" w14:paraId="5139C72F" w14:textId="77777777" w:rsidTr="001936D7">
        <w:trPr>
          <w:cantSplit/>
        </w:trPr>
        <w:tc>
          <w:tcPr>
            <w:tcW w:w="1159" w:type="dxa"/>
            <w:tcBorders>
              <w:top w:val="single" w:sz="4" w:space="0" w:color="auto"/>
              <w:left w:val="single" w:sz="4" w:space="0" w:color="auto"/>
              <w:right w:val="single" w:sz="4" w:space="0" w:color="auto"/>
            </w:tcBorders>
            <w:tcMar>
              <w:left w:w="57" w:type="dxa"/>
              <w:right w:w="57" w:type="dxa"/>
            </w:tcMar>
          </w:tcPr>
          <w:p w14:paraId="322F5100" w14:textId="77777777" w:rsidR="009674AE" w:rsidRPr="009674AE" w:rsidRDefault="009674AE" w:rsidP="009674AE">
            <w:pPr>
              <w:rPr>
                <w:rFonts w:cs="Arial"/>
                <w:szCs w:val="20"/>
              </w:rPr>
            </w:pPr>
            <w:r w:rsidRPr="009674AE">
              <w:rPr>
                <w:rFonts w:cs="Arial"/>
                <w:szCs w:val="20"/>
              </w:rPr>
              <w:lastRenderedPageBreak/>
              <w:t>Potatoes</w:t>
            </w:r>
          </w:p>
        </w:tc>
        <w:tc>
          <w:tcPr>
            <w:tcW w:w="1818" w:type="dxa"/>
            <w:tcBorders>
              <w:top w:val="single" w:sz="4" w:space="0" w:color="auto"/>
              <w:left w:val="single" w:sz="4" w:space="0" w:color="auto"/>
              <w:bottom w:val="single" w:sz="4" w:space="0" w:color="auto"/>
              <w:right w:val="single" w:sz="4" w:space="0" w:color="auto"/>
            </w:tcBorders>
            <w:noWrap/>
            <w:tcMar>
              <w:left w:w="57" w:type="dxa"/>
              <w:right w:w="57" w:type="dxa"/>
            </w:tcMar>
          </w:tcPr>
          <w:p w14:paraId="5C433FA5" w14:textId="77777777" w:rsidR="009674AE" w:rsidRPr="009674AE" w:rsidRDefault="009674AE" w:rsidP="009674AE">
            <w:pPr>
              <w:rPr>
                <w:rFonts w:cs="Arial"/>
                <w:szCs w:val="20"/>
              </w:rPr>
            </w:pPr>
            <w:r w:rsidRPr="009674AE">
              <w:rPr>
                <w:rFonts w:cs="Arial"/>
                <w:szCs w:val="20"/>
              </w:rPr>
              <w:t xml:space="preserve">Target spot/early blight </w:t>
            </w:r>
          </w:p>
          <w:p w14:paraId="1AED8432" w14:textId="77777777" w:rsidR="009674AE" w:rsidRPr="009674AE" w:rsidRDefault="009674AE" w:rsidP="009674AE">
            <w:pPr>
              <w:rPr>
                <w:rFonts w:cs="Arial"/>
                <w:szCs w:val="20"/>
              </w:rPr>
            </w:pPr>
            <w:r w:rsidRPr="009674AE">
              <w:rPr>
                <w:rFonts w:cs="Arial"/>
                <w:szCs w:val="20"/>
              </w:rPr>
              <w:t>(</w:t>
            </w:r>
            <w:r w:rsidRPr="009674AE">
              <w:rPr>
                <w:rFonts w:cs="Arial"/>
                <w:i/>
                <w:szCs w:val="20"/>
              </w:rPr>
              <w:t>Alternaria solani</w:t>
            </w:r>
            <w:r w:rsidRPr="009674AE">
              <w:rPr>
                <w:rFonts w:cs="Arial"/>
                <w:szCs w:val="20"/>
              </w:rPr>
              <w:t>)</w:t>
            </w:r>
          </w:p>
        </w:tc>
        <w:tc>
          <w:tcPr>
            <w:tcW w:w="1816" w:type="dxa"/>
            <w:tcBorders>
              <w:top w:val="single" w:sz="4" w:space="0" w:color="auto"/>
              <w:left w:val="single" w:sz="4" w:space="0" w:color="auto"/>
              <w:bottom w:val="single" w:sz="4" w:space="0" w:color="auto"/>
              <w:right w:val="single" w:sz="4" w:space="0" w:color="auto"/>
            </w:tcBorders>
            <w:tcMar>
              <w:left w:w="57" w:type="dxa"/>
              <w:right w:w="57" w:type="dxa"/>
            </w:tcMar>
          </w:tcPr>
          <w:p w14:paraId="24F5312E" w14:textId="77777777" w:rsidR="009674AE" w:rsidRPr="009674AE" w:rsidRDefault="009674AE" w:rsidP="009674AE">
            <w:pPr>
              <w:rPr>
                <w:rFonts w:cs="Arial"/>
                <w:szCs w:val="20"/>
              </w:rPr>
            </w:pPr>
            <w:r w:rsidRPr="009674AE">
              <w:rPr>
                <w:rFonts w:cs="Arial"/>
                <w:szCs w:val="20"/>
              </w:rPr>
              <w:t>250 to 375 mL/ha</w:t>
            </w:r>
          </w:p>
        </w:tc>
        <w:tc>
          <w:tcPr>
            <w:tcW w:w="5454" w:type="dxa"/>
            <w:tcBorders>
              <w:top w:val="single" w:sz="4" w:space="0" w:color="auto"/>
              <w:left w:val="single" w:sz="4" w:space="0" w:color="auto"/>
              <w:bottom w:val="single" w:sz="4" w:space="0" w:color="auto"/>
              <w:right w:val="single" w:sz="4" w:space="0" w:color="auto"/>
            </w:tcBorders>
            <w:tcMar>
              <w:left w:w="57" w:type="dxa"/>
              <w:right w:w="57" w:type="dxa"/>
            </w:tcMar>
          </w:tcPr>
          <w:p w14:paraId="6D6C8255" w14:textId="7CC903F4" w:rsidR="009674AE" w:rsidRPr="009674AE" w:rsidRDefault="009674AE" w:rsidP="009674AE">
            <w:pPr>
              <w:rPr>
                <w:rFonts w:cs="Arial"/>
                <w:szCs w:val="20"/>
              </w:rPr>
            </w:pPr>
            <w:r w:rsidRPr="009674AE">
              <w:rPr>
                <w:rFonts w:cs="Arial"/>
                <w:szCs w:val="20"/>
              </w:rPr>
              <w:t>Use in a protectant program before disease occurs. Use the 375 ml/ha when conditions favour high disease pressure at 7</w:t>
            </w:r>
            <w:r w:rsidR="00930803">
              <w:rPr>
                <w:rFonts w:cs="Arial"/>
                <w:szCs w:val="20"/>
              </w:rPr>
              <w:t>–</w:t>
            </w:r>
            <w:r w:rsidRPr="009674AE">
              <w:rPr>
                <w:rFonts w:cs="Arial"/>
                <w:szCs w:val="20"/>
              </w:rPr>
              <w:t>14 day intervals, when extending the a</w:t>
            </w:r>
            <w:r>
              <w:rPr>
                <w:rFonts w:cs="Arial"/>
                <w:szCs w:val="20"/>
              </w:rPr>
              <w:t>pplication interval to 14</w:t>
            </w:r>
            <w:r w:rsidR="00930803">
              <w:rPr>
                <w:rFonts w:cs="Arial"/>
                <w:szCs w:val="20"/>
              </w:rPr>
              <w:t>–</w:t>
            </w:r>
            <w:r>
              <w:rPr>
                <w:rFonts w:cs="Arial"/>
                <w:szCs w:val="20"/>
              </w:rPr>
              <w:t xml:space="preserve">21 </w:t>
            </w:r>
            <w:r w:rsidRPr="009674AE">
              <w:rPr>
                <w:rFonts w:cs="Arial"/>
                <w:szCs w:val="20"/>
              </w:rPr>
              <w:t xml:space="preserve">days or later in the season when using the higher recommended water rates. </w:t>
            </w:r>
          </w:p>
          <w:p w14:paraId="76D0E1CC" w14:textId="77777777" w:rsidR="009674AE" w:rsidRPr="009674AE" w:rsidRDefault="009674AE" w:rsidP="009674AE">
            <w:pPr>
              <w:rPr>
                <w:rFonts w:cs="Arial"/>
                <w:szCs w:val="20"/>
              </w:rPr>
            </w:pPr>
            <w:r w:rsidRPr="009674AE">
              <w:rPr>
                <w:rFonts w:cs="Arial"/>
                <w:szCs w:val="20"/>
              </w:rPr>
              <w:t xml:space="preserve">Solo applications of MIRAVIS™ should be applied in strict alternation with fungicides from a different mode of action group. </w:t>
            </w:r>
          </w:p>
          <w:p w14:paraId="4673571B" w14:textId="77777777" w:rsidR="009674AE" w:rsidRPr="009674AE" w:rsidRDefault="009674AE" w:rsidP="009674AE">
            <w:pPr>
              <w:rPr>
                <w:rFonts w:cs="Arial"/>
                <w:szCs w:val="20"/>
              </w:rPr>
            </w:pPr>
            <w:r w:rsidRPr="009674AE">
              <w:rPr>
                <w:rFonts w:cs="Arial"/>
                <w:szCs w:val="20"/>
              </w:rPr>
              <w:t>MIRAVIS™ applied in a mixture with a non-cross resistant fungicide can only be applied in 2 consecutive sprays before rotation to a different fungicide group. Refer to manufacturers' recommendations for rates of partner fungicides. DO NOT apply more than 3 applications per crop. Group 7 containing fungicides should compose up to 33% of the fungicide program.</w:t>
            </w:r>
          </w:p>
          <w:p w14:paraId="51E1745C" w14:textId="77777777" w:rsidR="009674AE" w:rsidRPr="009674AE" w:rsidRDefault="009674AE" w:rsidP="009674AE">
            <w:pPr>
              <w:rPr>
                <w:rFonts w:cs="Arial"/>
                <w:szCs w:val="20"/>
              </w:rPr>
            </w:pPr>
            <w:r w:rsidRPr="009674AE">
              <w:rPr>
                <w:rFonts w:cs="Arial"/>
                <w:szCs w:val="20"/>
              </w:rPr>
              <w:t>Apply in sufficient water volume to achieve thorough coverage of the canopy.</w:t>
            </w:r>
          </w:p>
        </w:tc>
      </w:tr>
    </w:tbl>
    <w:p w14:paraId="309B4724" w14:textId="77777777" w:rsidR="009674AE" w:rsidRPr="009674AE" w:rsidRDefault="009674AE" w:rsidP="009674AE">
      <w:pPr>
        <w:rPr>
          <w:rFonts w:cs="Arial"/>
          <w:b/>
          <w:szCs w:val="20"/>
        </w:rPr>
      </w:pPr>
    </w:p>
    <w:p w14:paraId="50050D97" w14:textId="77777777" w:rsidR="009674AE" w:rsidRPr="009674AE" w:rsidRDefault="009674AE" w:rsidP="009674AE">
      <w:pPr>
        <w:rPr>
          <w:rFonts w:cs="Arial"/>
          <w:b/>
          <w:bCs/>
          <w:szCs w:val="20"/>
        </w:rPr>
      </w:pPr>
      <w:r w:rsidRPr="009674AE">
        <w:rPr>
          <w:rFonts w:cs="Arial"/>
          <w:b/>
          <w:szCs w:val="20"/>
        </w:rPr>
        <w:t>NOT TO BE USED FOR ANY PURPOSE, OR IN ANY MANNER, CONTRARY TO THIS LABEL UNLESS AUTHORISED UNDER APPROPRIATE LEGISLATION</w:t>
      </w:r>
    </w:p>
    <w:p w14:paraId="6CE727B4" w14:textId="77777777" w:rsidR="009674AE" w:rsidRPr="009674AE" w:rsidRDefault="009674AE" w:rsidP="009674AE">
      <w:pPr>
        <w:rPr>
          <w:rFonts w:cs="Arial"/>
          <w:szCs w:val="20"/>
        </w:rPr>
      </w:pPr>
    </w:p>
    <w:p w14:paraId="7AEB1A06" w14:textId="77777777" w:rsidR="009674AE" w:rsidRPr="009674AE" w:rsidRDefault="009674AE" w:rsidP="009674AE">
      <w:pPr>
        <w:rPr>
          <w:rFonts w:cs="Arial"/>
          <w:b/>
          <w:szCs w:val="20"/>
        </w:rPr>
      </w:pPr>
      <w:r w:rsidRPr="009674AE">
        <w:rPr>
          <w:rFonts w:cs="Arial"/>
          <w:b/>
          <w:szCs w:val="20"/>
        </w:rPr>
        <w:t>WITHHOLDING PERIODS:</w:t>
      </w:r>
    </w:p>
    <w:p w14:paraId="28525F47" w14:textId="77777777" w:rsidR="009674AE" w:rsidRPr="009674AE" w:rsidRDefault="009674AE" w:rsidP="009674AE">
      <w:pPr>
        <w:tabs>
          <w:tab w:val="left" w:pos="1985"/>
        </w:tabs>
        <w:ind w:left="1985" w:hanging="1985"/>
        <w:rPr>
          <w:rFonts w:cs="Arial"/>
          <w:b/>
          <w:i/>
          <w:szCs w:val="20"/>
        </w:rPr>
      </w:pPr>
      <w:r w:rsidRPr="009674AE">
        <w:rPr>
          <w:rFonts w:cs="Arial"/>
          <w:b/>
          <w:i/>
          <w:szCs w:val="20"/>
        </w:rPr>
        <w:t>Harvest</w:t>
      </w:r>
    </w:p>
    <w:p w14:paraId="7B1DED72" w14:textId="77777777" w:rsidR="009674AE" w:rsidRPr="009674AE" w:rsidRDefault="009674AE" w:rsidP="009674AE">
      <w:pPr>
        <w:tabs>
          <w:tab w:val="left" w:pos="1701"/>
        </w:tabs>
        <w:ind w:left="1701" w:hanging="1701"/>
        <w:rPr>
          <w:rFonts w:cs="Arial"/>
          <w:b/>
          <w:szCs w:val="20"/>
        </w:rPr>
      </w:pPr>
      <w:r w:rsidRPr="009674AE">
        <w:rPr>
          <w:rFonts w:cs="Arial"/>
          <w:b/>
          <w:szCs w:val="20"/>
        </w:rPr>
        <w:t>Canola, Grapes:</w:t>
      </w:r>
      <w:r w:rsidRPr="009674AE">
        <w:rPr>
          <w:rFonts w:cs="Arial"/>
          <w:b/>
          <w:szCs w:val="20"/>
        </w:rPr>
        <w:tab/>
        <w:t xml:space="preserve">NOT </w:t>
      </w:r>
      <w:r w:rsidRPr="009674AE">
        <w:rPr>
          <w:rFonts w:cs="Arial"/>
          <w:b/>
          <w:bCs/>
          <w:szCs w:val="20"/>
        </w:rPr>
        <w:t>REQUIRED WHEN USED AS DIRECTED</w:t>
      </w:r>
    </w:p>
    <w:p w14:paraId="462B39A1" w14:textId="77777777" w:rsidR="009674AE" w:rsidRPr="009674AE" w:rsidRDefault="009674AE" w:rsidP="009674AE">
      <w:pPr>
        <w:tabs>
          <w:tab w:val="left" w:pos="1701"/>
        </w:tabs>
        <w:ind w:left="1701" w:hanging="1701"/>
        <w:rPr>
          <w:rFonts w:cs="Arial"/>
          <w:b/>
          <w:szCs w:val="20"/>
        </w:rPr>
      </w:pPr>
      <w:r w:rsidRPr="009674AE">
        <w:rPr>
          <w:rFonts w:cs="Arial"/>
          <w:b/>
          <w:szCs w:val="20"/>
        </w:rPr>
        <w:t>Potatoes:</w:t>
      </w:r>
      <w:r w:rsidRPr="009674AE">
        <w:rPr>
          <w:rFonts w:cs="Arial"/>
          <w:b/>
          <w:szCs w:val="20"/>
        </w:rPr>
        <w:tab/>
        <w:t xml:space="preserve">DO NOT HARVEST FOR 7 DAYS AFTER APPLICATION </w:t>
      </w:r>
    </w:p>
    <w:p w14:paraId="034EC237" w14:textId="77777777" w:rsidR="009674AE" w:rsidRPr="009674AE" w:rsidRDefault="009674AE" w:rsidP="009674AE">
      <w:pPr>
        <w:tabs>
          <w:tab w:val="left" w:pos="1701"/>
        </w:tabs>
        <w:ind w:left="1701" w:hanging="1701"/>
        <w:rPr>
          <w:rFonts w:cs="Arial"/>
          <w:b/>
          <w:szCs w:val="20"/>
        </w:rPr>
      </w:pPr>
    </w:p>
    <w:p w14:paraId="7F7D5A98" w14:textId="77777777" w:rsidR="009674AE" w:rsidRPr="009674AE" w:rsidRDefault="009674AE" w:rsidP="009674AE">
      <w:pPr>
        <w:tabs>
          <w:tab w:val="left" w:pos="1701"/>
        </w:tabs>
        <w:ind w:left="1701" w:hanging="1701"/>
        <w:rPr>
          <w:rFonts w:cs="Arial"/>
          <w:b/>
          <w:i/>
          <w:szCs w:val="20"/>
        </w:rPr>
      </w:pPr>
      <w:r w:rsidRPr="009674AE">
        <w:rPr>
          <w:rFonts w:cs="Arial"/>
          <w:b/>
          <w:i/>
          <w:szCs w:val="20"/>
        </w:rPr>
        <w:t>Grazing</w:t>
      </w:r>
    </w:p>
    <w:p w14:paraId="07097648" w14:textId="77777777" w:rsidR="009674AE" w:rsidRPr="009674AE" w:rsidRDefault="009674AE" w:rsidP="009674AE">
      <w:pPr>
        <w:rPr>
          <w:rFonts w:cs="Arial"/>
          <w:b/>
          <w:szCs w:val="20"/>
        </w:rPr>
      </w:pPr>
      <w:r w:rsidRPr="009674AE">
        <w:rPr>
          <w:rFonts w:cs="Arial"/>
          <w:b/>
          <w:szCs w:val="20"/>
        </w:rPr>
        <w:t>Canola:</w:t>
      </w:r>
      <w:r w:rsidRPr="009674AE">
        <w:rPr>
          <w:rFonts w:cs="Arial"/>
          <w:b/>
          <w:szCs w:val="20"/>
        </w:rPr>
        <w:tab/>
        <w:t>DO NOT GRAZE TREATED CROPS OR CUT FOR STOCKFOOD FOR 6 WEEKS AFTER APPLICATION</w:t>
      </w:r>
    </w:p>
    <w:p w14:paraId="110B5258" w14:textId="77777777" w:rsidR="009674AE" w:rsidRPr="009674AE" w:rsidRDefault="009674AE" w:rsidP="009674AE">
      <w:pPr>
        <w:rPr>
          <w:rFonts w:cs="Arial"/>
          <w:b/>
          <w:szCs w:val="20"/>
        </w:rPr>
      </w:pPr>
    </w:p>
    <w:p w14:paraId="7A62B78E" w14:textId="77777777" w:rsidR="009674AE" w:rsidRPr="009674AE" w:rsidRDefault="009674AE" w:rsidP="009674AE">
      <w:pPr>
        <w:rPr>
          <w:rFonts w:cs="Arial"/>
          <w:b/>
          <w:szCs w:val="20"/>
        </w:rPr>
      </w:pPr>
      <w:r w:rsidRPr="009674AE">
        <w:rPr>
          <w:rFonts w:cs="Arial"/>
          <w:b/>
          <w:szCs w:val="20"/>
        </w:rPr>
        <w:t xml:space="preserve">EXPORT OF TREATED PRODUCE – </w:t>
      </w:r>
      <w:r w:rsidRPr="009674AE">
        <w:rPr>
          <w:rFonts w:cs="Arial"/>
          <w:szCs w:val="20"/>
        </w:rPr>
        <w:t>Crops treated with MIRAVIS™ may contain finite (measurable) residues of pydiflumetofen and may pose a risk to trade in situations where no residue tolerance (import tolerance) is established in the importing country or where residues in Australian commodities are likely to exceed a residue tolerance (import tolerance) established in the importing country. Before you use this product, you are advised to contact Syngenta and/or your industry body about any potential trade issues and their management.</w:t>
      </w:r>
    </w:p>
    <w:p w14:paraId="3828CEA1" w14:textId="77777777" w:rsidR="009674AE" w:rsidRPr="009674AE" w:rsidRDefault="009674AE" w:rsidP="009674AE">
      <w:pPr>
        <w:rPr>
          <w:rFonts w:cs="Arial"/>
          <w:szCs w:val="20"/>
        </w:rPr>
      </w:pPr>
    </w:p>
    <w:p w14:paraId="108BBCB3" w14:textId="77777777" w:rsidR="009674AE" w:rsidRPr="009674AE" w:rsidRDefault="009674AE" w:rsidP="009674AE">
      <w:pPr>
        <w:rPr>
          <w:rFonts w:cs="Arial"/>
          <w:b/>
          <w:szCs w:val="20"/>
        </w:rPr>
      </w:pPr>
      <w:r w:rsidRPr="009674AE">
        <w:rPr>
          <w:rFonts w:cs="Arial"/>
          <w:b/>
          <w:szCs w:val="20"/>
        </w:rPr>
        <w:t>GENERAL INSTRUCTIONS</w:t>
      </w:r>
    </w:p>
    <w:p w14:paraId="5BD2DA12" w14:textId="77777777" w:rsidR="009674AE" w:rsidRPr="009674AE" w:rsidRDefault="009674AE" w:rsidP="009674AE">
      <w:pPr>
        <w:rPr>
          <w:rFonts w:cs="Arial"/>
          <w:szCs w:val="20"/>
        </w:rPr>
      </w:pPr>
      <w:r w:rsidRPr="009674AE">
        <w:rPr>
          <w:rFonts w:cs="Arial"/>
          <w:szCs w:val="20"/>
        </w:rPr>
        <w:t>MIRAVIS™ is a broad spectrum fungicide, recommended for control of foliar and soil borne plant diseases, it has preventative activity with limited curative activity.</w:t>
      </w:r>
    </w:p>
    <w:p w14:paraId="4304C379" w14:textId="77777777" w:rsidR="009674AE" w:rsidRPr="009674AE" w:rsidRDefault="009674AE" w:rsidP="009674AE">
      <w:pPr>
        <w:rPr>
          <w:rFonts w:cs="Arial"/>
          <w:b/>
          <w:szCs w:val="20"/>
        </w:rPr>
      </w:pPr>
    </w:p>
    <w:p w14:paraId="28CBD81E" w14:textId="77777777" w:rsidR="009674AE" w:rsidRPr="009674AE" w:rsidRDefault="009674AE" w:rsidP="009674AE">
      <w:pPr>
        <w:rPr>
          <w:rFonts w:cs="Arial"/>
          <w:b/>
          <w:szCs w:val="20"/>
        </w:rPr>
      </w:pPr>
      <w:r w:rsidRPr="009674AE">
        <w:rPr>
          <w:rFonts w:cs="Arial"/>
          <w:b/>
          <w:szCs w:val="20"/>
        </w:rPr>
        <w:t>Disease control in canola</w:t>
      </w:r>
    </w:p>
    <w:p w14:paraId="2F2EC49A" w14:textId="77777777" w:rsidR="009674AE" w:rsidRPr="009674AE" w:rsidRDefault="009674AE" w:rsidP="009674AE">
      <w:pPr>
        <w:rPr>
          <w:rFonts w:cs="Arial"/>
          <w:b/>
          <w:szCs w:val="20"/>
        </w:rPr>
      </w:pPr>
      <w:r w:rsidRPr="009674AE">
        <w:rPr>
          <w:rFonts w:cs="Arial"/>
          <w:szCs w:val="20"/>
        </w:rPr>
        <w:t>Blackleg is a disease which is highly dependent on distance planted from canola stubble, rainfall and canola variety. Higher blackleg risk can be expected in districts which receive higher rainfall (above 500 mm annual rainfall). Canola grown within 500 m of a previous two year’s standing stubble and in later sown crops (May to August) are also at higher risk. Other factors will also increase the risk of blackleg infection, including the intensity of canola cropping in a district, rainfall before sowing and the frequency of growing the same canola cultivar. Consult industry guidelines for more detailed assessment of blackleg risk in specific situations.</w:t>
      </w:r>
    </w:p>
    <w:p w14:paraId="30390949" w14:textId="77777777" w:rsidR="009674AE" w:rsidRPr="009674AE" w:rsidRDefault="009674AE" w:rsidP="009674AE">
      <w:pPr>
        <w:rPr>
          <w:rFonts w:cs="Arial"/>
          <w:b/>
          <w:szCs w:val="20"/>
        </w:rPr>
      </w:pPr>
    </w:p>
    <w:p w14:paraId="1725F7FC" w14:textId="77777777" w:rsidR="009674AE" w:rsidRPr="009674AE" w:rsidRDefault="009674AE" w:rsidP="009674AE">
      <w:pPr>
        <w:rPr>
          <w:rFonts w:cs="Arial"/>
          <w:b/>
          <w:szCs w:val="20"/>
        </w:rPr>
      </w:pPr>
      <w:r w:rsidRPr="009674AE">
        <w:rPr>
          <w:rFonts w:cs="Arial"/>
          <w:b/>
          <w:szCs w:val="20"/>
        </w:rPr>
        <w:t>Mixing</w:t>
      </w:r>
    </w:p>
    <w:p w14:paraId="26A73672" w14:textId="77777777" w:rsidR="009674AE" w:rsidRPr="009674AE" w:rsidRDefault="009674AE" w:rsidP="009674AE">
      <w:pPr>
        <w:rPr>
          <w:rFonts w:cs="Arial"/>
          <w:szCs w:val="20"/>
        </w:rPr>
      </w:pPr>
      <w:r w:rsidRPr="009674AE">
        <w:rPr>
          <w:rFonts w:cs="Arial"/>
          <w:szCs w:val="20"/>
        </w:rPr>
        <w:t>MIRAVIS™ is a Suspension Concentrate (SC) formulation that mixes readily with water and is applied as a spray.</w:t>
      </w:r>
    </w:p>
    <w:p w14:paraId="77E07A38" w14:textId="77777777" w:rsidR="009674AE" w:rsidRPr="009674AE" w:rsidRDefault="009674AE" w:rsidP="009674AE">
      <w:pPr>
        <w:rPr>
          <w:rFonts w:cs="Arial"/>
          <w:szCs w:val="20"/>
        </w:rPr>
      </w:pPr>
      <w:r w:rsidRPr="009674AE">
        <w:rPr>
          <w:rFonts w:cs="Arial"/>
          <w:szCs w:val="20"/>
        </w:rPr>
        <w:lastRenderedPageBreak/>
        <w:t xml:space="preserve">Measure the required amount of MIRAVIS™, add to the partly filled spray tank, and then add the remainder of the water. If oil is recommended add this after the MIRAVIS™ is well mixed. Wetting agent is not required. </w:t>
      </w:r>
    </w:p>
    <w:p w14:paraId="79BDA921" w14:textId="77777777" w:rsidR="009674AE" w:rsidRPr="009674AE" w:rsidRDefault="009674AE" w:rsidP="009674AE">
      <w:pPr>
        <w:rPr>
          <w:rFonts w:cs="Arial"/>
          <w:b/>
          <w:szCs w:val="20"/>
        </w:rPr>
      </w:pPr>
    </w:p>
    <w:p w14:paraId="7C0E61AD" w14:textId="77777777" w:rsidR="009674AE" w:rsidRPr="009674AE" w:rsidRDefault="009674AE" w:rsidP="009674AE">
      <w:pPr>
        <w:rPr>
          <w:rFonts w:cs="Arial"/>
          <w:b/>
          <w:szCs w:val="20"/>
        </w:rPr>
      </w:pPr>
      <w:r w:rsidRPr="009674AE">
        <w:rPr>
          <w:rFonts w:cs="Arial"/>
          <w:b/>
          <w:szCs w:val="20"/>
        </w:rPr>
        <w:t xml:space="preserve">Application </w:t>
      </w:r>
    </w:p>
    <w:p w14:paraId="4EC63271" w14:textId="77777777" w:rsidR="009674AE" w:rsidRPr="009674AE" w:rsidRDefault="009674AE" w:rsidP="009674AE">
      <w:pPr>
        <w:rPr>
          <w:rFonts w:cs="Arial"/>
          <w:b/>
          <w:szCs w:val="20"/>
        </w:rPr>
      </w:pPr>
      <w:r w:rsidRPr="009674AE">
        <w:rPr>
          <w:rFonts w:cs="Arial"/>
          <w:b/>
          <w:szCs w:val="20"/>
        </w:rPr>
        <w:t>Ground Application only</w:t>
      </w:r>
    </w:p>
    <w:p w14:paraId="2489F7FD" w14:textId="77777777" w:rsidR="009674AE" w:rsidRPr="009674AE" w:rsidRDefault="009674AE" w:rsidP="009674AE">
      <w:pPr>
        <w:rPr>
          <w:rFonts w:cs="Arial"/>
          <w:szCs w:val="20"/>
        </w:rPr>
      </w:pPr>
      <w:r w:rsidRPr="009674AE">
        <w:rPr>
          <w:rFonts w:cs="Arial"/>
          <w:szCs w:val="20"/>
        </w:rPr>
        <w:t>Ensure thorough coverage of foliage and/or fruit (or bunches) using equipment delivering a MEDIUM spray quality. Ensure that the correct amount of MIRAVIS™ is applied per hectare irrespective of water application rate per hectare. Apply to grapes by high volume (dilute) sprayer or by concentrate sprayer. Apply the same total amount of product to the target crop whether applying via dilute or concentrate spraying equipment.</w:t>
      </w:r>
    </w:p>
    <w:p w14:paraId="5BFB5DB4" w14:textId="77777777" w:rsidR="009674AE" w:rsidRPr="009674AE" w:rsidRDefault="009674AE" w:rsidP="009674AE">
      <w:pPr>
        <w:rPr>
          <w:rFonts w:cs="Arial"/>
          <w:szCs w:val="20"/>
        </w:rPr>
      </w:pPr>
    </w:p>
    <w:p w14:paraId="66E68BEE" w14:textId="39C08122" w:rsidR="009674AE" w:rsidRPr="009674AE" w:rsidRDefault="009674AE" w:rsidP="009674AE">
      <w:pPr>
        <w:rPr>
          <w:rFonts w:cs="Arial"/>
          <w:b/>
          <w:i/>
          <w:szCs w:val="20"/>
        </w:rPr>
      </w:pPr>
      <w:r w:rsidRPr="009674AE">
        <w:rPr>
          <w:rFonts w:cs="Arial"/>
          <w:b/>
          <w:i/>
          <w:szCs w:val="20"/>
        </w:rPr>
        <w:t>Dilute Spraying</w:t>
      </w:r>
    </w:p>
    <w:p w14:paraId="359307B9" w14:textId="77777777" w:rsidR="009674AE" w:rsidRPr="009674AE" w:rsidRDefault="009674AE" w:rsidP="009674AE">
      <w:pPr>
        <w:rPr>
          <w:rFonts w:cs="Arial"/>
          <w:szCs w:val="20"/>
        </w:rPr>
      </w:pPr>
      <w:r w:rsidRPr="009674AE">
        <w:rPr>
          <w:rFonts w:cs="Arial"/>
          <w:szCs w:val="20"/>
        </w:rPr>
        <w:t>Use a sprayer designed to apply high volumes of water up to the point of runoff and matched to the crop being sprayed. Set up and operate the sprayer to achieve even coverage throughout the crop canopy. Apply sufficient water to cover the crop to the point of runoff. Avoid excessive runoff. The required water volume may be determined by applying different test volumes, using different settings on the sprayer, from industry guidelines or expert advice. Add the amount of product specified in the Direction for Use table for each 100 L of water. Spray to the point of runoff. The required dilute spray volume will change and the sprayer set up and operation may also need to be changed, as the crop grows.</w:t>
      </w:r>
    </w:p>
    <w:p w14:paraId="649C0B03" w14:textId="77777777" w:rsidR="009674AE" w:rsidRPr="009674AE" w:rsidRDefault="009674AE" w:rsidP="009674AE">
      <w:pPr>
        <w:rPr>
          <w:rFonts w:cs="Arial"/>
          <w:b/>
          <w:i/>
          <w:szCs w:val="20"/>
        </w:rPr>
      </w:pPr>
    </w:p>
    <w:p w14:paraId="515F64E1" w14:textId="77777777" w:rsidR="009674AE" w:rsidRPr="009674AE" w:rsidRDefault="009674AE" w:rsidP="009674AE">
      <w:pPr>
        <w:rPr>
          <w:rFonts w:cs="Arial"/>
          <w:b/>
          <w:i/>
          <w:szCs w:val="20"/>
        </w:rPr>
      </w:pPr>
      <w:r w:rsidRPr="009674AE">
        <w:rPr>
          <w:rFonts w:cs="Arial"/>
          <w:b/>
          <w:i/>
          <w:szCs w:val="20"/>
        </w:rPr>
        <w:t>Concentrate Spraying</w:t>
      </w:r>
    </w:p>
    <w:p w14:paraId="53ADF011" w14:textId="77777777" w:rsidR="009674AE" w:rsidRPr="009674AE" w:rsidRDefault="009674AE" w:rsidP="009674AE">
      <w:pPr>
        <w:rPr>
          <w:rFonts w:cs="Arial"/>
          <w:szCs w:val="20"/>
        </w:rPr>
      </w:pPr>
      <w:r w:rsidRPr="009674AE">
        <w:rPr>
          <w:rFonts w:cs="Arial"/>
          <w:szCs w:val="20"/>
        </w:rPr>
        <w:t>Use a sprayer designed and set up for concentrate spraying (that is a sprayer which applies water volumes less than those required to reach the point of runoff) and matched to the crop being sprayed. Set up and operate the sprayer to achieve even coverage throughout the crop canopy using your chosen water volume. Determine an appropriate dilute spray volume (see Dilute Spraying) for the crop canopy. This is needed to calculate the concentrate mixing rate. The mixing rate for concentrate spraying can then be calculated in the following way:</w:t>
      </w:r>
    </w:p>
    <w:p w14:paraId="52DF9E55" w14:textId="77777777" w:rsidR="009674AE" w:rsidRPr="009674AE" w:rsidRDefault="009674AE" w:rsidP="009674AE">
      <w:pPr>
        <w:rPr>
          <w:rFonts w:cs="Arial"/>
          <w:szCs w:val="20"/>
        </w:rPr>
      </w:pPr>
      <w:r w:rsidRPr="009674AE">
        <w:rPr>
          <w:rFonts w:cs="Arial"/>
          <w:szCs w:val="20"/>
        </w:rPr>
        <w:t>Example only</w:t>
      </w:r>
    </w:p>
    <w:p w14:paraId="67C9FAC5" w14:textId="77777777" w:rsidR="009674AE" w:rsidRPr="009674AE" w:rsidRDefault="009674AE" w:rsidP="009674AE">
      <w:pPr>
        <w:rPr>
          <w:rFonts w:cs="Arial"/>
          <w:szCs w:val="20"/>
        </w:rPr>
      </w:pPr>
      <w:r w:rsidRPr="009674AE">
        <w:rPr>
          <w:rFonts w:cs="Arial"/>
          <w:szCs w:val="20"/>
        </w:rPr>
        <w:t>1.</w:t>
      </w:r>
      <w:r w:rsidRPr="009674AE">
        <w:rPr>
          <w:rFonts w:cs="Arial"/>
          <w:szCs w:val="20"/>
        </w:rPr>
        <w:tab/>
        <w:t>Dilute spray volume as determined above: for example 1000 L/ha</w:t>
      </w:r>
    </w:p>
    <w:p w14:paraId="4AA633E1" w14:textId="77777777" w:rsidR="009674AE" w:rsidRPr="009674AE" w:rsidRDefault="009674AE" w:rsidP="009674AE">
      <w:pPr>
        <w:rPr>
          <w:rFonts w:cs="Arial"/>
          <w:szCs w:val="20"/>
        </w:rPr>
      </w:pPr>
      <w:r w:rsidRPr="009674AE">
        <w:rPr>
          <w:rFonts w:cs="Arial"/>
          <w:szCs w:val="20"/>
        </w:rPr>
        <w:t>2.</w:t>
      </w:r>
      <w:r w:rsidRPr="009674AE">
        <w:rPr>
          <w:rFonts w:cs="Arial"/>
          <w:szCs w:val="20"/>
        </w:rPr>
        <w:tab/>
        <w:t>Your chosen concentrate spray volume: for example 500 L/ha</w:t>
      </w:r>
    </w:p>
    <w:p w14:paraId="6521102F" w14:textId="77777777" w:rsidR="009674AE" w:rsidRPr="009674AE" w:rsidRDefault="009674AE" w:rsidP="009674AE">
      <w:pPr>
        <w:rPr>
          <w:rFonts w:cs="Arial"/>
          <w:szCs w:val="20"/>
        </w:rPr>
      </w:pPr>
      <w:r w:rsidRPr="009674AE">
        <w:rPr>
          <w:rFonts w:cs="Arial"/>
          <w:szCs w:val="20"/>
        </w:rPr>
        <w:t>3.</w:t>
      </w:r>
      <w:r w:rsidRPr="009674AE">
        <w:rPr>
          <w:rFonts w:cs="Arial"/>
          <w:szCs w:val="20"/>
        </w:rPr>
        <w:tab/>
        <w:t xml:space="preserve">The concentration factor in this example is: 2 x (ie, 1000 L </w:t>
      </w:r>
      <w:r w:rsidRPr="009674AE">
        <w:rPr>
          <w:rFonts w:cs="Arial"/>
          <w:szCs w:val="20"/>
        </w:rPr>
        <w:sym w:font="Symbol" w:char="F0B8"/>
      </w:r>
      <w:r w:rsidRPr="009674AE">
        <w:rPr>
          <w:rFonts w:cs="Arial"/>
          <w:szCs w:val="20"/>
        </w:rPr>
        <w:t xml:space="preserve"> 500 L = 2)</w:t>
      </w:r>
    </w:p>
    <w:p w14:paraId="4076C5EC" w14:textId="77777777" w:rsidR="009674AE" w:rsidRPr="009674AE" w:rsidRDefault="009674AE" w:rsidP="009674AE">
      <w:pPr>
        <w:rPr>
          <w:rFonts w:cs="Arial"/>
          <w:szCs w:val="20"/>
        </w:rPr>
      </w:pPr>
      <w:r w:rsidRPr="009674AE">
        <w:rPr>
          <w:rFonts w:cs="Arial"/>
          <w:szCs w:val="20"/>
        </w:rPr>
        <w:t>4.</w:t>
      </w:r>
      <w:r w:rsidRPr="009674AE">
        <w:rPr>
          <w:rFonts w:cs="Arial"/>
          <w:szCs w:val="20"/>
        </w:rPr>
        <w:tab/>
        <w:t>If the dilute label rate is 20 mL/100 L, then the concentrate rate becomes 2 x 20, that is 40 mL/ 100 L of concentrate spray.</w:t>
      </w:r>
    </w:p>
    <w:p w14:paraId="2793C953" w14:textId="77777777" w:rsidR="009674AE" w:rsidRPr="009674AE" w:rsidRDefault="009674AE" w:rsidP="009674AE">
      <w:pPr>
        <w:rPr>
          <w:rFonts w:cs="Arial"/>
          <w:szCs w:val="20"/>
        </w:rPr>
      </w:pPr>
      <w:r w:rsidRPr="009674AE">
        <w:rPr>
          <w:rFonts w:cs="Arial"/>
          <w:szCs w:val="20"/>
        </w:rPr>
        <w:t>The chosen spray volume, amount of product per 100 L of water, and the sprayer set up and operation may need to be changed as the crop grows. For further information on concentrate spraying, users are advised to consult relevant industry guidelines, undertake appropriate competency training and follow industry Best Practices.</w:t>
      </w:r>
    </w:p>
    <w:p w14:paraId="6B9F3FC7" w14:textId="77777777" w:rsidR="009674AE" w:rsidRPr="009674AE" w:rsidRDefault="009674AE" w:rsidP="009674AE">
      <w:pPr>
        <w:rPr>
          <w:rFonts w:cs="Arial"/>
          <w:b/>
          <w:szCs w:val="20"/>
        </w:rPr>
      </w:pPr>
    </w:p>
    <w:p w14:paraId="575EB233" w14:textId="77777777" w:rsidR="009674AE" w:rsidRPr="009674AE" w:rsidRDefault="009674AE" w:rsidP="009674AE">
      <w:pPr>
        <w:rPr>
          <w:rFonts w:cs="Arial"/>
          <w:b/>
          <w:szCs w:val="20"/>
        </w:rPr>
      </w:pPr>
      <w:r w:rsidRPr="009674AE">
        <w:rPr>
          <w:rFonts w:cs="Arial"/>
          <w:b/>
          <w:szCs w:val="20"/>
        </w:rPr>
        <w:t>Compatibility</w:t>
      </w:r>
    </w:p>
    <w:p w14:paraId="66E72092" w14:textId="77777777" w:rsidR="009674AE" w:rsidRPr="009674AE" w:rsidRDefault="009674AE" w:rsidP="009674AE">
      <w:pPr>
        <w:rPr>
          <w:rFonts w:cs="Arial"/>
          <w:szCs w:val="20"/>
        </w:rPr>
      </w:pPr>
      <w:r w:rsidRPr="009674AE">
        <w:rPr>
          <w:rFonts w:cs="Arial"/>
          <w:szCs w:val="20"/>
        </w:rPr>
        <w:t>MIRAVIS™ is compatible with a range of commonly used fungicides, insecticides, herbicides and fertilizers. Always consult your Syngenta representative before mixing MIRAVIS™ with other products. As formulations of other manufacturer’s products are beyond the control of Syngenta, and the quality of water may vary with location, all mixtures should be tested prior to mixing commercial quantities.</w:t>
      </w:r>
    </w:p>
    <w:p w14:paraId="4BD97D45" w14:textId="77777777" w:rsidR="009674AE" w:rsidRPr="009674AE" w:rsidRDefault="009674AE" w:rsidP="009674AE">
      <w:pPr>
        <w:rPr>
          <w:rFonts w:cs="Arial"/>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425"/>
        <w:gridCol w:w="1418"/>
      </w:tblGrid>
      <w:tr w:rsidR="009674AE" w:rsidRPr="009674AE" w14:paraId="699A4982" w14:textId="77777777" w:rsidTr="001936D7">
        <w:trPr>
          <w:trHeight w:val="353"/>
        </w:trPr>
        <w:tc>
          <w:tcPr>
            <w:tcW w:w="3369" w:type="dxa"/>
            <w:tcBorders>
              <w:top w:val="nil"/>
              <w:left w:val="nil"/>
              <w:bottom w:val="nil"/>
            </w:tcBorders>
            <w:vAlign w:val="center"/>
          </w:tcPr>
          <w:p w14:paraId="71A7A00C" w14:textId="77777777" w:rsidR="009674AE" w:rsidRPr="009674AE" w:rsidRDefault="009674AE" w:rsidP="009674AE">
            <w:pPr>
              <w:rPr>
                <w:rFonts w:cs="Arial"/>
                <w:b/>
                <w:bCs/>
                <w:szCs w:val="20"/>
              </w:rPr>
            </w:pPr>
            <w:r w:rsidRPr="009674AE">
              <w:rPr>
                <w:rFonts w:cs="Arial"/>
                <w:b/>
                <w:bCs/>
                <w:szCs w:val="20"/>
              </w:rPr>
              <w:t>Fungicide Resistance Warning</w:t>
            </w:r>
          </w:p>
        </w:tc>
        <w:tc>
          <w:tcPr>
            <w:tcW w:w="992" w:type="dxa"/>
            <w:vAlign w:val="center"/>
          </w:tcPr>
          <w:p w14:paraId="46B3E059" w14:textId="77777777" w:rsidR="009674AE" w:rsidRPr="009674AE" w:rsidRDefault="009674AE" w:rsidP="009674AE">
            <w:pPr>
              <w:rPr>
                <w:rFonts w:cs="Arial"/>
                <w:b/>
                <w:bCs/>
                <w:szCs w:val="20"/>
              </w:rPr>
            </w:pPr>
            <w:r w:rsidRPr="009674AE">
              <w:rPr>
                <w:rFonts w:cs="Arial"/>
                <w:b/>
                <w:bCs/>
                <w:szCs w:val="20"/>
              </w:rPr>
              <w:t>GROUP</w:t>
            </w:r>
          </w:p>
        </w:tc>
        <w:tc>
          <w:tcPr>
            <w:tcW w:w="425" w:type="dxa"/>
            <w:tcBorders>
              <w:right w:val="single" w:sz="12" w:space="0" w:color="FFFFFF"/>
            </w:tcBorders>
            <w:shd w:val="clear" w:color="auto" w:fill="000000"/>
            <w:vAlign w:val="center"/>
          </w:tcPr>
          <w:p w14:paraId="7DB29710" w14:textId="77777777" w:rsidR="009674AE" w:rsidRPr="009674AE" w:rsidRDefault="009674AE" w:rsidP="009674AE">
            <w:pPr>
              <w:keepNext/>
              <w:spacing w:after="11"/>
              <w:jc w:val="center"/>
              <w:outlineLvl w:val="2"/>
              <w:rPr>
                <w:b/>
                <w:snapToGrid w:val="0"/>
                <w:sz w:val="24"/>
                <w:szCs w:val="20"/>
              </w:rPr>
            </w:pPr>
            <w:r w:rsidRPr="009674AE">
              <w:rPr>
                <w:b/>
                <w:snapToGrid w:val="0"/>
                <w:sz w:val="24"/>
                <w:szCs w:val="20"/>
              </w:rPr>
              <w:t>7</w:t>
            </w:r>
          </w:p>
        </w:tc>
        <w:tc>
          <w:tcPr>
            <w:tcW w:w="1418" w:type="dxa"/>
            <w:vAlign w:val="center"/>
          </w:tcPr>
          <w:p w14:paraId="475A2DC2" w14:textId="77777777" w:rsidR="009674AE" w:rsidRPr="009674AE" w:rsidRDefault="009674AE" w:rsidP="009674AE">
            <w:pPr>
              <w:rPr>
                <w:rFonts w:cs="Arial"/>
                <w:b/>
                <w:bCs/>
                <w:szCs w:val="20"/>
              </w:rPr>
            </w:pPr>
            <w:r w:rsidRPr="009674AE">
              <w:rPr>
                <w:rFonts w:cs="Arial"/>
                <w:b/>
                <w:bCs/>
                <w:szCs w:val="20"/>
              </w:rPr>
              <w:t>FUNGICIDE</w:t>
            </w:r>
          </w:p>
        </w:tc>
      </w:tr>
    </w:tbl>
    <w:p w14:paraId="5F02FEDB" w14:textId="77777777" w:rsidR="009674AE" w:rsidRPr="009674AE" w:rsidRDefault="009674AE" w:rsidP="009674AE">
      <w:pPr>
        <w:rPr>
          <w:rFonts w:cs="Arial"/>
          <w:szCs w:val="20"/>
        </w:rPr>
      </w:pPr>
      <w:r w:rsidRPr="009674AE">
        <w:rPr>
          <w:rFonts w:cs="Arial"/>
          <w:szCs w:val="20"/>
        </w:rPr>
        <w:t>MIRAVIS™ contains a Group 7, SDHI fungicide. Some naturally occurring individual fungi resistant to MIRAVIS™ and other Group 7</w:t>
      </w:r>
      <w:r w:rsidRPr="009674AE">
        <w:rPr>
          <w:rFonts w:cs="Arial"/>
          <w:noProof/>
          <w:szCs w:val="20"/>
        </w:rPr>
        <w:t xml:space="preserve"> </w:t>
      </w:r>
      <w:r w:rsidRPr="009674AE">
        <w:rPr>
          <w:rFonts w:cs="Arial"/>
          <w:szCs w:val="20"/>
        </w:rPr>
        <w:t xml:space="preserve">fungicides may exist through normal genetic variability in any fungal population. The resistant individuals can eventually dominate the fungi population if these fungicides are used repeatedly. These resistant fungi will not be controlled by MIRAVIS™ and other Group 7 fungicides, thus resulting in a reduction in efficacy. Since the occurrence of resistant fungi is difficult to detect prior to use, </w:t>
      </w:r>
      <w:r w:rsidRPr="009674AE">
        <w:rPr>
          <w:rFonts w:cs="Arial"/>
          <w:snapToGrid w:val="0"/>
          <w:szCs w:val="20"/>
        </w:rPr>
        <w:t xml:space="preserve">Syngenta Australia Pty </w:t>
      </w:r>
      <w:r w:rsidRPr="009674AE">
        <w:rPr>
          <w:rFonts w:cs="Arial"/>
          <w:szCs w:val="20"/>
        </w:rPr>
        <w:t xml:space="preserve">Ltd accepts no liability for any losses that may result from the failure of MIRAVIS™ to control resistant fungi. </w:t>
      </w:r>
    </w:p>
    <w:p w14:paraId="10F7F05A" w14:textId="77777777" w:rsidR="009674AE" w:rsidRPr="009674AE" w:rsidRDefault="009674AE" w:rsidP="009674AE">
      <w:pPr>
        <w:rPr>
          <w:rFonts w:cs="Arial"/>
          <w:szCs w:val="20"/>
        </w:rPr>
      </w:pPr>
    </w:p>
    <w:p w14:paraId="12CC698A" w14:textId="77777777" w:rsidR="009674AE" w:rsidRPr="009674AE" w:rsidRDefault="009674AE" w:rsidP="009674AE">
      <w:pPr>
        <w:rPr>
          <w:rFonts w:cs="Arial"/>
          <w:szCs w:val="20"/>
        </w:rPr>
      </w:pPr>
      <w:r w:rsidRPr="009674AE">
        <w:rPr>
          <w:rFonts w:cs="Arial"/>
          <w:szCs w:val="20"/>
        </w:rPr>
        <w:t xml:space="preserve">MIRAVIS™ may be subject to specific resistance management strategies. To help prevent the development of resistance to MIRAVIS™, use MIRAVIS™ fungicide in accordance with the current CropLife resistance </w:t>
      </w:r>
      <w:r w:rsidRPr="009674AE">
        <w:rPr>
          <w:rFonts w:cs="Arial"/>
          <w:szCs w:val="20"/>
        </w:rPr>
        <w:lastRenderedPageBreak/>
        <w:t>management strategy. For further information contact your local Syngenta representative, CropLife Australia, farm chemical supplier, local Department of Agriculture or Primary Industries or consultant.</w:t>
      </w:r>
    </w:p>
    <w:p w14:paraId="46F9997E" w14:textId="77777777" w:rsidR="009674AE" w:rsidRPr="009674AE" w:rsidRDefault="009674AE" w:rsidP="009674AE">
      <w:pPr>
        <w:rPr>
          <w:rFonts w:cs="Arial"/>
          <w:szCs w:val="20"/>
          <w:highlight w:val="yellow"/>
        </w:rPr>
      </w:pPr>
    </w:p>
    <w:p w14:paraId="70823FC0" w14:textId="5845C7A3" w:rsidR="009674AE" w:rsidRPr="009674AE" w:rsidRDefault="009674AE" w:rsidP="009674AE">
      <w:pPr>
        <w:rPr>
          <w:rFonts w:cs="Arial"/>
          <w:b/>
          <w:szCs w:val="20"/>
        </w:rPr>
      </w:pPr>
      <w:r w:rsidRPr="009674AE">
        <w:rPr>
          <w:rFonts w:cs="Arial"/>
          <w:b/>
          <w:szCs w:val="20"/>
        </w:rPr>
        <w:t xml:space="preserve">PROTECTION OF </w:t>
      </w:r>
      <w:r w:rsidR="00CA2DA9">
        <w:rPr>
          <w:rFonts w:cs="Arial"/>
          <w:b/>
          <w:szCs w:val="20"/>
        </w:rPr>
        <w:t>HONEY BEES AND OTHER INSECT POLLINATORS</w:t>
      </w:r>
    </w:p>
    <w:p w14:paraId="4FD4A5CE" w14:textId="4E89B004" w:rsidR="009674AE" w:rsidRPr="009674AE" w:rsidRDefault="009674AE" w:rsidP="009674AE">
      <w:pPr>
        <w:rPr>
          <w:rFonts w:cs="Arial"/>
          <w:szCs w:val="20"/>
        </w:rPr>
      </w:pPr>
      <w:r w:rsidRPr="009674AE">
        <w:rPr>
          <w:rFonts w:cs="Arial"/>
          <w:szCs w:val="20"/>
        </w:rPr>
        <w:t>Bee brood development may be harmed by exposure to residues transported into the hive by foraging bees, overspray or drift. DO NOT spray w</w:t>
      </w:r>
      <w:r w:rsidR="001936D7">
        <w:rPr>
          <w:rFonts w:cs="Arial"/>
          <w:szCs w:val="20"/>
        </w:rPr>
        <w:t>hile bees are actively foraging on or around the treatment area.</w:t>
      </w:r>
      <w:r w:rsidRPr="009674AE">
        <w:rPr>
          <w:rFonts w:cs="Arial"/>
          <w:szCs w:val="20"/>
        </w:rPr>
        <w:t xml:space="preserv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2BE9AFD2" w14:textId="77777777" w:rsidR="009674AE" w:rsidRPr="009674AE" w:rsidRDefault="009674AE" w:rsidP="009674AE">
      <w:pPr>
        <w:rPr>
          <w:rFonts w:cs="Arial"/>
          <w:b/>
          <w:szCs w:val="20"/>
        </w:rPr>
      </w:pPr>
    </w:p>
    <w:p w14:paraId="3F0AD8EA" w14:textId="77777777" w:rsidR="009674AE" w:rsidRPr="009674AE" w:rsidRDefault="009674AE" w:rsidP="009674AE">
      <w:pPr>
        <w:rPr>
          <w:rFonts w:cs="Arial"/>
          <w:b/>
          <w:szCs w:val="20"/>
        </w:rPr>
      </w:pPr>
      <w:r w:rsidRPr="009674AE">
        <w:rPr>
          <w:rFonts w:cs="Arial"/>
          <w:b/>
          <w:szCs w:val="20"/>
        </w:rPr>
        <w:t>PROTECTION OF WILDLIFE, FISH, CRUSTACEANS AND ENVIRONMENT</w:t>
      </w:r>
    </w:p>
    <w:p w14:paraId="1E3069BE" w14:textId="77777777" w:rsidR="009674AE" w:rsidRPr="009674AE" w:rsidRDefault="009674AE" w:rsidP="009674AE">
      <w:pPr>
        <w:rPr>
          <w:rFonts w:cs="Arial"/>
          <w:szCs w:val="20"/>
        </w:rPr>
      </w:pPr>
      <w:r w:rsidRPr="009674AE">
        <w:rPr>
          <w:rFonts w:cs="Arial"/>
          <w:szCs w:val="20"/>
        </w:rPr>
        <w:t>Very toxic to aquatic life. DO NOT contaminate wetlands or watercourses with this product or used containers. DO NOT apply under weather conditions, or from spraying equipment, that may cause spray to drift onto adjacent areas, particularly wetlands, waterbodies, or watercourses. DO NOT apply if heavy rains are imminent.</w:t>
      </w:r>
    </w:p>
    <w:p w14:paraId="4255649B" w14:textId="77777777" w:rsidR="009674AE" w:rsidRPr="009674AE" w:rsidRDefault="009674AE" w:rsidP="009674AE">
      <w:pPr>
        <w:rPr>
          <w:rFonts w:cs="Arial"/>
          <w:szCs w:val="20"/>
        </w:rPr>
      </w:pPr>
    </w:p>
    <w:p w14:paraId="61016C31" w14:textId="77777777" w:rsidR="009674AE" w:rsidRPr="009674AE" w:rsidRDefault="009674AE" w:rsidP="009674AE">
      <w:pPr>
        <w:rPr>
          <w:rFonts w:cs="Arial"/>
          <w:b/>
          <w:bCs/>
          <w:szCs w:val="20"/>
        </w:rPr>
      </w:pPr>
      <w:r w:rsidRPr="009674AE">
        <w:rPr>
          <w:rFonts w:cs="Arial"/>
          <w:b/>
          <w:bCs/>
          <w:szCs w:val="20"/>
        </w:rPr>
        <w:t>STORAGE AND DISPOSAL</w:t>
      </w:r>
    </w:p>
    <w:p w14:paraId="0EA0847F" w14:textId="77777777" w:rsidR="009674AE" w:rsidRPr="009674AE" w:rsidRDefault="009674AE" w:rsidP="009674AE">
      <w:pPr>
        <w:rPr>
          <w:rFonts w:cs="Arial"/>
          <w:szCs w:val="20"/>
        </w:rPr>
      </w:pPr>
      <w:r w:rsidRPr="009674AE">
        <w:rPr>
          <w:rFonts w:cs="Arial"/>
          <w:szCs w:val="20"/>
        </w:rPr>
        <w:t>Store in the closed original container in a cool, well ventilated area. DO NOT store for prolonged periods in direct sunlight.</w:t>
      </w:r>
    </w:p>
    <w:p w14:paraId="3F07B6CE" w14:textId="77777777" w:rsidR="009674AE" w:rsidRPr="009674AE" w:rsidRDefault="009674AE" w:rsidP="009674AE">
      <w:pPr>
        <w:rPr>
          <w:rFonts w:cs="Arial"/>
          <w:szCs w:val="20"/>
        </w:rPr>
      </w:pPr>
      <w:r w:rsidRPr="009674AE">
        <w:rPr>
          <w:rFonts w:cs="Arial"/>
          <w:szCs w:val="20"/>
        </w:rPr>
        <w:t xml:space="preserve">Triple or preferably pressure rinse containers before disposal. Add rinsings to treatment tank. </w:t>
      </w:r>
      <w:r w:rsidRPr="009674AE">
        <w:rPr>
          <w:rFonts w:cs="Arial"/>
          <w:bCs/>
          <w:szCs w:val="20"/>
        </w:rPr>
        <w:t>DO NOT</w:t>
      </w:r>
      <w:r w:rsidRPr="009674AE">
        <w:rPr>
          <w:rFonts w:cs="Arial"/>
          <w:b/>
          <w:bCs/>
          <w:szCs w:val="20"/>
        </w:rPr>
        <w:t xml:space="preserve"> </w:t>
      </w:r>
      <w:r w:rsidRPr="009674AE">
        <w:rPr>
          <w:rFonts w:cs="Arial"/>
          <w:szCs w:val="20"/>
        </w:rPr>
        <w:t xml:space="preserve">dispose of undiluted chemicals on site. If recycling, replace cap and return clean containers to recycler or designated collection point. If not recycling, break, crush or puncture and deliver empty packaging for appropriate disposal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w:t>
      </w:r>
      <w:r w:rsidRPr="009674AE">
        <w:rPr>
          <w:rFonts w:cs="Arial"/>
          <w:bCs/>
          <w:szCs w:val="20"/>
        </w:rPr>
        <w:t>NOT</w:t>
      </w:r>
      <w:r w:rsidRPr="009674AE">
        <w:rPr>
          <w:rFonts w:cs="Arial"/>
          <w:b/>
          <w:bCs/>
          <w:szCs w:val="20"/>
        </w:rPr>
        <w:t xml:space="preserve"> </w:t>
      </w:r>
      <w:r w:rsidRPr="009674AE">
        <w:rPr>
          <w:rFonts w:cs="Arial"/>
          <w:szCs w:val="20"/>
        </w:rPr>
        <w:t>burn empty containers or product.</w:t>
      </w:r>
    </w:p>
    <w:p w14:paraId="25FCDF4B" w14:textId="77777777" w:rsidR="009674AE" w:rsidRPr="009674AE" w:rsidRDefault="009674AE" w:rsidP="009674AE">
      <w:pPr>
        <w:rPr>
          <w:rFonts w:cs="Arial"/>
          <w:szCs w:val="20"/>
        </w:rPr>
      </w:pPr>
    </w:p>
    <w:p w14:paraId="710F0DA5" w14:textId="77777777" w:rsidR="009674AE" w:rsidRPr="009674AE" w:rsidRDefault="009674AE" w:rsidP="009674AE">
      <w:pPr>
        <w:rPr>
          <w:rFonts w:cs="Arial"/>
          <w:b/>
          <w:szCs w:val="20"/>
        </w:rPr>
      </w:pPr>
      <w:r w:rsidRPr="009674AE">
        <w:rPr>
          <w:rFonts w:cs="Arial"/>
          <w:b/>
          <w:szCs w:val="20"/>
        </w:rPr>
        <w:t>SAFETY DIRECTIONS</w:t>
      </w:r>
    </w:p>
    <w:p w14:paraId="698B6521" w14:textId="77777777" w:rsidR="009674AE" w:rsidRPr="009674AE" w:rsidRDefault="009674AE" w:rsidP="009674AE">
      <w:pPr>
        <w:rPr>
          <w:rFonts w:cs="Arial"/>
          <w:b/>
          <w:szCs w:val="20"/>
        </w:rPr>
      </w:pPr>
      <w:r w:rsidRPr="009674AE">
        <w:rPr>
          <w:rFonts w:cs="Arial"/>
          <w:b/>
          <w:szCs w:val="20"/>
        </w:rPr>
        <w:t>Harmful if inhaled. Do not inhale spray mist. May irritate the eyes. Avoid contact with the eyes. When opening the container, and preparing the spray, wear:</w:t>
      </w:r>
    </w:p>
    <w:p w14:paraId="23B39C4D" w14:textId="77777777" w:rsidR="009674AE" w:rsidRPr="009674AE" w:rsidRDefault="009674AE" w:rsidP="009674AE">
      <w:pPr>
        <w:rPr>
          <w:rFonts w:cs="Arial"/>
          <w:b/>
          <w:szCs w:val="20"/>
        </w:rPr>
      </w:pPr>
      <w:r w:rsidRPr="009674AE">
        <w:rPr>
          <w:rFonts w:cs="Arial"/>
          <w:b/>
          <w:szCs w:val="20"/>
        </w:rPr>
        <w:t>- cotton overalls buttoned to the neck and wrist (or equivalent clothing)</w:t>
      </w:r>
    </w:p>
    <w:p w14:paraId="3C7FEC5F" w14:textId="77777777" w:rsidR="009674AE" w:rsidRPr="009674AE" w:rsidRDefault="009674AE" w:rsidP="009674AE">
      <w:pPr>
        <w:rPr>
          <w:rFonts w:cs="Arial"/>
          <w:b/>
          <w:szCs w:val="20"/>
        </w:rPr>
      </w:pPr>
      <w:r w:rsidRPr="009674AE">
        <w:rPr>
          <w:rFonts w:cs="Arial"/>
          <w:b/>
          <w:szCs w:val="20"/>
        </w:rPr>
        <w:t xml:space="preserve">- a washable hat. </w:t>
      </w:r>
    </w:p>
    <w:p w14:paraId="129BCD69" w14:textId="77777777" w:rsidR="009674AE" w:rsidRPr="009674AE" w:rsidRDefault="009674AE" w:rsidP="009674AE">
      <w:pPr>
        <w:rPr>
          <w:rFonts w:cs="Arial"/>
          <w:b/>
          <w:szCs w:val="20"/>
        </w:rPr>
      </w:pPr>
      <w:r w:rsidRPr="009674AE">
        <w:rPr>
          <w:rFonts w:cs="Arial"/>
          <w:b/>
          <w:szCs w:val="20"/>
        </w:rPr>
        <w:t>Wash hands after use.</w:t>
      </w:r>
    </w:p>
    <w:p w14:paraId="7E23E0E6" w14:textId="77777777" w:rsidR="009674AE" w:rsidRPr="009674AE" w:rsidRDefault="009674AE" w:rsidP="009674AE">
      <w:pPr>
        <w:rPr>
          <w:rFonts w:cs="Arial"/>
          <w:b/>
          <w:szCs w:val="20"/>
          <w:highlight w:val="yellow"/>
          <w:lang w:eastAsia="en-AU"/>
        </w:rPr>
      </w:pPr>
    </w:p>
    <w:p w14:paraId="4177DAC1" w14:textId="77777777" w:rsidR="009674AE" w:rsidRPr="009674AE" w:rsidRDefault="009674AE" w:rsidP="009674AE">
      <w:pPr>
        <w:rPr>
          <w:rFonts w:cs="Arial"/>
          <w:b/>
          <w:szCs w:val="20"/>
        </w:rPr>
      </w:pPr>
      <w:r w:rsidRPr="009674AE">
        <w:rPr>
          <w:rFonts w:cs="Arial"/>
          <w:b/>
          <w:szCs w:val="20"/>
        </w:rPr>
        <w:t>FIRST AID</w:t>
      </w:r>
    </w:p>
    <w:p w14:paraId="2E0FFA0D" w14:textId="77777777" w:rsidR="009674AE" w:rsidRPr="009674AE" w:rsidRDefault="009674AE" w:rsidP="009674AE">
      <w:pPr>
        <w:rPr>
          <w:rFonts w:cs="Arial"/>
          <w:szCs w:val="20"/>
        </w:rPr>
      </w:pPr>
      <w:r w:rsidRPr="009674AE">
        <w:rPr>
          <w:rFonts w:cs="Arial"/>
          <w:b/>
          <w:szCs w:val="20"/>
        </w:rPr>
        <w:t>If poisoning occurs contact a doctor or Poisons Information Centre. Phone 131 126.</w:t>
      </w:r>
    </w:p>
    <w:p w14:paraId="35F899B1" w14:textId="77777777" w:rsidR="009674AE" w:rsidRPr="009674AE" w:rsidRDefault="009674AE" w:rsidP="009674AE">
      <w:pPr>
        <w:rPr>
          <w:rFonts w:cs="Arial"/>
          <w:szCs w:val="20"/>
          <w:highlight w:val="yellow"/>
        </w:rPr>
      </w:pPr>
    </w:p>
    <w:p w14:paraId="1D2CF465" w14:textId="77777777" w:rsidR="009674AE" w:rsidRPr="009674AE" w:rsidRDefault="009674AE" w:rsidP="009674AE">
      <w:pPr>
        <w:rPr>
          <w:rFonts w:cs="Arial"/>
          <w:b/>
          <w:szCs w:val="20"/>
        </w:rPr>
      </w:pPr>
      <w:r w:rsidRPr="009674AE">
        <w:rPr>
          <w:rFonts w:cs="Arial"/>
          <w:b/>
          <w:szCs w:val="20"/>
        </w:rPr>
        <w:t>SAFETY DATA SHEET</w:t>
      </w:r>
    </w:p>
    <w:p w14:paraId="60A8790B" w14:textId="77777777" w:rsidR="009674AE" w:rsidRPr="009674AE" w:rsidRDefault="009674AE" w:rsidP="009674AE">
      <w:pPr>
        <w:rPr>
          <w:rFonts w:cs="Arial"/>
          <w:szCs w:val="20"/>
        </w:rPr>
      </w:pPr>
      <w:r w:rsidRPr="009674AE">
        <w:rPr>
          <w:rFonts w:cs="Arial"/>
          <w:szCs w:val="20"/>
        </w:rPr>
        <w:t xml:space="preserve">If additional hazard information is required refer to the Safety Data Sheet. For a copy phone 1800 067 108 or visit our website at </w:t>
      </w:r>
      <w:hyperlink r:id="rId45" w:history="1">
        <w:r w:rsidRPr="009674AE">
          <w:rPr>
            <w:rFonts w:cs="Arial"/>
            <w:szCs w:val="20"/>
          </w:rPr>
          <w:t>www.greencast.com.au</w:t>
        </w:r>
      </w:hyperlink>
      <w:r w:rsidRPr="009674AE">
        <w:rPr>
          <w:rFonts w:cs="Arial"/>
          <w:szCs w:val="20"/>
        </w:rPr>
        <w:t xml:space="preserve"> or www.syngenta.com.au</w:t>
      </w:r>
    </w:p>
    <w:p w14:paraId="3A38773C" w14:textId="77777777" w:rsidR="009674AE" w:rsidRPr="009674AE" w:rsidRDefault="009674AE" w:rsidP="009674AE">
      <w:pPr>
        <w:rPr>
          <w:rFonts w:cs="Arial"/>
          <w:szCs w:val="20"/>
          <w:highlight w:val="yellow"/>
        </w:rPr>
      </w:pPr>
    </w:p>
    <w:p w14:paraId="23430347" w14:textId="77777777" w:rsidR="009674AE" w:rsidRPr="009674AE" w:rsidRDefault="009674AE" w:rsidP="009674AE">
      <w:pPr>
        <w:rPr>
          <w:rFonts w:cs="Arial"/>
          <w:b/>
          <w:bCs/>
          <w:szCs w:val="20"/>
        </w:rPr>
      </w:pPr>
      <w:r w:rsidRPr="009674AE">
        <w:rPr>
          <w:rFonts w:cs="Arial"/>
          <w:b/>
          <w:bCs/>
          <w:szCs w:val="20"/>
        </w:rPr>
        <w:t>DISCLAIMER</w:t>
      </w:r>
    </w:p>
    <w:p w14:paraId="5CE18366" w14:textId="77777777" w:rsidR="009674AE" w:rsidRPr="009674AE" w:rsidRDefault="009674AE" w:rsidP="009674AE">
      <w:pPr>
        <w:rPr>
          <w:rFonts w:cs="Arial"/>
          <w:szCs w:val="20"/>
          <w:lang w:val="en-GB"/>
        </w:rPr>
      </w:pPr>
      <w:r w:rsidRPr="009674AE">
        <w:rPr>
          <w:rFonts w:cs="Arial"/>
          <w:szCs w:val="20"/>
          <w:lang w:val="en-GB"/>
        </w:rPr>
        <w:t>This product complies with the specifications in its statutory registration. Implied terms and warranties are excluded. Syngenta’s liability for breach of the express or any non-excludable implied warranty is limited to product replacement or purchase price refund. The purchaser must determine suitability for intended purpose and take all proper precautions in the handling, storage and use of the product including those on the label and/or safety data sheet failing which Syngenta shall have no liability.</w:t>
      </w:r>
    </w:p>
    <w:p w14:paraId="527ABA44" w14:textId="77777777" w:rsidR="009674AE" w:rsidRPr="009674AE" w:rsidRDefault="009674AE" w:rsidP="009674AE">
      <w:pPr>
        <w:rPr>
          <w:rFonts w:cs="Arial"/>
          <w:szCs w:val="20"/>
        </w:rPr>
      </w:pPr>
    </w:p>
    <w:tbl>
      <w:tblPr>
        <w:tblW w:w="0" w:type="auto"/>
        <w:tblLayout w:type="fixed"/>
        <w:tblLook w:val="04A0" w:firstRow="1" w:lastRow="0" w:firstColumn="1" w:lastColumn="0" w:noHBand="0" w:noVBand="1"/>
        <w:tblCaption w:val="Proprietary information"/>
        <w:tblDescription w:val="Proprietary information of applicant/holder"/>
      </w:tblPr>
      <w:tblGrid>
        <w:gridCol w:w="4574"/>
        <w:gridCol w:w="1126"/>
        <w:gridCol w:w="840"/>
      </w:tblGrid>
      <w:tr w:rsidR="009674AE" w:rsidRPr="009674AE" w14:paraId="580A5616" w14:textId="77777777" w:rsidTr="001936D7">
        <w:tc>
          <w:tcPr>
            <w:tcW w:w="5700" w:type="dxa"/>
            <w:gridSpan w:val="2"/>
          </w:tcPr>
          <w:p w14:paraId="4948B737" w14:textId="77777777" w:rsidR="009674AE" w:rsidRPr="009674AE" w:rsidRDefault="009674AE" w:rsidP="009674AE">
            <w:pPr>
              <w:rPr>
                <w:rFonts w:cs="Arial"/>
                <w:snapToGrid w:val="0"/>
                <w:szCs w:val="20"/>
              </w:rPr>
            </w:pPr>
            <w:r w:rsidRPr="009674AE">
              <w:rPr>
                <w:rFonts w:eastAsia="Calibri" w:cs="Arial"/>
                <w:snapToGrid w:val="0"/>
                <w:szCs w:val="20"/>
              </w:rPr>
              <w:t xml:space="preserve">Product names marked </w:t>
            </w:r>
            <w:r w:rsidRPr="009674AE">
              <w:rPr>
                <w:rFonts w:eastAsia="Calibri" w:cs="Arial"/>
                <w:szCs w:val="20"/>
              </w:rPr>
              <w:t>®</w:t>
            </w:r>
            <w:r w:rsidRPr="009674AE">
              <w:rPr>
                <w:rFonts w:eastAsia="Calibri" w:cs="Arial"/>
                <w:snapToGrid w:val="0"/>
                <w:szCs w:val="20"/>
              </w:rPr>
              <w:t xml:space="preserve"> or ™, the ALLIANCE FRAME</w:t>
            </w:r>
          </w:p>
        </w:tc>
        <w:tc>
          <w:tcPr>
            <w:tcW w:w="840" w:type="dxa"/>
            <w:vMerge w:val="restart"/>
          </w:tcPr>
          <w:p w14:paraId="05A9A422" w14:textId="77777777" w:rsidR="009674AE" w:rsidRPr="009674AE" w:rsidRDefault="009674AE" w:rsidP="009674AE">
            <w:pPr>
              <w:rPr>
                <w:rFonts w:cs="Arial"/>
                <w:snapToGrid w:val="0"/>
                <w:szCs w:val="20"/>
                <w:highlight w:val="yellow"/>
              </w:rPr>
            </w:pPr>
            <w:r w:rsidRPr="009674AE">
              <w:rPr>
                <w:rFonts w:eastAsia="Calibri" w:cs="Arial"/>
                <w:noProof/>
                <w:szCs w:val="20"/>
                <w:lang w:eastAsia="en-AU"/>
              </w:rPr>
              <w:drawing>
                <wp:inline distT="0" distB="0" distL="0" distR="0" wp14:anchorId="718EA0EE" wp14:editId="4D7B4B05">
                  <wp:extent cx="428625" cy="333375"/>
                  <wp:effectExtent l="0" t="0" r="9525" b="9525"/>
                  <wp:docPr id="9" name="Picture 3" descr="Logo"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428625" cy="333375"/>
                          </a:xfrm>
                          <a:prstGeom prst="rect">
                            <a:avLst/>
                          </a:prstGeom>
                          <a:noFill/>
                          <a:ln w="9525">
                            <a:noFill/>
                            <a:miter lim="800000"/>
                            <a:headEnd/>
                            <a:tailEnd/>
                          </a:ln>
                        </pic:spPr>
                      </pic:pic>
                    </a:graphicData>
                  </a:graphic>
                </wp:inline>
              </w:drawing>
            </w:r>
          </w:p>
        </w:tc>
      </w:tr>
      <w:tr w:rsidR="009674AE" w:rsidRPr="009674AE" w14:paraId="142D78CF" w14:textId="77777777" w:rsidTr="001936D7">
        <w:tc>
          <w:tcPr>
            <w:tcW w:w="4574" w:type="dxa"/>
          </w:tcPr>
          <w:p w14:paraId="1F956A81" w14:textId="77777777" w:rsidR="009674AE" w:rsidRPr="009674AE" w:rsidRDefault="009674AE" w:rsidP="009674AE">
            <w:pPr>
              <w:rPr>
                <w:rFonts w:cs="Arial"/>
                <w:snapToGrid w:val="0"/>
                <w:szCs w:val="20"/>
              </w:rPr>
            </w:pPr>
            <w:r w:rsidRPr="009674AE">
              <w:rPr>
                <w:rFonts w:eastAsia="Calibri" w:cs="Arial"/>
                <w:snapToGrid w:val="0"/>
                <w:szCs w:val="20"/>
              </w:rPr>
              <w:t>the SYNGENTA Logo and the PURPOSE ICON</w:t>
            </w:r>
          </w:p>
        </w:tc>
        <w:tc>
          <w:tcPr>
            <w:tcW w:w="1126" w:type="dxa"/>
            <w:vMerge w:val="restart"/>
          </w:tcPr>
          <w:p w14:paraId="4223888A" w14:textId="77777777" w:rsidR="009674AE" w:rsidRPr="009674AE" w:rsidRDefault="009674AE" w:rsidP="009674AE">
            <w:pPr>
              <w:rPr>
                <w:rFonts w:cs="Arial"/>
                <w:snapToGrid w:val="0"/>
                <w:szCs w:val="20"/>
              </w:rPr>
            </w:pPr>
            <w:r w:rsidRPr="009674AE">
              <w:rPr>
                <w:rFonts w:eastAsia="Calibri" w:cs="Arial"/>
                <w:noProof/>
                <w:szCs w:val="20"/>
                <w:lang w:eastAsia="en-AU"/>
              </w:rPr>
              <w:drawing>
                <wp:inline distT="0" distB="0" distL="0" distR="0" wp14:anchorId="097C5579" wp14:editId="3D467013">
                  <wp:extent cx="152400" cy="314325"/>
                  <wp:effectExtent l="0" t="0" r="0" b="9525"/>
                  <wp:docPr id="10" name="Picture 4" descr="Logo"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152400" cy="314325"/>
                          </a:xfrm>
                          <a:prstGeom prst="rect">
                            <a:avLst/>
                          </a:prstGeom>
                          <a:noFill/>
                          <a:ln w="9525">
                            <a:noFill/>
                            <a:miter lim="800000"/>
                            <a:headEnd/>
                            <a:tailEnd/>
                          </a:ln>
                        </pic:spPr>
                      </pic:pic>
                    </a:graphicData>
                  </a:graphic>
                </wp:inline>
              </w:drawing>
            </w:r>
          </w:p>
        </w:tc>
        <w:tc>
          <w:tcPr>
            <w:tcW w:w="840" w:type="dxa"/>
            <w:vMerge/>
          </w:tcPr>
          <w:p w14:paraId="683A0061" w14:textId="77777777" w:rsidR="009674AE" w:rsidRPr="009674AE" w:rsidRDefault="009674AE" w:rsidP="009674AE">
            <w:pPr>
              <w:rPr>
                <w:rFonts w:cs="Arial"/>
                <w:snapToGrid w:val="0"/>
                <w:sz w:val="16"/>
                <w:szCs w:val="20"/>
                <w:highlight w:val="yellow"/>
              </w:rPr>
            </w:pPr>
          </w:p>
        </w:tc>
      </w:tr>
      <w:tr w:rsidR="009674AE" w:rsidRPr="009674AE" w14:paraId="2AF33730" w14:textId="77777777" w:rsidTr="001936D7">
        <w:tc>
          <w:tcPr>
            <w:tcW w:w="4574" w:type="dxa"/>
          </w:tcPr>
          <w:p w14:paraId="2F80626F" w14:textId="77777777" w:rsidR="009674AE" w:rsidRPr="009674AE" w:rsidRDefault="009674AE" w:rsidP="009674AE">
            <w:pPr>
              <w:rPr>
                <w:rFonts w:cs="Arial"/>
                <w:snapToGrid w:val="0"/>
                <w:szCs w:val="20"/>
              </w:rPr>
            </w:pPr>
            <w:r w:rsidRPr="009674AE">
              <w:rPr>
                <w:rFonts w:eastAsia="Calibri" w:cs="Arial"/>
                <w:snapToGrid w:val="0"/>
                <w:szCs w:val="20"/>
              </w:rPr>
              <w:t>are Trademarks of a Syngenta Group Company</w:t>
            </w:r>
          </w:p>
        </w:tc>
        <w:tc>
          <w:tcPr>
            <w:tcW w:w="1126" w:type="dxa"/>
            <w:vMerge/>
          </w:tcPr>
          <w:p w14:paraId="6B4D0FDE" w14:textId="77777777" w:rsidR="009674AE" w:rsidRPr="009674AE" w:rsidRDefault="009674AE" w:rsidP="009674AE">
            <w:pPr>
              <w:rPr>
                <w:rFonts w:cs="Arial"/>
                <w:snapToGrid w:val="0"/>
                <w:sz w:val="16"/>
                <w:szCs w:val="20"/>
              </w:rPr>
            </w:pPr>
          </w:p>
        </w:tc>
        <w:tc>
          <w:tcPr>
            <w:tcW w:w="840" w:type="dxa"/>
            <w:vMerge/>
          </w:tcPr>
          <w:p w14:paraId="0666A5CC" w14:textId="77777777" w:rsidR="009674AE" w:rsidRPr="009674AE" w:rsidRDefault="009674AE" w:rsidP="009674AE">
            <w:pPr>
              <w:rPr>
                <w:rFonts w:cs="Arial"/>
                <w:snapToGrid w:val="0"/>
                <w:sz w:val="16"/>
                <w:szCs w:val="20"/>
              </w:rPr>
            </w:pPr>
          </w:p>
        </w:tc>
      </w:tr>
    </w:tbl>
    <w:p w14:paraId="4F98E921" w14:textId="77777777" w:rsidR="009674AE" w:rsidRPr="009674AE" w:rsidRDefault="009674AE" w:rsidP="009674AE">
      <w:pPr>
        <w:rPr>
          <w:rFonts w:cs="Arial"/>
          <w:b/>
          <w:szCs w:val="20"/>
        </w:rPr>
      </w:pPr>
      <w:r w:rsidRPr="009674AE">
        <w:rPr>
          <w:rFonts w:cs="Arial"/>
          <w:szCs w:val="20"/>
        </w:rPr>
        <w:t>*Trademark</w:t>
      </w:r>
    </w:p>
    <w:p w14:paraId="383475C6" w14:textId="77777777" w:rsidR="009674AE" w:rsidRPr="009674AE" w:rsidRDefault="009674AE" w:rsidP="009674AE">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atch number and Date of manufacture"/>
        <w:tblDescription w:val="Table shows space for BN and DOM"/>
      </w:tblPr>
      <w:tblGrid>
        <w:gridCol w:w="2140"/>
        <w:gridCol w:w="1695"/>
      </w:tblGrid>
      <w:tr w:rsidR="009674AE" w:rsidRPr="009674AE" w14:paraId="2FC1BD20" w14:textId="77777777" w:rsidTr="001936D7">
        <w:trPr>
          <w:cantSplit/>
        </w:trPr>
        <w:tc>
          <w:tcPr>
            <w:tcW w:w="2140" w:type="dxa"/>
            <w:vAlign w:val="center"/>
          </w:tcPr>
          <w:p w14:paraId="4F96FE27" w14:textId="77777777" w:rsidR="009674AE" w:rsidRPr="009674AE" w:rsidRDefault="009674AE" w:rsidP="009674AE">
            <w:pPr>
              <w:rPr>
                <w:rFonts w:cs="Arial"/>
                <w:szCs w:val="20"/>
              </w:rPr>
            </w:pPr>
            <w:r w:rsidRPr="009674AE">
              <w:rPr>
                <w:rFonts w:cs="Arial"/>
                <w:szCs w:val="20"/>
              </w:rPr>
              <w:t>Batch No</w:t>
            </w:r>
          </w:p>
        </w:tc>
        <w:tc>
          <w:tcPr>
            <w:tcW w:w="1695" w:type="dxa"/>
          </w:tcPr>
          <w:p w14:paraId="6EA0F41C" w14:textId="77777777" w:rsidR="009674AE" w:rsidRPr="009674AE" w:rsidRDefault="009674AE" w:rsidP="009674AE">
            <w:pPr>
              <w:rPr>
                <w:rFonts w:cs="Arial"/>
                <w:szCs w:val="20"/>
              </w:rPr>
            </w:pPr>
          </w:p>
        </w:tc>
      </w:tr>
      <w:tr w:rsidR="009674AE" w:rsidRPr="009674AE" w14:paraId="6AA8AAEC" w14:textId="77777777" w:rsidTr="001936D7">
        <w:trPr>
          <w:cantSplit/>
        </w:trPr>
        <w:tc>
          <w:tcPr>
            <w:tcW w:w="2140" w:type="dxa"/>
          </w:tcPr>
          <w:p w14:paraId="36813E48" w14:textId="77777777" w:rsidR="009674AE" w:rsidRPr="009674AE" w:rsidRDefault="009674AE" w:rsidP="009674AE">
            <w:pPr>
              <w:rPr>
                <w:rFonts w:cs="Arial"/>
                <w:szCs w:val="20"/>
              </w:rPr>
            </w:pPr>
            <w:r w:rsidRPr="009674AE">
              <w:rPr>
                <w:rFonts w:cs="Arial"/>
                <w:szCs w:val="20"/>
              </w:rPr>
              <w:t>Date of Manufacture</w:t>
            </w:r>
          </w:p>
        </w:tc>
        <w:tc>
          <w:tcPr>
            <w:tcW w:w="1695" w:type="dxa"/>
          </w:tcPr>
          <w:p w14:paraId="173F18D7" w14:textId="77777777" w:rsidR="009674AE" w:rsidRPr="009674AE" w:rsidRDefault="009674AE" w:rsidP="009674AE">
            <w:pPr>
              <w:rPr>
                <w:rFonts w:cs="Arial"/>
                <w:szCs w:val="20"/>
              </w:rPr>
            </w:pPr>
          </w:p>
        </w:tc>
      </w:tr>
    </w:tbl>
    <w:p w14:paraId="00CBDBB3" w14:textId="77777777" w:rsidR="00F27E0D" w:rsidRDefault="00F27E0D">
      <w:pPr>
        <w:pStyle w:val="APVMAText"/>
        <w:sectPr w:rsidR="00F27E0D">
          <w:headerReference w:type="default" r:id="rId48"/>
          <w:pgSz w:w="11906" w:h="16838" w:code="9"/>
          <w:pgMar w:top="2835" w:right="1134" w:bottom="1134" w:left="1134" w:header="1701" w:footer="680" w:gutter="0"/>
          <w:cols w:space="708"/>
          <w:docGrid w:linePitch="360"/>
        </w:sectPr>
      </w:pPr>
    </w:p>
    <w:p w14:paraId="27B82457" w14:textId="77777777" w:rsidR="00F27E0D" w:rsidRDefault="00F27E0D">
      <w:pPr>
        <w:pStyle w:val="APVMAAppendices"/>
      </w:pPr>
      <w:bookmarkStart w:id="62" w:name="_Toc507406695"/>
      <w:r>
        <w:lastRenderedPageBreak/>
        <w:t>abbreviations</w:t>
      </w:r>
      <w:bookmarkEnd w:id="31"/>
      <w:bookmarkEnd w:id="62"/>
    </w:p>
    <w:p w14:paraId="5E56EDEE" w14:textId="5A926019" w:rsidR="00F27E0D" w:rsidRDefault="00F27E0D">
      <w:pPr>
        <w:pStyle w:val="InstructionalText"/>
      </w:pPr>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F27E0D" w14:paraId="6685453A" w14:textId="77777777">
        <w:tc>
          <w:tcPr>
            <w:tcW w:w="2160" w:type="dxa"/>
          </w:tcPr>
          <w:p w14:paraId="47F29E03" w14:textId="77777777" w:rsidR="00F27E0D" w:rsidRDefault="00F27E0D">
            <w:pPr>
              <w:pStyle w:val="APVMATableText"/>
            </w:pPr>
            <w:r>
              <w:t>ac</w:t>
            </w:r>
          </w:p>
        </w:tc>
        <w:tc>
          <w:tcPr>
            <w:tcW w:w="7560" w:type="dxa"/>
          </w:tcPr>
          <w:p w14:paraId="41A4B374" w14:textId="77777777" w:rsidR="00F27E0D" w:rsidRDefault="00F27E0D">
            <w:pPr>
              <w:pStyle w:val="APVMATableText"/>
            </w:pPr>
            <w:r>
              <w:t>active constituent</w:t>
            </w:r>
          </w:p>
        </w:tc>
      </w:tr>
      <w:tr w:rsidR="00F27E0D" w14:paraId="4EEE0896" w14:textId="77777777">
        <w:tc>
          <w:tcPr>
            <w:tcW w:w="2160" w:type="dxa"/>
          </w:tcPr>
          <w:p w14:paraId="21BDA4FA" w14:textId="77777777" w:rsidR="00F27E0D" w:rsidRDefault="00F27E0D">
            <w:pPr>
              <w:pStyle w:val="APVMATableText"/>
            </w:pPr>
            <w:r>
              <w:t>ADI</w:t>
            </w:r>
          </w:p>
        </w:tc>
        <w:tc>
          <w:tcPr>
            <w:tcW w:w="7560" w:type="dxa"/>
          </w:tcPr>
          <w:p w14:paraId="036EDBAC" w14:textId="77777777" w:rsidR="00F27E0D" w:rsidRDefault="00F27E0D">
            <w:pPr>
              <w:pStyle w:val="APVMATableText"/>
            </w:pPr>
            <w:r>
              <w:t>Acceptable Daily Intake (for humans)</w:t>
            </w:r>
          </w:p>
        </w:tc>
      </w:tr>
      <w:tr w:rsidR="00F27E0D" w14:paraId="32180764" w14:textId="77777777">
        <w:tc>
          <w:tcPr>
            <w:tcW w:w="2160" w:type="dxa"/>
          </w:tcPr>
          <w:p w14:paraId="1CCC37B0" w14:textId="77777777" w:rsidR="00F27E0D" w:rsidRDefault="00F27E0D">
            <w:pPr>
              <w:pStyle w:val="APVMATableText"/>
            </w:pPr>
            <w:r>
              <w:t>AHMAC</w:t>
            </w:r>
          </w:p>
        </w:tc>
        <w:tc>
          <w:tcPr>
            <w:tcW w:w="7560" w:type="dxa"/>
          </w:tcPr>
          <w:p w14:paraId="61812291" w14:textId="77777777" w:rsidR="00F27E0D" w:rsidRDefault="00F27E0D">
            <w:pPr>
              <w:pStyle w:val="APVMATableText"/>
            </w:pPr>
            <w:r>
              <w:t xml:space="preserve">Australian Health Ministers Advisory Council </w:t>
            </w:r>
          </w:p>
        </w:tc>
      </w:tr>
      <w:tr w:rsidR="00F27E0D" w14:paraId="10C00780" w14:textId="77777777">
        <w:tc>
          <w:tcPr>
            <w:tcW w:w="2160" w:type="dxa"/>
          </w:tcPr>
          <w:p w14:paraId="5EE064B0" w14:textId="77777777" w:rsidR="00F27E0D" w:rsidRDefault="00F27E0D">
            <w:pPr>
              <w:pStyle w:val="APVMATableText"/>
            </w:pPr>
            <w:r>
              <w:t>ai</w:t>
            </w:r>
          </w:p>
        </w:tc>
        <w:tc>
          <w:tcPr>
            <w:tcW w:w="7560" w:type="dxa"/>
          </w:tcPr>
          <w:p w14:paraId="61839A37" w14:textId="77777777" w:rsidR="00F27E0D" w:rsidRDefault="00F27E0D">
            <w:pPr>
              <w:pStyle w:val="APVMATableText"/>
            </w:pPr>
            <w:r>
              <w:t>active ingredient</w:t>
            </w:r>
          </w:p>
        </w:tc>
      </w:tr>
      <w:tr w:rsidR="006346F7" w14:paraId="103CF784" w14:textId="77777777">
        <w:tc>
          <w:tcPr>
            <w:tcW w:w="2160" w:type="dxa"/>
          </w:tcPr>
          <w:p w14:paraId="016EDE33" w14:textId="44BC7B6E" w:rsidR="006346F7" w:rsidRDefault="00857E4B">
            <w:pPr>
              <w:pStyle w:val="APVMATableText"/>
            </w:pPr>
            <w:r>
              <w:t>AR</w:t>
            </w:r>
          </w:p>
        </w:tc>
        <w:tc>
          <w:tcPr>
            <w:tcW w:w="7560" w:type="dxa"/>
          </w:tcPr>
          <w:p w14:paraId="154EEF3F" w14:textId="0DD7FCB6" w:rsidR="006346F7" w:rsidRDefault="00857E4B">
            <w:pPr>
              <w:pStyle w:val="APVMATableText"/>
            </w:pPr>
            <w:r>
              <w:t>Applied residue</w:t>
            </w:r>
          </w:p>
        </w:tc>
      </w:tr>
      <w:tr w:rsidR="00F27E0D" w14:paraId="3B71C66B" w14:textId="77777777">
        <w:tc>
          <w:tcPr>
            <w:tcW w:w="2160" w:type="dxa"/>
          </w:tcPr>
          <w:p w14:paraId="31EC72F9" w14:textId="77777777" w:rsidR="00F27E0D" w:rsidRDefault="00F27E0D">
            <w:pPr>
              <w:pStyle w:val="APVMATableText"/>
            </w:pPr>
            <w:r>
              <w:t>ARfD</w:t>
            </w:r>
          </w:p>
        </w:tc>
        <w:tc>
          <w:tcPr>
            <w:tcW w:w="7560" w:type="dxa"/>
          </w:tcPr>
          <w:p w14:paraId="57037A25" w14:textId="77777777" w:rsidR="00F27E0D" w:rsidRDefault="00F27E0D">
            <w:pPr>
              <w:pStyle w:val="APVMATableText"/>
            </w:pPr>
            <w:r>
              <w:t>Acute Reference Dose</w:t>
            </w:r>
          </w:p>
        </w:tc>
      </w:tr>
      <w:tr w:rsidR="00F27E0D" w:rsidRPr="001C70F6" w14:paraId="612558F7" w14:textId="77777777">
        <w:tc>
          <w:tcPr>
            <w:tcW w:w="2160" w:type="dxa"/>
          </w:tcPr>
          <w:p w14:paraId="16D5BCB5" w14:textId="77777777" w:rsidR="00F27E0D" w:rsidRDefault="00F27E0D">
            <w:pPr>
              <w:pStyle w:val="APVMATableText"/>
            </w:pPr>
            <w:r>
              <w:t>BBA</w:t>
            </w:r>
          </w:p>
        </w:tc>
        <w:tc>
          <w:tcPr>
            <w:tcW w:w="7560" w:type="dxa"/>
          </w:tcPr>
          <w:p w14:paraId="20B52A52" w14:textId="77777777" w:rsidR="00F27E0D" w:rsidRPr="001C70F6" w:rsidRDefault="00F27E0D">
            <w:pPr>
              <w:pStyle w:val="APVMATableText"/>
              <w:rPr>
                <w:lang w:val="de-DE"/>
              </w:rPr>
            </w:pPr>
            <w:r w:rsidRPr="001C70F6">
              <w:rPr>
                <w:lang w:val="de-DE"/>
              </w:rPr>
              <w:t>Biologische Bundesanalstalt fur Land – und forstwirschaft</w:t>
            </w:r>
          </w:p>
        </w:tc>
      </w:tr>
      <w:tr w:rsidR="001C46C9" w:rsidRPr="001C70F6" w14:paraId="59A75BAA" w14:textId="77777777">
        <w:tc>
          <w:tcPr>
            <w:tcW w:w="2160" w:type="dxa"/>
          </w:tcPr>
          <w:p w14:paraId="7166B1F9" w14:textId="047461ED" w:rsidR="001C46C9" w:rsidRDefault="001C46C9">
            <w:pPr>
              <w:pStyle w:val="APVMATableText"/>
            </w:pPr>
            <w:r>
              <w:t>BBCH</w:t>
            </w:r>
          </w:p>
        </w:tc>
        <w:tc>
          <w:tcPr>
            <w:tcW w:w="7560" w:type="dxa"/>
          </w:tcPr>
          <w:p w14:paraId="0BC6834A" w14:textId="3546C7D2" w:rsidR="001C46C9" w:rsidRPr="001C70F6" w:rsidRDefault="001C46C9" w:rsidP="00326B29">
            <w:pPr>
              <w:pStyle w:val="APVMATableText"/>
              <w:rPr>
                <w:lang w:val="de-DE"/>
              </w:rPr>
            </w:pPr>
            <w:r>
              <w:rPr>
                <w:lang w:val="de-DE"/>
              </w:rPr>
              <w:t xml:space="preserve">Scale for identification of phenological development of </w:t>
            </w:r>
            <w:r w:rsidR="00326B29">
              <w:rPr>
                <w:lang w:val="de-DE"/>
              </w:rPr>
              <w:t>plants</w:t>
            </w:r>
          </w:p>
        </w:tc>
      </w:tr>
      <w:tr w:rsidR="00F27E0D" w14:paraId="15A00D7B" w14:textId="77777777">
        <w:tc>
          <w:tcPr>
            <w:tcW w:w="2160" w:type="dxa"/>
          </w:tcPr>
          <w:p w14:paraId="70D2D903" w14:textId="77777777" w:rsidR="00F27E0D" w:rsidRDefault="00F27E0D">
            <w:pPr>
              <w:pStyle w:val="APVMATableText"/>
            </w:pPr>
            <w:r>
              <w:t>bw</w:t>
            </w:r>
          </w:p>
        </w:tc>
        <w:tc>
          <w:tcPr>
            <w:tcW w:w="7560" w:type="dxa"/>
          </w:tcPr>
          <w:p w14:paraId="63DC4DC3" w14:textId="77777777" w:rsidR="00F27E0D" w:rsidRDefault="00F27E0D">
            <w:pPr>
              <w:pStyle w:val="APVMATableText"/>
            </w:pPr>
            <w:r>
              <w:t>bodyweight</w:t>
            </w:r>
          </w:p>
        </w:tc>
      </w:tr>
      <w:tr w:rsidR="00FF3DBC" w14:paraId="039471E3" w14:textId="77777777">
        <w:tc>
          <w:tcPr>
            <w:tcW w:w="2160" w:type="dxa"/>
          </w:tcPr>
          <w:p w14:paraId="100448A6" w14:textId="615CACDE" w:rsidR="00FF3DBC" w:rsidRDefault="00FF3DBC" w:rsidP="00FF3DBC">
            <w:pPr>
              <w:pStyle w:val="APVMATableText"/>
            </w:pPr>
            <w:r>
              <w:t>C</w:t>
            </w:r>
            <w:r w:rsidRPr="009E3FC1">
              <w:rPr>
                <w:vertAlign w:val="subscript"/>
              </w:rPr>
              <w:t>max</w:t>
            </w:r>
          </w:p>
        </w:tc>
        <w:tc>
          <w:tcPr>
            <w:tcW w:w="7560" w:type="dxa"/>
          </w:tcPr>
          <w:p w14:paraId="0F63D2A3" w14:textId="78F3DEE2" w:rsidR="00FF3DBC" w:rsidRDefault="00FF3DBC" w:rsidP="00FF3DBC">
            <w:pPr>
              <w:pStyle w:val="APVMATableText"/>
            </w:pPr>
            <w:r w:rsidRPr="00FF3DBC">
              <w:t>maximum plasma concentrations</w:t>
            </w:r>
          </w:p>
        </w:tc>
      </w:tr>
      <w:tr w:rsidR="001C46C9" w14:paraId="2EA446FF" w14:textId="77777777">
        <w:tc>
          <w:tcPr>
            <w:tcW w:w="2160" w:type="dxa"/>
          </w:tcPr>
          <w:p w14:paraId="5B228D19" w14:textId="6F447003" w:rsidR="001C46C9" w:rsidRDefault="001C46C9" w:rsidP="00FF3DBC">
            <w:pPr>
              <w:pStyle w:val="APVMATableText"/>
            </w:pPr>
            <w:r>
              <w:t>CAR</w:t>
            </w:r>
          </w:p>
        </w:tc>
        <w:tc>
          <w:tcPr>
            <w:tcW w:w="7560" w:type="dxa"/>
          </w:tcPr>
          <w:p w14:paraId="578BF0DE" w14:textId="2F8A18F4" w:rsidR="001C46C9" w:rsidRPr="00FF3DBC" w:rsidRDefault="001C46C9" w:rsidP="00FF3DBC">
            <w:pPr>
              <w:pStyle w:val="APVMATableText"/>
            </w:pPr>
            <w:r>
              <w:t>Constitutive Androstane Receptor</w:t>
            </w:r>
          </w:p>
        </w:tc>
      </w:tr>
      <w:tr w:rsidR="00C13E8E" w14:paraId="7DED42E2" w14:textId="77777777">
        <w:tc>
          <w:tcPr>
            <w:tcW w:w="2160" w:type="dxa"/>
          </w:tcPr>
          <w:p w14:paraId="5DFEF0E1" w14:textId="122BDF6D" w:rsidR="00C13E8E" w:rsidRDefault="00C13E8E" w:rsidP="00FF3DBC">
            <w:pPr>
              <w:pStyle w:val="APVMATableText"/>
            </w:pPr>
            <w:r>
              <w:t>CXL</w:t>
            </w:r>
          </w:p>
        </w:tc>
        <w:tc>
          <w:tcPr>
            <w:tcW w:w="7560" w:type="dxa"/>
          </w:tcPr>
          <w:p w14:paraId="186BE2EC" w14:textId="782DFC2A" w:rsidR="00C13E8E" w:rsidRDefault="00C13E8E" w:rsidP="00FF3DBC">
            <w:pPr>
              <w:pStyle w:val="APVMATableText"/>
            </w:pPr>
            <w:r>
              <w:t>Codex Maximum Residue Limit</w:t>
            </w:r>
          </w:p>
        </w:tc>
      </w:tr>
      <w:tr w:rsidR="00F27E0D" w14:paraId="62FEEADD" w14:textId="77777777">
        <w:tc>
          <w:tcPr>
            <w:tcW w:w="2160" w:type="dxa"/>
          </w:tcPr>
          <w:p w14:paraId="3831E0C8" w14:textId="77777777" w:rsidR="00F27E0D" w:rsidRDefault="00F27E0D">
            <w:pPr>
              <w:pStyle w:val="APVMATableText"/>
            </w:pPr>
            <w:r>
              <w:t>d</w:t>
            </w:r>
          </w:p>
        </w:tc>
        <w:tc>
          <w:tcPr>
            <w:tcW w:w="7560" w:type="dxa"/>
          </w:tcPr>
          <w:p w14:paraId="6C891BDD" w14:textId="77777777" w:rsidR="00F27E0D" w:rsidRDefault="00F27E0D">
            <w:pPr>
              <w:pStyle w:val="APVMATableText"/>
            </w:pPr>
            <w:r>
              <w:t>day</w:t>
            </w:r>
          </w:p>
        </w:tc>
      </w:tr>
      <w:tr w:rsidR="00F27E0D" w14:paraId="15498FF3" w14:textId="77777777">
        <w:tc>
          <w:tcPr>
            <w:tcW w:w="2160" w:type="dxa"/>
          </w:tcPr>
          <w:p w14:paraId="68850A9B" w14:textId="77777777" w:rsidR="00F27E0D" w:rsidRDefault="00F27E0D">
            <w:pPr>
              <w:pStyle w:val="APVMATableText"/>
            </w:pPr>
            <w:r>
              <w:t>DAT</w:t>
            </w:r>
          </w:p>
        </w:tc>
        <w:tc>
          <w:tcPr>
            <w:tcW w:w="7560" w:type="dxa"/>
          </w:tcPr>
          <w:p w14:paraId="52F4D2D8" w14:textId="77777777" w:rsidR="00F27E0D" w:rsidRDefault="00F27E0D">
            <w:pPr>
              <w:pStyle w:val="APVMATableText"/>
            </w:pPr>
            <w:r>
              <w:t>Days After Treatment</w:t>
            </w:r>
          </w:p>
        </w:tc>
      </w:tr>
      <w:tr w:rsidR="006346F7" w14:paraId="00C53C6D" w14:textId="77777777">
        <w:tc>
          <w:tcPr>
            <w:tcW w:w="2160" w:type="dxa"/>
          </w:tcPr>
          <w:p w14:paraId="135E0847" w14:textId="71C9A178" w:rsidR="006346F7" w:rsidRDefault="006346F7">
            <w:pPr>
              <w:pStyle w:val="APVMATableText"/>
            </w:pPr>
            <w:r>
              <w:t>DegT</w:t>
            </w:r>
            <w:r w:rsidRPr="006346F7">
              <w:rPr>
                <w:vertAlign w:val="subscript"/>
              </w:rPr>
              <w:t>50</w:t>
            </w:r>
          </w:p>
        </w:tc>
        <w:tc>
          <w:tcPr>
            <w:tcW w:w="7560" w:type="dxa"/>
          </w:tcPr>
          <w:p w14:paraId="1970359B" w14:textId="2C85F66D" w:rsidR="006346F7" w:rsidRDefault="006346F7">
            <w:pPr>
              <w:pStyle w:val="APVMATableText"/>
            </w:pPr>
            <w:r>
              <w:t>T</w:t>
            </w:r>
            <w:r w:rsidRPr="006346F7">
              <w:t>ime taken for 50 percent of substance to disappear from a compartment due to degradation processes alone</w:t>
            </w:r>
          </w:p>
        </w:tc>
      </w:tr>
      <w:tr w:rsidR="006346F7" w14:paraId="28CD9D12" w14:textId="77777777">
        <w:tc>
          <w:tcPr>
            <w:tcW w:w="2160" w:type="dxa"/>
          </w:tcPr>
          <w:p w14:paraId="6057C8B8" w14:textId="394EC8E0" w:rsidR="006346F7" w:rsidRDefault="006346F7">
            <w:pPr>
              <w:pStyle w:val="APVMATableText"/>
            </w:pPr>
            <w:r>
              <w:t>DissT</w:t>
            </w:r>
            <w:r w:rsidRPr="006346F7">
              <w:rPr>
                <w:vertAlign w:val="subscript"/>
              </w:rPr>
              <w:t>50</w:t>
            </w:r>
          </w:p>
        </w:tc>
        <w:tc>
          <w:tcPr>
            <w:tcW w:w="7560" w:type="dxa"/>
          </w:tcPr>
          <w:p w14:paraId="22BC31C2" w14:textId="34083C74" w:rsidR="006346F7" w:rsidRDefault="006346F7">
            <w:pPr>
              <w:pStyle w:val="APVMATableText"/>
            </w:pPr>
            <w:r>
              <w:t>Dissipation half-life of a substance (</w:t>
            </w:r>
            <w:r w:rsidR="007114A9">
              <w:t>eg</w:t>
            </w:r>
            <w:r>
              <w:t xml:space="preserve"> in soils)</w:t>
            </w:r>
          </w:p>
        </w:tc>
      </w:tr>
      <w:tr w:rsidR="00F27E0D" w14:paraId="21C8840C" w14:textId="77777777">
        <w:tc>
          <w:tcPr>
            <w:tcW w:w="2160" w:type="dxa"/>
          </w:tcPr>
          <w:p w14:paraId="42240AD5" w14:textId="77777777" w:rsidR="00F27E0D" w:rsidRDefault="00F27E0D">
            <w:pPr>
              <w:pStyle w:val="APVMATableText"/>
            </w:pPr>
            <w:r>
              <w:t>DT</w:t>
            </w:r>
            <w:r>
              <w:rPr>
                <w:vertAlign w:val="subscript"/>
              </w:rPr>
              <w:t>50</w:t>
            </w:r>
          </w:p>
        </w:tc>
        <w:tc>
          <w:tcPr>
            <w:tcW w:w="7560" w:type="dxa"/>
          </w:tcPr>
          <w:p w14:paraId="7BC07800" w14:textId="77777777" w:rsidR="00F27E0D" w:rsidRDefault="00F27E0D">
            <w:pPr>
              <w:pStyle w:val="APVMATableText"/>
            </w:pPr>
            <w:r>
              <w:t>Time taken for 50% of the concentration to dissipate</w:t>
            </w:r>
          </w:p>
        </w:tc>
      </w:tr>
      <w:tr w:rsidR="00F27E0D" w14:paraId="7E3961D9" w14:textId="77777777">
        <w:tc>
          <w:tcPr>
            <w:tcW w:w="2160" w:type="dxa"/>
          </w:tcPr>
          <w:p w14:paraId="247E9781" w14:textId="77777777" w:rsidR="00F27E0D" w:rsidRDefault="00F27E0D">
            <w:pPr>
              <w:pStyle w:val="APVMATableText"/>
            </w:pPr>
            <w:r>
              <w:t>EA</w:t>
            </w:r>
          </w:p>
        </w:tc>
        <w:tc>
          <w:tcPr>
            <w:tcW w:w="7560" w:type="dxa"/>
          </w:tcPr>
          <w:p w14:paraId="2786ECDB" w14:textId="77777777" w:rsidR="00F27E0D" w:rsidRDefault="00F27E0D">
            <w:pPr>
              <w:pStyle w:val="APVMATableText"/>
            </w:pPr>
            <w:r>
              <w:t>Environment Australia</w:t>
            </w:r>
          </w:p>
        </w:tc>
      </w:tr>
      <w:tr w:rsidR="00F27E0D" w14:paraId="3316C1AA" w14:textId="77777777">
        <w:tc>
          <w:tcPr>
            <w:tcW w:w="2160" w:type="dxa"/>
          </w:tcPr>
          <w:p w14:paraId="7A6BCF4B" w14:textId="77777777" w:rsidR="00F27E0D" w:rsidRDefault="00F27E0D">
            <w:pPr>
              <w:pStyle w:val="APVMATableText"/>
            </w:pPr>
            <w:r>
              <w:t>E</w:t>
            </w:r>
            <w:r>
              <w:rPr>
                <w:vertAlign w:val="subscript"/>
              </w:rPr>
              <w:t>b</w:t>
            </w:r>
            <w:r>
              <w:t>C</w:t>
            </w:r>
            <w:r>
              <w:rPr>
                <w:vertAlign w:val="subscript"/>
              </w:rPr>
              <w:t>50</w:t>
            </w:r>
          </w:p>
        </w:tc>
        <w:tc>
          <w:tcPr>
            <w:tcW w:w="7560" w:type="dxa"/>
          </w:tcPr>
          <w:p w14:paraId="14FC6E0E" w14:textId="77777777" w:rsidR="00F27E0D" w:rsidRDefault="00F27E0D">
            <w:pPr>
              <w:pStyle w:val="APVMATableText"/>
            </w:pPr>
            <w:r>
              <w:t>concentration at which the biomass of 50% of the test population is impacted</w:t>
            </w:r>
          </w:p>
        </w:tc>
      </w:tr>
      <w:tr w:rsidR="00F27E0D" w14:paraId="12BBC5FC" w14:textId="77777777">
        <w:tc>
          <w:tcPr>
            <w:tcW w:w="2160" w:type="dxa"/>
          </w:tcPr>
          <w:p w14:paraId="0B10618A" w14:textId="77777777" w:rsidR="00F27E0D" w:rsidRDefault="00F27E0D">
            <w:pPr>
              <w:pStyle w:val="APVMATableText"/>
            </w:pPr>
            <w:r>
              <w:t>EC</w:t>
            </w:r>
            <w:r>
              <w:rPr>
                <w:vertAlign w:val="subscript"/>
              </w:rPr>
              <w:t>50</w:t>
            </w:r>
          </w:p>
        </w:tc>
        <w:tc>
          <w:tcPr>
            <w:tcW w:w="7560" w:type="dxa"/>
          </w:tcPr>
          <w:p w14:paraId="0E7AA940" w14:textId="77777777" w:rsidR="00F27E0D" w:rsidRDefault="00F27E0D">
            <w:pPr>
              <w:pStyle w:val="APVMATableText"/>
            </w:pPr>
            <w:r>
              <w:t>concentration at which 50% of the test population are immobilised</w:t>
            </w:r>
          </w:p>
        </w:tc>
      </w:tr>
      <w:tr w:rsidR="00FF3DBC" w14:paraId="530FBD12" w14:textId="77777777" w:rsidTr="001936D7">
        <w:tc>
          <w:tcPr>
            <w:tcW w:w="2160" w:type="dxa"/>
          </w:tcPr>
          <w:p w14:paraId="7FED133B" w14:textId="77777777" w:rsidR="00FF3DBC" w:rsidRDefault="00FF3DBC" w:rsidP="001936D7">
            <w:pPr>
              <w:pStyle w:val="APVMATableText"/>
            </w:pPr>
            <w:r>
              <w:t>EC</w:t>
            </w:r>
            <w:r w:rsidRPr="009E3FC1">
              <w:rPr>
                <w:vertAlign w:val="subscript"/>
              </w:rPr>
              <w:t>10</w:t>
            </w:r>
            <w:r>
              <w:t>/EC</w:t>
            </w:r>
            <w:r>
              <w:rPr>
                <w:vertAlign w:val="subscript"/>
              </w:rPr>
              <w:t>50</w:t>
            </w:r>
          </w:p>
        </w:tc>
        <w:tc>
          <w:tcPr>
            <w:tcW w:w="7560" w:type="dxa"/>
          </w:tcPr>
          <w:p w14:paraId="4507B0A0" w14:textId="77777777" w:rsidR="00FF3DBC" w:rsidRDefault="00FF3DBC" w:rsidP="001936D7">
            <w:pPr>
              <w:pStyle w:val="APVMATableText"/>
            </w:pPr>
            <w:r>
              <w:t>concentration at which 10%/50% of the test population are immobilised</w:t>
            </w:r>
          </w:p>
        </w:tc>
      </w:tr>
      <w:tr w:rsidR="00F27E0D" w14:paraId="36F80675" w14:textId="77777777">
        <w:tc>
          <w:tcPr>
            <w:tcW w:w="2160" w:type="dxa"/>
          </w:tcPr>
          <w:p w14:paraId="48A6FDD5" w14:textId="77777777" w:rsidR="00F27E0D" w:rsidRDefault="00F27E0D">
            <w:pPr>
              <w:pStyle w:val="APVMATableText"/>
            </w:pPr>
            <w:r>
              <w:t>EEC</w:t>
            </w:r>
          </w:p>
        </w:tc>
        <w:tc>
          <w:tcPr>
            <w:tcW w:w="7560" w:type="dxa"/>
          </w:tcPr>
          <w:p w14:paraId="4964B171" w14:textId="77777777" w:rsidR="00F27E0D" w:rsidRDefault="00F27E0D">
            <w:pPr>
              <w:pStyle w:val="APVMATableText"/>
            </w:pPr>
            <w:r>
              <w:t>Estimated Environmental Concentration</w:t>
            </w:r>
          </w:p>
        </w:tc>
      </w:tr>
      <w:tr w:rsidR="00F27E0D" w14:paraId="4DA33F48" w14:textId="77777777">
        <w:tc>
          <w:tcPr>
            <w:tcW w:w="2160" w:type="dxa"/>
          </w:tcPr>
          <w:p w14:paraId="641C7824" w14:textId="77777777" w:rsidR="00F27E0D" w:rsidRDefault="00F27E0D">
            <w:pPr>
              <w:pStyle w:val="APVMATableText"/>
            </w:pPr>
            <w:r>
              <w:t>E</w:t>
            </w:r>
            <w:r>
              <w:rPr>
                <w:vertAlign w:val="subscript"/>
              </w:rPr>
              <w:t>r</w:t>
            </w:r>
            <w:r>
              <w:t>C</w:t>
            </w:r>
            <w:r>
              <w:rPr>
                <w:vertAlign w:val="subscript"/>
              </w:rPr>
              <w:t>50</w:t>
            </w:r>
          </w:p>
        </w:tc>
        <w:tc>
          <w:tcPr>
            <w:tcW w:w="7560" w:type="dxa"/>
          </w:tcPr>
          <w:p w14:paraId="3339DB6A" w14:textId="77777777" w:rsidR="00F27E0D" w:rsidRDefault="00F27E0D">
            <w:pPr>
              <w:pStyle w:val="APVMATableText"/>
            </w:pPr>
            <w:r>
              <w:t>concentration at which the rate of growth of 50% of the test population is impacted</w:t>
            </w:r>
          </w:p>
        </w:tc>
      </w:tr>
      <w:tr w:rsidR="00F27E0D" w14:paraId="2097CBB2" w14:textId="77777777">
        <w:tc>
          <w:tcPr>
            <w:tcW w:w="2160" w:type="dxa"/>
          </w:tcPr>
          <w:p w14:paraId="0ABF9BD4" w14:textId="77777777" w:rsidR="00F27E0D" w:rsidRDefault="00F27E0D">
            <w:pPr>
              <w:pStyle w:val="APVMATableText"/>
            </w:pPr>
            <w:r>
              <w:t>EI</w:t>
            </w:r>
          </w:p>
        </w:tc>
        <w:tc>
          <w:tcPr>
            <w:tcW w:w="7560" w:type="dxa"/>
          </w:tcPr>
          <w:p w14:paraId="73C9D25A" w14:textId="77777777" w:rsidR="00F27E0D" w:rsidRDefault="00F27E0D">
            <w:pPr>
              <w:pStyle w:val="APVMATableText"/>
            </w:pPr>
            <w:r>
              <w:t>Export Interval</w:t>
            </w:r>
          </w:p>
        </w:tc>
      </w:tr>
      <w:tr w:rsidR="00F27E0D" w14:paraId="0574451D" w14:textId="77777777">
        <w:tc>
          <w:tcPr>
            <w:tcW w:w="2160" w:type="dxa"/>
          </w:tcPr>
          <w:p w14:paraId="7A6E2F05" w14:textId="77777777" w:rsidR="00F27E0D" w:rsidRDefault="00F27E0D">
            <w:pPr>
              <w:pStyle w:val="APVMATableText"/>
            </w:pPr>
            <w:r>
              <w:t>EGI</w:t>
            </w:r>
          </w:p>
        </w:tc>
        <w:tc>
          <w:tcPr>
            <w:tcW w:w="7560" w:type="dxa"/>
          </w:tcPr>
          <w:p w14:paraId="700EDE55" w14:textId="77777777" w:rsidR="00F27E0D" w:rsidRDefault="00F27E0D">
            <w:pPr>
              <w:pStyle w:val="APVMATableText"/>
            </w:pPr>
            <w:r>
              <w:t>Export Grazing Interval</w:t>
            </w:r>
          </w:p>
        </w:tc>
      </w:tr>
      <w:tr w:rsidR="00326B29" w14:paraId="1714A990" w14:textId="77777777">
        <w:tc>
          <w:tcPr>
            <w:tcW w:w="2160" w:type="dxa"/>
          </w:tcPr>
          <w:p w14:paraId="67AE5DFF" w14:textId="0EB9BF13" w:rsidR="00326B29" w:rsidRDefault="00326B29">
            <w:pPr>
              <w:pStyle w:val="APVMATableText"/>
            </w:pPr>
            <w:r>
              <w:lastRenderedPageBreak/>
              <w:t>EL</w:t>
            </w:r>
          </w:p>
        </w:tc>
        <w:tc>
          <w:tcPr>
            <w:tcW w:w="7560" w:type="dxa"/>
          </w:tcPr>
          <w:p w14:paraId="2758DCA0" w14:textId="06E3F381" w:rsidR="00326B29" w:rsidRDefault="00326B29">
            <w:pPr>
              <w:pStyle w:val="APVMATableText"/>
            </w:pPr>
            <w:r>
              <w:t>System for measurement of grapevine growth stages</w:t>
            </w:r>
          </w:p>
        </w:tc>
      </w:tr>
      <w:tr w:rsidR="00FF3DBC" w14:paraId="40096BBC" w14:textId="77777777" w:rsidTr="001936D7">
        <w:tc>
          <w:tcPr>
            <w:tcW w:w="2160" w:type="dxa"/>
          </w:tcPr>
          <w:p w14:paraId="67FE48EC" w14:textId="77777777" w:rsidR="00FF3DBC" w:rsidRDefault="00FF3DBC" w:rsidP="001936D7">
            <w:pPr>
              <w:pStyle w:val="APVMATableText"/>
            </w:pPr>
            <w:r>
              <w:t>ER</w:t>
            </w:r>
            <w:r w:rsidRPr="009E3FC1">
              <w:rPr>
                <w:vertAlign w:val="subscript"/>
              </w:rPr>
              <w:t>25</w:t>
            </w:r>
            <w:r>
              <w:t>/ER</w:t>
            </w:r>
            <w:r w:rsidRPr="009E3FC1">
              <w:rPr>
                <w:vertAlign w:val="subscript"/>
              </w:rPr>
              <w:t>50</w:t>
            </w:r>
          </w:p>
        </w:tc>
        <w:tc>
          <w:tcPr>
            <w:tcW w:w="7560" w:type="dxa"/>
          </w:tcPr>
          <w:p w14:paraId="21406FB0" w14:textId="77777777" w:rsidR="00FF3DBC" w:rsidRDefault="00FF3DBC" w:rsidP="001936D7">
            <w:pPr>
              <w:pStyle w:val="APVMATableText"/>
            </w:pPr>
            <w:r>
              <w:t>Effective rate of a substance that causes 10%/50% of the maximum response</w:t>
            </w:r>
          </w:p>
        </w:tc>
      </w:tr>
      <w:tr w:rsidR="00F27E0D" w14:paraId="4C33ABCB" w14:textId="77777777">
        <w:tc>
          <w:tcPr>
            <w:tcW w:w="2160" w:type="dxa"/>
          </w:tcPr>
          <w:p w14:paraId="588C221B" w14:textId="77777777" w:rsidR="00F27E0D" w:rsidRDefault="00F27E0D">
            <w:pPr>
              <w:pStyle w:val="APVMATableText"/>
            </w:pPr>
            <w:r>
              <w:t>ESI</w:t>
            </w:r>
          </w:p>
        </w:tc>
        <w:tc>
          <w:tcPr>
            <w:tcW w:w="7560" w:type="dxa"/>
          </w:tcPr>
          <w:p w14:paraId="130544F8" w14:textId="77777777" w:rsidR="00F27E0D" w:rsidRDefault="00F27E0D">
            <w:pPr>
              <w:pStyle w:val="APVMATableText"/>
            </w:pPr>
            <w:r>
              <w:t>Export Slaughter Interval</w:t>
            </w:r>
          </w:p>
        </w:tc>
      </w:tr>
      <w:tr w:rsidR="00F844E4" w14:paraId="637AA554" w14:textId="77777777">
        <w:tc>
          <w:tcPr>
            <w:tcW w:w="2160" w:type="dxa"/>
          </w:tcPr>
          <w:p w14:paraId="1CE224F8" w14:textId="73256433" w:rsidR="00F844E4" w:rsidRDefault="00F844E4">
            <w:pPr>
              <w:pStyle w:val="APVMATableText"/>
            </w:pPr>
            <w:r>
              <w:t>EU</w:t>
            </w:r>
          </w:p>
        </w:tc>
        <w:tc>
          <w:tcPr>
            <w:tcW w:w="7560" w:type="dxa"/>
          </w:tcPr>
          <w:p w14:paraId="2AB100DB" w14:textId="494C2228" w:rsidR="00F844E4" w:rsidRDefault="00F844E4">
            <w:pPr>
              <w:pStyle w:val="APVMATableText"/>
            </w:pPr>
            <w:r>
              <w:t>European Union</w:t>
            </w:r>
          </w:p>
        </w:tc>
      </w:tr>
      <w:tr w:rsidR="00F27E0D" w14:paraId="7294CA7E" w14:textId="77777777">
        <w:tc>
          <w:tcPr>
            <w:tcW w:w="2160" w:type="dxa"/>
          </w:tcPr>
          <w:p w14:paraId="75527272" w14:textId="77777777" w:rsidR="00F27E0D" w:rsidRDefault="00F27E0D">
            <w:pPr>
              <w:pStyle w:val="APVMATableText"/>
            </w:pPr>
            <w:r>
              <w:t>EUP</w:t>
            </w:r>
          </w:p>
        </w:tc>
        <w:tc>
          <w:tcPr>
            <w:tcW w:w="7560" w:type="dxa"/>
          </w:tcPr>
          <w:p w14:paraId="76FD683C" w14:textId="77777777" w:rsidR="00F27E0D" w:rsidRDefault="00F27E0D">
            <w:pPr>
              <w:pStyle w:val="APVMATableText"/>
            </w:pPr>
            <w:r>
              <w:t>End Use Product</w:t>
            </w:r>
          </w:p>
        </w:tc>
      </w:tr>
      <w:tr w:rsidR="00FF3DBC" w14:paraId="23E88315" w14:textId="77777777" w:rsidTr="001936D7">
        <w:tc>
          <w:tcPr>
            <w:tcW w:w="2160" w:type="dxa"/>
          </w:tcPr>
          <w:p w14:paraId="07590774" w14:textId="77777777" w:rsidR="00FF3DBC" w:rsidRDefault="00FF3DBC" w:rsidP="001936D7">
            <w:pPr>
              <w:pStyle w:val="APVMATableText"/>
            </w:pPr>
            <w:r>
              <w:t>FAO</w:t>
            </w:r>
          </w:p>
        </w:tc>
        <w:tc>
          <w:tcPr>
            <w:tcW w:w="7560" w:type="dxa"/>
          </w:tcPr>
          <w:p w14:paraId="7D7F9E4A" w14:textId="77777777" w:rsidR="00FF3DBC" w:rsidRDefault="00FF3DBC" w:rsidP="001936D7">
            <w:pPr>
              <w:pStyle w:val="APVMATableText"/>
            </w:pPr>
            <w:r>
              <w:t>Food and Agriculture Organisation</w:t>
            </w:r>
          </w:p>
        </w:tc>
      </w:tr>
      <w:tr w:rsidR="00F27E0D" w14:paraId="33F12F87" w14:textId="77777777">
        <w:tc>
          <w:tcPr>
            <w:tcW w:w="2160" w:type="dxa"/>
          </w:tcPr>
          <w:p w14:paraId="512937FD" w14:textId="77777777" w:rsidR="00F27E0D" w:rsidRDefault="00F27E0D">
            <w:pPr>
              <w:pStyle w:val="APVMATableText"/>
            </w:pPr>
            <w:r>
              <w:t>Fo</w:t>
            </w:r>
          </w:p>
        </w:tc>
        <w:tc>
          <w:tcPr>
            <w:tcW w:w="7560" w:type="dxa"/>
          </w:tcPr>
          <w:p w14:paraId="3555B443" w14:textId="77777777" w:rsidR="00F27E0D" w:rsidRDefault="00F27E0D">
            <w:pPr>
              <w:pStyle w:val="APVMATableText"/>
            </w:pPr>
            <w:r>
              <w:t>original parent generation</w:t>
            </w:r>
          </w:p>
        </w:tc>
      </w:tr>
      <w:tr w:rsidR="00F27E0D" w14:paraId="431E81CA" w14:textId="77777777">
        <w:tc>
          <w:tcPr>
            <w:tcW w:w="2160" w:type="dxa"/>
          </w:tcPr>
          <w:p w14:paraId="46B928EE" w14:textId="77777777" w:rsidR="00F27E0D" w:rsidRDefault="00F27E0D">
            <w:pPr>
              <w:pStyle w:val="APVMATableText"/>
            </w:pPr>
            <w:r>
              <w:t>g</w:t>
            </w:r>
          </w:p>
        </w:tc>
        <w:tc>
          <w:tcPr>
            <w:tcW w:w="7560" w:type="dxa"/>
          </w:tcPr>
          <w:p w14:paraId="486418F6" w14:textId="77777777" w:rsidR="00F27E0D" w:rsidRDefault="00F27E0D">
            <w:pPr>
              <w:pStyle w:val="APVMATableText"/>
            </w:pPr>
            <w:r>
              <w:t>gram</w:t>
            </w:r>
          </w:p>
        </w:tc>
      </w:tr>
      <w:tr w:rsidR="00F27E0D" w14:paraId="434381EC" w14:textId="77777777">
        <w:tc>
          <w:tcPr>
            <w:tcW w:w="2160" w:type="dxa"/>
          </w:tcPr>
          <w:p w14:paraId="0465F5DB" w14:textId="77777777" w:rsidR="00F27E0D" w:rsidRDefault="00F27E0D">
            <w:pPr>
              <w:pStyle w:val="APVMATableText"/>
            </w:pPr>
            <w:r>
              <w:t>GAP</w:t>
            </w:r>
          </w:p>
        </w:tc>
        <w:tc>
          <w:tcPr>
            <w:tcW w:w="7560" w:type="dxa"/>
          </w:tcPr>
          <w:p w14:paraId="5695935F" w14:textId="77777777" w:rsidR="00F27E0D" w:rsidRDefault="00F27E0D">
            <w:pPr>
              <w:pStyle w:val="APVMATableText"/>
            </w:pPr>
            <w:r>
              <w:t>Good Agricultural Practice</w:t>
            </w:r>
          </w:p>
        </w:tc>
      </w:tr>
      <w:tr w:rsidR="00F27E0D" w14:paraId="32CA1ABA" w14:textId="77777777">
        <w:tc>
          <w:tcPr>
            <w:tcW w:w="2160" w:type="dxa"/>
          </w:tcPr>
          <w:p w14:paraId="0FDC0F7B" w14:textId="77777777" w:rsidR="00F27E0D" w:rsidRDefault="00F27E0D">
            <w:pPr>
              <w:pStyle w:val="APVMATableText"/>
            </w:pPr>
            <w:r>
              <w:t>GCP</w:t>
            </w:r>
          </w:p>
        </w:tc>
        <w:tc>
          <w:tcPr>
            <w:tcW w:w="7560" w:type="dxa"/>
          </w:tcPr>
          <w:p w14:paraId="084AA5DF" w14:textId="77777777" w:rsidR="00F27E0D" w:rsidRDefault="00F27E0D">
            <w:pPr>
              <w:pStyle w:val="APVMATableText"/>
            </w:pPr>
            <w:r>
              <w:t>Good Clinical Practice</w:t>
            </w:r>
          </w:p>
        </w:tc>
      </w:tr>
      <w:tr w:rsidR="001C46C9" w14:paraId="28189126" w14:textId="77777777">
        <w:tc>
          <w:tcPr>
            <w:tcW w:w="2160" w:type="dxa"/>
          </w:tcPr>
          <w:p w14:paraId="5679CA39" w14:textId="518529CF" w:rsidR="001C46C9" w:rsidRDefault="001C46C9">
            <w:pPr>
              <w:pStyle w:val="APVMATableText"/>
            </w:pPr>
            <w:r>
              <w:t>GI</w:t>
            </w:r>
          </w:p>
        </w:tc>
        <w:tc>
          <w:tcPr>
            <w:tcW w:w="7560" w:type="dxa"/>
          </w:tcPr>
          <w:p w14:paraId="194FDE87" w14:textId="7CA1BD37" w:rsidR="001C46C9" w:rsidRDefault="001C46C9">
            <w:pPr>
              <w:pStyle w:val="APVMATableText"/>
            </w:pPr>
            <w:r>
              <w:t>Gastro-intestinal</w:t>
            </w:r>
          </w:p>
        </w:tc>
      </w:tr>
      <w:tr w:rsidR="00F27E0D" w14:paraId="3EF72F75" w14:textId="77777777">
        <w:tc>
          <w:tcPr>
            <w:tcW w:w="2160" w:type="dxa"/>
          </w:tcPr>
          <w:p w14:paraId="0E702CB0" w14:textId="77777777" w:rsidR="00F27E0D" w:rsidRDefault="00F27E0D">
            <w:pPr>
              <w:pStyle w:val="APVMATableText"/>
            </w:pPr>
            <w:r>
              <w:t>GLP</w:t>
            </w:r>
          </w:p>
        </w:tc>
        <w:tc>
          <w:tcPr>
            <w:tcW w:w="7560" w:type="dxa"/>
          </w:tcPr>
          <w:p w14:paraId="006F0A9F" w14:textId="77777777" w:rsidR="00F27E0D" w:rsidRDefault="00F27E0D">
            <w:pPr>
              <w:pStyle w:val="APVMATableText"/>
            </w:pPr>
            <w:r>
              <w:t>Good Laboratory Practice</w:t>
            </w:r>
          </w:p>
        </w:tc>
      </w:tr>
      <w:tr w:rsidR="00F27E0D" w14:paraId="15F57ED6" w14:textId="77777777">
        <w:tc>
          <w:tcPr>
            <w:tcW w:w="2160" w:type="dxa"/>
          </w:tcPr>
          <w:p w14:paraId="2BE4701A" w14:textId="77777777" w:rsidR="00F27E0D" w:rsidRDefault="00F27E0D">
            <w:pPr>
              <w:pStyle w:val="APVMATableText"/>
            </w:pPr>
            <w:r>
              <w:t>GVP</w:t>
            </w:r>
          </w:p>
        </w:tc>
        <w:tc>
          <w:tcPr>
            <w:tcW w:w="7560" w:type="dxa"/>
          </w:tcPr>
          <w:p w14:paraId="75AD5728" w14:textId="77777777" w:rsidR="00F27E0D" w:rsidRDefault="00F27E0D">
            <w:pPr>
              <w:pStyle w:val="APVMATableText"/>
            </w:pPr>
            <w:r>
              <w:t>Good Veterinary Practice</w:t>
            </w:r>
          </w:p>
        </w:tc>
      </w:tr>
      <w:tr w:rsidR="00F27E0D" w14:paraId="0A03A37C" w14:textId="77777777">
        <w:tc>
          <w:tcPr>
            <w:tcW w:w="2160" w:type="dxa"/>
          </w:tcPr>
          <w:p w14:paraId="060FA167" w14:textId="77777777" w:rsidR="00F27E0D" w:rsidRDefault="00F27E0D">
            <w:pPr>
              <w:pStyle w:val="APVMATableText"/>
            </w:pPr>
            <w:r>
              <w:t>h</w:t>
            </w:r>
          </w:p>
        </w:tc>
        <w:tc>
          <w:tcPr>
            <w:tcW w:w="7560" w:type="dxa"/>
          </w:tcPr>
          <w:p w14:paraId="20AF8EBD" w14:textId="77777777" w:rsidR="00F27E0D" w:rsidRDefault="00F27E0D">
            <w:pPr>
              <w:pStyle w:val="APVMATableText"/>
            </w:pPr>
            <w:r>
              <w:t>hour</w:t>
            </w:r>
          </w:p>
        </w:tc>
      </w:tr>
      <w:tr w:rsidR="00F27E0D" w14:paraId="724A5427" w14:textId="77777777">
        <w:tc>
          <w:tcPr>
            <w:tcW w:w="2160" w:type="dxa"/>
          </w:tcPr>
          <w:p w14:paraId="48A36FB6" w14:textId="77777777" w:rsidR="00F27E0D" w:rsidRDefault="00F27E0D">
            <w:pPr>
              <w:pStyle w:val="APVMATableText"/>
            </w:pPr>
            <w:r>
              <w:t>ha</w:t>
            </w:r>
          </w:p>
        </w:tc>
        <w:tc>
          <w:tcPr>
            <w:tcW w:w="7560" w:type="dxa"/>
          </w:tcPr>
          <w:p w14:paraId="410184A4" w14:textId="77777777" w:rsidR="00F27E0D" w:rsidRDefault="00F27E0D">
            <w:pPr>
              <w:pStyle w:val="APVMATableText"/>
            </w:pPr>
            <w:r>
              <w:t>hectare</w:t>
            </w:r>
          </w:p>
        </w:tc>
      </w:tr>
      <w:tr w:rsidR="00F27E0D" w14:paraId="352D26AC" w14:textId="77777777">
        <w:tc>
          <w:tcPr>
            <w:tcW w:w="2160" w:type="dxa"/>
          </w:tcPr>
          <w:p w14:paraId="288B4E6F" w14:textId="77777777" w:rsidR="00F27E0D" w:rsidRDefault="00F27E0D">
            <w:pPr>
              <w:pStyle w:val="APVMATableText"/>
            </w:pPr>
            <w:r>
              <w:t>Hct</w:t>
            </w:r>
          </w:p>
        </w:tc>
        <w:tc>
          <w:tcPr>
            <w:tcW w:w="7560" w:type="dxa"/>
          </w:tcPr>
          <w:p w14:paraId="034CD251" w14:textId="77777777" w:rsidR="00F27E0D" w:rsidRDefault="00F27E0D">
            <w:pPr>
              <w:pStyle w:val="APVMATableText"/>
            </w:pPr>
            <w:r>
              <w:t>Heamatocrit</w:t>
            </w:r>
          </w:p>
        </w:tc>
      </w:tr>
      <w:tr w:rsidR="00F41B7D" w14:paraId="386B870D" w14:textId="77777777">
        <w:tc>
          <w:tcPr>
            <w:tcW w:w="2160" w:type="dxa"/>
          </w:tcPr>
          <w:p w14:paraId="55C8C967" w14:textId="1028C7C1" w:rsidR="00F41B7D" w:rsidRDefault="00F41B7D">
            <w:pPr>
              <w:pStyle w:val="APVMATableText"/>
            </w:pPr>
            <w:r>
              <w:t>HDPE</w:t>
            </w:r>
          </w:p>
        </w:tc>
        <w:tc>
          <w:tcPr>
            <w:tcW w:w="7560" w:type="dxa"/>
          </w:tcPr>
          <w:p w14:paraId="12E36377" w14:textId="28F11E9C" w:rsidR="00F41B7D" w:rsidRDefault="00F41B7D">
            <w:pPr>
              <w:pStyle w:val="APVMATableText"/>
            </w:pPr>
            <w:r>
              <w:t>high density polyethylene</w:t>
            </w:r>
          </w:p>
        </w:tc>
      </w:tr>
      <w:tr w:rsidR="00F27E0D" w14:paraId="158EF006" w14:textId="77777777">
        <w:tc>
          <w:tcPr>
            <w:tcW w:w="2160" w:type="dxa"/>
          </w:tcPr>
          <w:p w14:paraId="203165A3" w14:textId="77777777" w:rsidR="00F27E0D" w:rsidRDefault="00F27E0D">
            <w:pPr>
              <w:pStyle w:val="APVMATableText"/>
            </w:pPr>
            <w:r>
              <w:t>Hg</w:t>
            </w:r>
          </w:p>
        </w:tc>
        <w:tc>
          <w:tcPr>
            <w:tcW w:w="7560" w:type="dxa"/>
          </w:tcPr>
          <w:p w14:paraId="2214DDD5" w14:textId="77777777" w:rsidR="00F27E0D" w:rsidRDefault="00F27E0D">
            <w:pPr>
              <w:pStyle w:val="APVMATableText"/>
            </w:pPr>
            <w:r>
              <w:t>Haemoglobin</w:t>
            </w:r>
          </w:p>
        </w:tc>
      </w:tr>
      <w:tr w:rsidR="00F27E0D" w14:paraId="2C1A00FB" w14:textId="77777777">
        <w:tc>
          <w:tcPr>
            <w:tcW w:w="2160" w:type="dxa"/>
          </w:tcPr>
          <w:p w14:paraId="279AE023" w14:textId="77777777" w:rsidR="00F27E0D" w:rsidRDefault="00F27E0D">
            <w:pPr>
              <w:pStyle w:val="APVMATableText"/>
            </w:pPr>
            <w:r>
              <w:t>HPLC</w:t>
            </w:r>
          </w:p>
        </w:tc>
        <w:tc>
          <w:tcPr>
            <w:tcW w:w="7560" w:type="dxa"/>
          </w:tcPr>
          <w:p w14:paraId="7B955CE7" w14:textId="77777777" w:rsidR="00F27E0D" w:rsidRDefault="00F27E0D">
            <w:pPr>
              <w:pStyle w:val="APVMATableText"/>
            </w:pPr>
            <w:r>
              <w:t xml:space="preserve">High Pressure Liquid Chromatography </w:t>
            </w:r>
            <w:r>
              <w:rPr>
                <w:i/>
              </w:rPr>
              <w:t>or</w:t>
            </w:r>
            <w:r>
              <w:t xml:space="preserve"> High Performance Liquid Chromatography</w:t>
            </w:r>
          </w:p>
        </w:tc>
      </w:tr>
      <w:tr w:rsidR="00F844E4" w14:paraId="3601A5C5" w14:textId="77777777">
        <w:tc>
          <w:tcPr>
            <w:tcW w:w="2160" w:type="dxa"/>
          </w:tcPr>
          <w:p w14:paraId="0E76E3F0" w14:textId="7841580C" w:rsidR="00F844E4" w:rsidRDefault="00F844E4">
            <w:pPr>
              <w:pStyle w:val="APVMATableText"/>
            </w:pPr>
            <w:r>
              <w:t>HR</w:t>
            </w:r>
          </w:p>
        </w:tc>
        <w:tc>
          <w:tcPr>
            <w:tcW w:w="7560" w:type="dxa"/>
          </w:tcPr>
          <w:p w14:paraId="021335C0" w14:textId="7DDBC143" w:rsidR="00F844E4" w:rsidRDefault="00F844E4">
            <w:pPr>
              <w:pStyle w:val="APVMATableText"/>
            </w:pPr>
            <w:r>
              <w:t>Highest Residue Value</w:t>
            </w:r>
          </w:p>
        </w:tc>
      </w:tr>
      <w:tr w:rsidR="00BC1AC8" w14:paraId="5B367297" w14:textId="77777777">
        <w:tc>
          <w:tcPr>
            <w:tcW w:w="2160" w:type="dxa"/>
          </w:tcPr>
          <w:p w14:paraId="70E71CAB" w14:textId="1AA36DEA" w:rsidR="00BC1AC8" w:rsidRDefault="00BC1AC8">
            <w:pPr>
              <w:pStyle w:val="APVMATableText"/>
            </w:pPr>
            <w:r w:rsidRPr="00BC1AC8">
              <w:t>HR-P</w:t>
            </w:r>
          </w:p>
        </w:tc>
        <w:tc>
          <w:tcPr>
            <w:tcW w:w="7560" w:type="dxa"/>
          </w:tcPr>
          <w:p w14:paraId="6D43C055" w14:textId="14F5BFCF" w:rsidR="00BC1AC8" w:rsidRDefault="00BC1AC8">
            <w:pPr>
              <w:pStyle w:val="APVMATableText"/>
            </w:pPr>
            <w:r w:rsidRPr="00BC1AC8">
              <w:t>Highest Predicted Residue Value</w:t>
            </w:r>
          </w:p>
        </w:tc>
      </w:tr>
      <w:tr w:rsidR="00F27E0D" w14:paraId="320CD75C" w14:textId="77777777">
        <w:tc>
          <w:tcPr>
            <w:tcW w:w="2160" w:type="dxa"/>
          </w:tcPr>
          <w:p w14:paraId="7CA468C8" w14:textId="77777777" w:rsidR="00F27E0D" w:rsidRDefault="00F27E0D">
            <w:pPr>
              <w:pStyle w:val="APVMATableText"/>
            </w:pPr>
            <w:r>
              <w:t>id</w:t>
            </w:r>
          </w:p>
        </w:tc>
        <w:tc>
          <w:tcPr>
            <w:tcW w:w="7560" w:type="dxa"/>
          </w:tcPr>
          <w:p w14:paraId="4A54CB6C" w14:textId="77777777" w:rsidR="00F27E0D" w:rsidRDefault="00F27E0D">
            <w:pPr>
              <w:pStyle w:val="APVMATableText"/>
            </w:pPr>
            <w:r>
              <w:t>intradermal</w:t>
            </w:r>
          </w:p>
        </w:tc>
      </w:tr>
      <w:tr w:rsidR="00F27E0D" w14:paraId="3934E556" w14:textId="77777777">
        <w:tc>
          <w:tcPr>
            <w:tcW w:w="2160" w:type="dxa"/>
          </w:tcPr>
          <w:p w14:paraId="31AEB831" w14:textId="77777777" w:rsidR="00F27E0D" w:rsidRDefault="00F27E0D">
            <w:pPr>
              <w:pStyle w:val="APVMATableText"/>
            </w:pPr>
            <w:r>
              <w:t>im</w:t>
            </w:r>
          </w:p>
        </w:tc>
        <w:tc>
          <w:tcPr>
            <w:tcW w:w="7560" w:type="dxa"/>
          </w:tcPr>
          <w:p w14:paraId="16DD0C7D" w14:textId="77777777" w:rsidR="00F27E0D" w:rsidRDefault="00F27E0D">
            <w:pPr>
              <w:pStyle w:val="APVMATableText"/>
            </w:pPr>
            <w:r>
              <w:t>intramuscular</w:t>
            </w:r>
          </w:p>
        </w:tc>
      </w:tr>
      <w:tr w:rsidR="00F27E0D" w14:paraId="1C0A219D" w14:textId="77777777">
        <w:tc>
          <w:tcPr>
            <w:tcW w:w="2160" w:type="dxa"/>
          </w:tcPr>
          <w:p w14:paraId="3D4EEA7C" w14:textId="77777777" w:rsidR="00F27E0D" w:rsidRDefault="00F27E0D">
            <w:pPr>
              <w:pStyle w:val="APVMATableText"/>
            </w:pPr>
            <w:r>
              <w:t>ip</w:t>
            </w:r>
          </w:p>
        </w:tc>
        <w:tc>
          <w:tcPr>
            <w:tcW w:w="7560" w:type="dxa"/>
          </w:tcPr>
          <w:p w14:paraId="17867383" w14:textId="77777777" w:rsidR="00F27E0D" w:rsidRDefault="00F27E0D">
            <w:pPr>
              <w:pStyle w:val="APVMATableText"/>
            </w:pPr>
            <w:r>
              <w:t>intraperitoneal</w:t>
            </w:r>
          </w:p>
        </w:tc>
      </w:tr>
      <w:tr w:rsidR="00F27E0D" w14:paraId="2A5F3EF0" w14:textId="77777777">
        <w:tc>
          <w:tcPr>
            <w:tcW w:w="2160" w:type="dxa"/>
          </w:tcPr>
          <w:p w14:paraId="4BB84047" w14:textId="77777777" w:rsidR="00F27E0D" w:rsidRDefault="00F27E0D">
            <w:pPr>
              <w:pStyle w:val="APVMATableText"/>
            </w:pPr>
            <w:r>
              <w:t>IPM</w:t>
            </w:r>
          </w:p>
        </w:tc>
        <w:tc>
          <w:tcPr>
            <w:tcW w:w="7560" w:type="dxa"/>
          </w:tcPr>
          <w:p w14:paraId="7686BF21" w14:textId="77777777" w:rsidR="00F27E0D" w:rsidRDefault="00F27E0D">
            <w:pPr>
              <w:pStyle w:val="APVMATableText"/>
            </w:pPr>
            <w:r>
              <w:t>Integrated Pest Management</w:t>
            </w:r>
          </w:p>
        </w:tc>
      </w:tr>
      <w:tr w:rsidR="00F27E0D" w14:paraId="30FEF51E" w14:textId="77777777">
        <w:tc>
          <w:tcPr>
            <w:tcW w:w="2160" w:type="dxa"/>
          </w:tcPr>
          <w:p w14:paraId="22FE5109" w14:textId="4732AEE4" w:rsidR="00F27E0D" w:rsidRDefault="00BC1AC8">
            <w:pPr>
              <w:pStyle w:val="APVMATableText"/>
              <w:rPr>
                <w:i/>
              </w:rPr>
            </w:pPr>
            <w:r>
              <w:t>IV/iv</w:t>
            </w:r>
          </w:p>
        </w:tc>
        <w:tc>
          <w:tcPr>
            <w:tcW w:w="7560" w:type="dxa"/>
          </w:tcPr>
          <w:p w14:paraId="11778390" w14:textId="77777777" w:rsidR="00F27E0D" w:rsidRDefault="00F27E0D">
            <w:pPr>
              <w:pStyle w:val="APVMATableText"/>
            </w:pPr>
            <w:r>
              <w:t>intravenous</w:t>
            </w:r>
          </w:p>
        </w:tc>
      </w:tr>
      <w:tr w:rsidR="00F27E0D" w14:paraId="5888C1F8" w14:textId="77777777">
        <w:tc>
          <w:tcPr>
            <w:tcW w:w="2160" w:type="dxa"/>
          </w:tcPr>
          <w:p w14:paraId="400E5684" w14:textId="77777777" w:rsidR="00F27E0D" w:rsidRDefault="00F27E0D">
            <w:pPr>
              <w:pStyle w:val="APVMATableText"/>
            </w:pPr>
            <w:r>
              <w:t>in vitro</w:t>
            </w:r>
          </w:p>
        </w:tc>
        <w:tc>
          <w:tcPr>
            <w:tcW w:w="7560" w:type="dxa"/>
          </w:tcPr>
          <w:p w14:paraId="0119DEE6" w14:textId="77777777" w:rsidR="00F27E0D" w:rsidRDefault="00F27E0D">
            <w:pPr>
              <w:pStyle w:val="APVMATableText"/>
            </w:pPr>
            <w:r>
              <w:t>outside the living body and in an artificial environment</w:t>
            </w:r>
          </w:p>
        </w:tc>
      </w:tr>
      <w:tr w:rsidR="00F27E0D" w14:paraId="088C6438" w14:textId="77777777">
        <w:tc>
          <w:tcPr>
            <w:tcW w:w="2160" w:type="dxa"/>
          </w:tcPr>
          <w:p w14:paraId="11862B94" w14:textId="77777777" w:rsidR="00F27E0D" w:rsidRDefault="00F27E0D">
            <w:pPr>
              <w:pStyle w:val="APVMATableText"/>
            </w:pPr>
            <w:r>
              <w:lastRenderedPageBreak/>
              <w:t>in vivo</w:t>
            </w:r>
          </w:p>
        </w:tc>
        <w:tc>
          <w:tcPr>
            <w:tcW w:w="7560" w:type="dxa"/>
          </w:tcPr>
          <w:p w14:paraId="63427B98" w14:textId="77777777" w:rsidR="00F27E0D" w:rsidRDefault="00F27E0D">
            <w:pPr>
              <w:pStyle w:val="APVMATableText"/>
            </w:pPr>
            <w:r>
              <w:t>inside the living body of a plant or animal</w:t>
            </w:r>
          </w:p>
        </w:tc>
      </w:tr>
      <w:tr w:rsidR="00BC1AC8" w14:paraId="4606AB44" w14:textId="77777777">
        <w:tc>
          <w:tcPr>
            <w:tcW w:w="2160" w:type="dxa"/>
          </w:tcPr>
          <w:p w14:paraId="4C6A2C8F" w14:textId="08E52D11" w:rsidR="00BC1AC8" w:rsidRDefault="00BC1AC8">
            <w:pPr>
              <w:pStyle w:val="APVMATableText"/>
            </w:pPr>
            <w:r>
              <w:t>JMPR</w:t>
            </w:r>
          </w:p>
        </w:tc>
        <w:tc>
          <w:tcPr>
            <w:tcW w:w="7560" w:type="dxa"/>
          </w:tcPr>
          <w:p w14:paraId="203C57F2" w14:textId="67AF5CD8" w:rsidR="00BC1AC8" w:rsidRDefault="00BC1AC8">
            <w:pPr>
              <w:pStyle w:val="APVMATableText"/>
            </w:pPr>
            <w:r w:rsidRPr="00BC1AC8">
              <w:t>Joint Meeting on Pesticide Residues (CODEX)</w:t>
            </w:r>
          </w:p>
        </w:tc>
      </w:tr>
      <w:tr w:rsidR="00F27E0D" w14:paraId="4703CA70" w14:textId="77777777">
        <w:tc>
          <w:tcPr>
            <w:tcW w:w="2160" w:type="dxa"/>
          </w:tcPr>
          <w:p w14:paraId="0CED5E56" w14:textId="77777777" w:rsidR="00F27E0D" w:rsidRDefault="00F27E0D">
            <w:pPr>
              <w:pStyle w:val="APVMATableText"/>
            </w:pPr>
            <w:r>
              <w:t>kg</w:t>
            </w:r>
          </w:p>
        </w:tc>
        <w:tc>
          <w:tcPr>
            <w:tcW w:w="7560" w:type="dxa"/>
          </w:tcPr>
          <w:p w14:paraId="0948C03E" w14:textId="77777777" w:rsidR="00F27E0D" w:rsidRDefault="00F27E0D">
            <w:pPr>
              <w:pStyle w:val="APVMATableText"/>
            </w:pPr>
            <w:r>
              <w:t>kilogram</w:t>
            </w:r>
          </w:p>
        </w:tc>
      </w:tr>
      <w:tr w:rsidR="00F27E0D" w14:paraId="632BF355" w14:textId="77777777">
        <w:tc>
          <w:tcPr>
            <w:tcW w:w="2160" w:type="dxa"/>
          </w:tcPr>
          <w:p w14:paraId="777A0233" w14:textId="77777777" w:rsidR="00F27E0D" w:rsidRDefault="00F27E0D">
            <w:pPr>
              <w:pStyle w:val="APVMATableText"/>
            </w:pPr>
            <w:r>
              <w:t>K</w:t>
            </w:r>
            <w:r>
              <w:rPr>
                <w:vertAlign w:val="subscript"/>
              </w:rPr>
              <w:t>oc</w:t>
            </w:r>
          </w:p>
        </w:tc>
        <w:tc>
          <w:tcPr>
            <w:tcW w:w="7560" w:type="dxa"/>
          </w:tcPr>
          <w:p w14:paraId="1EB364BA" w14:textId="77777777" w:rsidR="00F27E0D" w:rsidRDefault="00F27E0D">
            <w:pPr>
              <w:pStyle w:val="APVMATableText"/>
            </w:pPr>
            <w:r>
              <w:t>Organic carbon partitioning coefficient</w:t>
            </w:r>
          </w:p>
        </w:tc>
      </w:tr>
      <w:tr w:rsidR="00BC1AC8" w14:paraId="58A7F2CC" w14:textId="77777777">
        <w:tc>
          <w:tcPr>
            <w:tcW w:w="2160" w:type="dxa"/>
          </w:tcPr>
          <w:p w14:paraId="203B8A66" w14:textId="6A12B990" w:rsidR="00BC1AC8" w:rsidRDefault="00BC1AC8">
            <w:pPr>
              <w:pStyle w:val="APVMATableText"/>
            </w:pPr>
            <w:r>
              <w:t>K</w:t>
            </w:r>
            <w:r w:rsidRPr="009E3FC1">
              <w:rPr>
                <w:vertAlign w:val="subscript"/>
              </w:rPr>
              <w:t>ow</w:t>
            </w:r>
          </w:p>
        </w:tc>
        <w:tc>
          <w:tcPr>
            <w:tcW w:w="7560" w:type="dxa"/>
          </w:tcPr>
          <w:p w14:paraId="273934B6" w14:textId="7BD21AA6" w:rsidR="00BC1AC8" w:rsidRDefault="00BC1AC8">
            <w:pPr>
              <w:pStyle w:val="APVMATableText"/>
            </w:pPr>
            <w:r w:rsidRPr="00BC1AC8">
              <w:t>Concentration in octanol phase/Concentration in aqueous phase</w:t>
            </w:r>
          </w:p>
        </w:tc>
      </w:tr>
      <w:tr w:rsidR="009F2828" w14:paraId="588B5E0A" w14:textId="77777777">
        <w:tc>
          <w:tcPr>
            <w:tcW w:w="2160" w:type="dxa"/>
          </w:tcPr>
          <w:p w14:paraId="5B7F0BFC" w14:textId="75A38158" w:rsidR="009F2828" w:rsidRDefault="009F2828">
            <w:pPr>
              <w:pStyle w:val="APVMATableText"/>
            </w:pPr>
            <w:r>
              <w:t>kt</w:t>
            </w:r>
          </w:p>
        </w:tc>
        <w:tc>
          <w:tcPr>
            <w:tcW w:w="7560" w:type="dxa"/>
          </w:tcPr>
          <w:p w14:paraId="33FBA8E6" w14:textId="0AB4819A" w:rsidR="009F2828" w:rsidRPr="00BC1AC8" w:rsidRDefault="009F2828">
            <w:pPr>
              <w:pStyle w:val="APVMATableText"/>
            </w:pPr>
            <w:r>
              <w:t>Kilo tonne</w:t>
            </w:r>
          </w:p>
        </w:tc>
      </w:tr>
      <w:tr w:rsidR="00F27E0D" w14:paraId="2E518017" w14:textId="77777777">
        <w:tc>
          <w:tcPr>
            <w:tcW w:w="2160" w:type="dxa"/>
          </w:tcPr>
          <w:p w14:paraId="2822F3D3" w14:textId="77777777" w:rsidR="00F27E0D" w:rsidRDefault="00F27E0D">
            <w:pPr>
              <w:pStyle w:val="APVMATableText"/>
            </w:pPr>
            <w:r>
              <w:t>L</w:t>
            </w:r>
          </w:p>
        </w:tc>
        <w:tc>
          <w:tcPr>
            <w:tcW w:w="7560" w:type="dxa"/>
          </w:tcPr>
          <w:p w14:paraId="5FF0A75D" w14:textId="77777777" w:rsidR="00F27E0D" w:rsidRDefault="00F27E0D">
            <w:pPr>
              <w:pStyle w:val="APVMATableText"/>
            </w:pPr>
            <w:r>
              <w:t>Litre</w:t>
            </w:r>
          </w:p>
        </w:tc>
      </w:tr>
      <w:tr w:rsidR="00F27E0D" w14:paraId="795D71BF" w14:textId="77777777">
        <w:tc>
          <w:tcPr>
            <w:tcW w:w="2160" w:type="dxa"/>
          </w:tcPr>
          <w:p w14:paraId="07ABBC04" w14:textId="77777777" w:rsidR="00F27E0D" w:rsidRDefault="00F27E0D">
            <w:pPr>
              <w:pStyle w:val="APVMATableText"/>
              <w:rPr>
                <w:i/>
              </w:rPr>
            </w:pPr>
            <w:r>
              <w:t>LC</w:t>
            </w:r>
            <w:r>
              <w:rPr>
                <w:vertAlign w:val="subscript"/>
              </w:rPr>
              <w:t>50</w:t>
            </w:r>
          </w:p>
        </w:tc>
        <w:tc>
          <w:tcPr>
            <w:tcW w:w="7560" w:type="dxa"/>
          </w:tcPr>
          <w:p w14:paraId="625887C5" w14:textId="77777777" w:rsidR="00F27E0D" w:rsidRDefault="00F27E0D">
            <w:pPr>
              <w:pStyle w:val="APVMATableText"/>
            </w:pPr>
            <w:r>
              <w:t>concentration that kills 50% of the test population of organisms</w:t>
            </w:r>
          </w:p>
        </w:tc>
      </w:tr>
      <w:tr w:rsidR="00F844E4" w14:paraId="1943AA37" w14:textId="77777777">
        <w:tc>
          <w:tcPr>
            <w:tcW w:w="2160" w:type="dxa"/>
          </w:tcPr>
          <w:p w14:paraId="54BDAB5E" w14:textId="53E5AE49" w:rsidR="00F844E4" w:rsidRDefault="00F844E4">
            <w:pPr>
              <w:pStyle w:val="APVMATableText"/>
            </w:pPr>
            <w:r>
              <w:t>LC-MS/MS</w:t>
            </w:r>
          </w:p>
        </w:tc>
        <w:tc>
          <w:tcPr>
            <w:tcW w:w="7560" w:type="dxa"/>
          </w:tcPr>
          <w:p w14:paraId="0B641343" w14:textId="2D5C0A1A" w:rsidR="00F844E4" w:rsidRDefault="00F844E4">
            <w:pPr>
              <w:pStyle w:val="APVMATableText"/>
            </w:pPr>
            <w:r>
              <w:t>High performance liquid chromatography with triple quadrapole mass spectrometric detection</w:t>
            </w:r>
          </w:p>
        </w:tc>
      </w:tr>
      <w:tr w:rsidR="00F27E0D" w14:paraId="07104382" w14:textId="77777777">
        <w:tc>
          <w:tcPr>
            <w:tcW w:w="2160" w:type="dxa"/>
          </w:tcPr>
          <w:p w14:paraId="10E19CC8" w14:textId="77777777" w:rsidR="00F27E0D" w:rsidRDefault="00F27E0D">
            <w:pPr>
              <w:pStyle w:val="APVMATableText"/>
            </w:pPr>
            <w:r>
              <w:t>LD</w:t>
            </w:r>
            <w:r>
              <w:rPr>
                <w:vertAlign w:val="subscript"/>
              </w:rPr>
              <w:t>50</w:t>
            </w:r>
          </w:p>
        </w:tc>
        <w:tc>
          <w:tcPr>
            <w:tcW w:w="7560" w:type="dxa"/>
          </w:tcPr>
          <w:p w14:paraId="3A4869D1" w14:textId="77777777" w:rsidR="00F27E0D" w:rsidRDefault="00F27E0D">
            <w:pPr>
              <w:pStyle w:val="APVMATableText"/>
            </w:pPr>
            <w:r>
              <w:t>dosage of chemical that kills 50% of the test population of organisms</w:t>
            </w:r>
          </w:p>
        </w:tc>
      </w:tr>
      <w:tr w:rsidR="00F41B7D" w14:paraId="27CD869A" w14:textId="77777777">
        <w:tc>
          <w:tcPr>
            <w:tcW w:w="2160" w:type="dxa"/>
          </w:tcPr>
          <w:p w14:paraId="1E90EDF5" w14:textId="12B1883B" w:rsidR="00F41B7D" w:rsidRDefault="00F41B7D">
            <w:pPr>
              <w:pStyle w:val="APVMATableText"/>
            </w:pPr>
            <w:r>
              <w:t>LLNA</w:t>
            </w:r>
          </w:p>
        </w:tc>
        <w:tc>
          <w:tcPr>
            <w:tcW w:w="7560" w:type="dxa"/>
          </w:tcPr>
          <w:p w14:paraId="39059FBA" w14:textId="3FC40172" w:rsidR="00F41B7D" w:rsidRDefault="00F41B7D">
            <w:pPr>
              <w:pStyle w:val="APVMATableText"/>
            </w:pPr>
            <w:r>
              <w:t>Local Lymph Node Assay</w:t>
            </w:r>
          </w:p>
        </w:tc>
      </w:tr>
      <w:tr w:rsidR="00F27E0D" w14:paraId="32607B8A" w14:textId="77777777">
        <w:tc>
          <w:tcPr>
            <w:tcW w:w="2160" w:type="dxa"/>
          </w:tcPr>
          <w:p w14:paraId="15FA77C5" w14:textId="77777777" w:rsidR="00F27E0D" w:rsidRDefault="00F27E0D">
            <w:pPr>
              <w:pStyle w:val="APVMATableText"/>
            </w:pPr>
            <w:r>
              <w:t>LOD</w:t>
            </w:r>
          </w:p>
        </w:tc>
        <w:tc>
          <w:tcPr>
            <w:tcW w:w="7560" w:type="dxa"/>
          </w:tcPr>
          <w:p w14:paraId="44D1741E" w14:textId="77777777" w:rsidR="00F27E0D" w:rsidRDefault="00F27E0D">
            <w:pPr>
              <w:pStyle w:val="APVMATableText"/>
            </w:pPr>
            <w:r>
              <w:t>Limit of Detection – level at which residues can be detected</w:t>
            </w:r>
          </w:p>
        </w:tc>
      </w:tr>
      <w:tr w:rsidR="00BC1AC8" w14:paraId="2A85500D" w14:textId="77777777">
        <w:tc>
          <w:tcPr>
            <w:tcW w:w="2160" w:type="dxa"/>
          </w:tcPr>
          <w:p w14:paraId="3A703267" w14:textId="0667C9C7" w:rsidR="00BC1AC8" w:rsidRDefault="00BC1AC8" w:rsidP="00BC1AC8">
            <w:pPr>
              <w:pStyle w:val="APVMATableText"/>
            </w:pPr>
            <w:r>
              <w:t>LOEL/LOAEL</w:t>
            </w:r>
          </w:p>
        </w:tc>
        <w:tc>
          <w:tcPr>
            <w:tcW w:w="7560" w:type="dxa"/>
          </w:tcPr>
          <w:p w14:paraId="7D4A6804" w14:textId="649EB75F" w:rsidR="00BC1AC8" w:rsidRDefault="00BC1AC8" w:rsidP="00BC1AC8">
            <w:pPr>
              <w:pStyle w:val="APVMATableText"/>
            </w:pPr>
            <w:r>
              <w:t>Lowest Observed Effect Level/Lowest Observed Adverse Effect Level</w:t>
            </w:r>
          </w:p>
        </w:tc>
      </w:tr>
      <w:tr w:rsidR="00BC1AC8" w14:paraId="357DC43B" w14:textId="77777777">
        <w:tc>
          <w:tcPr>
            <w:tcW w:w="2160" w:type="dxa"/>
          </w:tcPr>
          <w:p w14:paraId="575CBA18" w14:textId="3007DA34" w:rsidR="00BC1AC8" w:rsidRDefault="00BC1AC8" w:rsidP="00BC1AC8">
            <w:pPr>
              <w:pStyle w:val="APVMATableText"/>
            </w:pPr>
            <w:r>
              <w:t>LR</w:t>
            </w:r>
            <w:r w:rsidRPr="009E3FC1">
              <w:rPr>
                <w:vertAlign w:val="subscript"/>
              </w:rPr>
              <w:t>25</w:t>
            </w:r>
            <w:r>
              <w:t>/LR</w:t>
            </w:r>
            <w:r w:rsidRPr="009E3FC1">
              <w:rPr>
                <w:vertAlign w:val="subscript"/>
              </w:rPr>
              <w:t>50</w:t>
            </w:r>
          </w:p>
        </w:tc>
        <w:tc>
          <w:tcPr>
            <w:tcW w:w="7560" w:type="dxa"/>
          </w:tcPr>
          <w:p w14:paraId="1B5C0D7A" w14:textId="2A3C342F" w:rsidR="00BC1AC8" w:rsidRDefault="00BC1AC8" w:rsidP="00BC1AC8">
            <w:pPr>
              <w:pStyle w:val="APVMATableText"/>
            </w:pPr>
            <w:r>
              <w:t>Lethal rate of a substance that causes 25%/50% of the maximum response</w:t>
            </w:r>
          </w:p>
        </w:tc>
      </w:tr>
      <w:tr w:rsidR="00BC1AC8" w14:paraId="56A53235" w14:textId="77777777">
        <w:tc>
          <w:tcPr>
            <w:tcW w:w="2160" w:type="dxa"/>
          </w:tcPr>
          <w:p w14:paraId="379C1B6D" w14:textId="5865B19A" w:rsidR="00BC1AC8" w:rsidRDefault="00BC1AC8" w:rsidP="00BC1AC8">
            <w:pPr>
              <w:pStyle w:val="APVMATableText"/>
            </w:pPr>
            <w:r>
              <w:t>LOQ</w:t>
            </w:r>
          </w:p>
        </w:tc>
        <w:tc>
          <w:tcPr>
            <w:tcW w:w="7560" w:type="dxa"/>
          </w:tcPr>
          <w:p w14:paraId="7AD4F418" w14:textId="6C55FBED" w:rsidR="00BC1AC8" w:rsidRDefault="00BC1AC8" w:rsidP="00BC1AC8">
            <w:pPr>
              <w:pStyle w:val="APVMATableText"/>
            </w:pPr>
            <w:r w:rsidRPr="00BC1AC8">
              <w:t>Limit of Quantitation – level at which residues can be quantified</w:t>
            </w:r>
          </w:p>
        </w:tc>
      </w:tr>
      <w:tr w:rsidR="00BC1AC8" w14:paraId="600A70DB" w14:textId="77777777">
        <w:tc>
          <w:tcPr>
            <w:tcW w:w="2160" w:type="dxa"/>
          </w:tcPr>
          <w:p w14:paraId="1685459C" w14:textId="0B985AA7" w:rsidR="00BC1AC8" w:rsidRDefault="00BC1AC8" w:rsidP="00BC1AC8">
            <w:pPr>
              <w:pStyle w:val="APVMATableText"/>
            </w:pPr>
            <w:r>
              <w:t>mg</w:t>
            </w:r>
          </w:p>
        </w:tc>
        <w:tc>
          <w:tcPr>
            <w:tcW w:w="7560" w:type="dxa"/>
          </w:tcPr>
          <w:p w14:paraId="11CC2740" w14:textId="6EDA6B04" w:rsidR="00BC1AC8" w:rsidRPr="00BC1AC8" w:rsidRDefault="00BC1AC8" w:rsidP="00BC1AC8">
            <w:pPr>
              <w:pStyle w:val="APVMATableText"/>
            </w:pPr>
            <w:r>
              <w:t>milligram</w:t>
            </w:r>
          </w:p>
        </w:tc>
      </w:tr>
      <w:tr w:rsidR="00BC1AC8" w14:paraId="526DAD5B" w14:textId="77777777">
        <w:tc>
          <w:tcPr>
            <w:tcW w:w="2160" w:type="dxa"/>
          </w:tcPr>
          <w:p w14:paraId="34DDED24" w14:textId="77777777" w:rsidR="00BC1AC8" w:rsidRDefault="00BC1AC8" w:rsidP="00BC1AC8">
            <w:pPr>
              <w:pStyle w:val="APVMATableText"/>
            </w:pPr>
            <w:r>
              <w:t>mL</w:t>
            </w:r>
          </w:p>
        </w:tc>
        <w:tc>
          <w:tcPr>
            <w:tcW w:w="7560" w:type="dxa"/>
          </w:tcPr>
          <w:p w14:paraId="40DF5286" w14:textId="77777777" w:rsidR="00BC1AC8" w:rsidRDefault="00BC1AC8" w:rsidP="00BC1AC8">
            <w:pPr>
              <w:pStyle w:val="APVMATableText"/>
            </w:pPr>
            <w:r>
              <w:t>millilitre</w:t>
            </w:r>
          </w:p>
        </w:tc>
      </w:tr>
      <w:tr w:rsidR="009F2828" w14:paraId="0ABDE6F0" w14:textId="77777777">
        <w:tc>
          <w:tcPr>
            <w:tcW w:w="2160" w:type="dxa"/>
          </w:tcPr>
          <w:p w14:paraId="1D648935" w14:textId="32514853" w:rsidR="009F2828" w:rsidRDefault="009F2828" w:rsidP="00BC1AC8">
            <w:pPr>
              <w:pStyle w:val="APVMATableText"/>
            </w:pPr>
            <w:r>
              <w:t>ML</w:t>
            </w:r>
          </w:p>
        </w:tc>
        <w:tc>
          <w:tcPr>
            <w:tcW w:w="7560" w:type="dxa"/>
          </w:tcPr>
          <w:p w14:paraId="34F088D3" w14:textId="2373A173" w:rsidR="009F2828" w:rsidRDefault="009F2828" w:rsidP="00BC1AC8">
            <w:pPr>
              <w:pStyle w:val="APVMATableText"/>
            </w:pPr>
            <w:r>
              <w:t>Megalitres</w:t>
            </w:r>
          </w:p>
        </w:tc>
      </w:tr>
      <w:tr w:rsidR="00BC1AC8" w14:paraId="1071A3DE" w14:textId="77777777">
        <w:tc>
          <w:tcPr>
            <w:tcW w:w="2160" w:type="dxa"/>
          </w:tcPr>
          <w:p w14:paraId="51F76D27" w14:textId="12284909" w:rsidR="00BC1AC8" w:rsidRDefault="00BC1AC8" w:rsidP="00BC1AC8">
            <w:pPr>
              <w:pStyle w:val="APVMATableText"/>
            </w:pPr>
            <w:r>
              <w:t>MoA</w:t>
            </w:r>
          </w:p>
        </w:tc>
        <w:tc>
          <w:tcPr>
            <w:tcW w:w="7560" w:type="dxa"/>
          </w:tcPr>
          <w:p w14:paraId="1C234743" w14:textId="2E868C47" w:rsidR="00BC1AC8" w:rsidRDefault="00BC1AC8" w:rsidP="00BC1AC8">
            <w:pPr>
              <w:pStyle w:val="APVMATableText"/>
            </w:pPr>
            <w:r>
              <w:t>Mode of Action</w:t>
            </w:r>
          </w:p>
        </w:tc>
      </w:tr>
      <w:tr w:rsidR="00C13E8E" w14:paraId="04B2F29C" w14:textId="77777777">
        <w:tc>
          <w:tcPr>
            <w:tcW w:w="2160" w:type="dxa"/>
          </w:tcPr>
          <w:p w14:paraId="7C734326" w14:textId="601208F0" w:rsidR="00C13E8E" w:rsidRDefault="00C13E8E" w:rsidP="00BC1AC8">
            <w:pPr>
              <w:pStyle w:val="APVMATableText"/>
            </w:pPr>
            <w:r>
              <w:t>MOE</w:t>
            </w:r>
          </w:p>
        </w:tc>
        <w:tc>
          <w:tcPr>
            <w:tcW w:w="7560" w:type="dxa"/>
          </w:tcPr>
          <w:p w14:paraId="6CE412D2" w14:textId="2EEDB6DB" w:rsidR="00C13E8E" w:rsidRDefault="00C13E8E" w:rsidP="00BC1AC8">
            <w:pPr>
              <w:pStyle w:val="APVMATableText"/>
            </w:pPr>
            <w:r>
              <w:t>Margin of Exposure</w:t>
            </w:r>
          </w:p>
        </w:tc>
      </w:tr>
      <w:tr w:rsidR="00BC1AC8" w14:paraId="10AE0FFD" w14:textId="77777777">
        <w:tc>
          <w:tcPr>
            <w:tcW w:w="2160" w:type="dxa"/>
          </w:tcPr>
          <w:p w14:paraId="54A04B42" w14:textId="77777777" w:rsidR="00BC1AC8" w:rsidRDefault="00BC1AC8" w:rsidP="00BC1AC8">
            <w:pPr>
              <w:pStyle w:val="APVMATableText"/>
            </w:pPr>
            <w:r>
              <w:t>MRL</w:t>
            </w:r>
          </w:p>
        </w:tc>
        <w:tc>
          <w:tcPr>
            <w:tcW w:w="7560" w:type="dxa"/>
          </w:tcPr>
          <w:p w14:paraId="2473FC98" w14:textId="77777777" w:rsidR="00BC1AC8" w:rsidRDefault="00BC1AC8" w:rsidP="00BC1AC8">
            <w:pPr>
              <w:pStyle w:val="APVMATableText"/>
            </w:pPr>
            <w:r>
              <w:t>Maximum Residue Limit</w:t>
            </w:r>
          </w:p>
        </w:tc>
      </w:tr>
      <w:tr w:rsidR="00BC1AC8" w14:paraId="147B4639" w14:textId="77777777">
        <w:tc>
          <w:tcPr>
            <w:tcW w:w="2160" w:type="dxa"/>
          </w:tcPr>
          <w:p w14:paraId="00A81C4E" w14:textId="77777777" w:rsidR="00BC1AC8" w:rsidRDefault="00BC1AC8" w:rsidP="00BC1AC8">
            <w:pPr>
              <w:pStyle w:val="APVMATableText"/>
            </w:pPr>
            <w:r>
              <w:t>MSDS</w:t>
            </w:r>
          </w:p>
        </w:tc>
        <w:tc>
          <w:tcPr>
            <w:tcW w:w="7560" w:type="dxa"/>
          </w:tcPr>
          <w:p w14:paraId="4C528313" w14:textId="77777777" w:rsidR="00BC1AC8" w:rsidRDefault="00BC1AC8" w:rsidP="00BC1AC8">
            <w:pPr>
              <w:pStyle w:val="APVMATableText"/>
            </w:pPr>
            <w:r>
              <w:t>Material Safety Data Sheet</w:t>
            </w:r>
          </w:p>
        </w:tc>
      </w:tr>
      <w:tr w:rsidR="00BC1AC8" w14:paraId="2CA212A9" w14:textId="77777777">
        <w:tc>
          <w:tcPr>
            <w:tcW w:w="2160" w:type="dxa"/>
          </w:tcPr>
          <w:p w14:paraId="04556D88" w14:textId="60B2A89F" w:rsidR="00BC1AC8" w:rsidRDefault="00BC1AC8" w:rsidP="00BC1AC8">
            <w:pPr>
              <w:pStyle w:val="APVMATableText"/>
            </w:pPr>
            <w:r>
              <w:t>MTD</w:t>
            </w:r>
          </w:p>
        </w:tc>
        <w:tc>
          <w:tcPr>
            <w:tcW w:w="7560" w:type="dxa"/>
          </w:tcPr>
          <w:p w14:paraId="5C57BAB1" w14:textId="12F0FDBB" w:rsidR="00BC1AC8" w:rsidRDefault="00BC1AC8" w:rsidP="00BC1AC8">
            <w:pPr>
              <w:pStyle w:val="APVMATableText"/>
            </w:pPr>
            <w:r>
              <w:t>Maximum tolerated dose</w:t>
            </w:r>
          </w:p>
        </w:tc>
      </w:tr>
      <w:tr w:rsidR="00BC1AC8" w14:paraId="0ADEAC0E" w14:textId="77777777">
        <w:tc>
          <w:tcPr>
            <w:tcW w:w="2160" w:type="dxa"/>
          </w:tcPr>
          <w:p w14:paraId="5841C13D" w14:textId="77777777" w:rsidR="00BC1AC8" w:rsidRDefault="00BC1AC8" w:rsidP="00BC1AC8">
            <w:pPr>
              <w:pStyle w:val="APVMATableText"/>
            </w:pPr>
            <w:r>
              <w:t>NDPSC</w:t>
            </w:r>
          </w:p>
        </w:tc>
        <w:tc>
          <w:tcPr>
            <w:tcW w:w="7560" w:type="dxa"/>
          </w:tcPr>
          <w:p w14:paraId="6D9F1467" w14:textId="77777777" w:rsidR="00BC1AC8" w:rsidRDefault="00BC1AC8" w:rsidP="00BC1AC8">
            <w:pPr>
              <w:pStyle w:val="APVMATableText"/>
            </w:pPr>
            <w:r>
              <w:t>National Drugs and Poisons Schedule Committee</w:t>
            </w:r>
          </w:p>
        </w:tc>
      </w:tr>
      <w:tr w:rsidR="00BC1AC8" w14:paraId="18592503" w14:textId="77777777">
        <w:tc>
          <w:tcPr>
            <w:tcW w:w="2160" w:type="dxa"/>
          </w:tcPr>
          <w:p w14:paraId="1B7B59A6" w14:textId="77777777" w:rsidR="00BC1AC8" w:rsidRDefault="00BC1AC8" w:rsidP="00BC1AC8">
            <w:pPr>
              <w:pStyle w:val="APVMATableText"/>
            </w:pPr>
            <w:r>
              <w:t>NEDI</w:t>
            </w:r>
          </w:p>
        </w:tc>
        <w:tc>
          <w:tcPr>
            <w:tcW w:w="7560" w:type="dxa"/>
          </w:tcPr>
          <w:p w14:paraId="662AF07F" w14:textId="77777777" w:rsidR="00BC1AC8" w:rsidRDefault="00BC1AC8" w:rsidP="00BC1AC8">
            <w:pPr>
              <w:pStyle w:val="APVMATableText"/>
            </w:pPr>
            <w:r>
              <w:t>National Estimated Daily Intake</w:t>
            </w:r>
          </w:p>
        </w:tc>
      </w:tr>
      <w:tr w:rsidR="00BC1AC8" w14:paraId="34BB78FD" w14:textId="77777777">
        <w:tc>
          <w:tcPr>
            <w:tcW w:w="2160" w:type="dxa"/>
          </w:tcPr>
          <w:p w14:paraId="2EED94A5" w14:textId="77777777" w:rsidR="00BC1AC8" w:rsidRDefault="00BC1AC8" w:rsidP="00BC1AC8">
            <w:pPr>
              <w:pStyle w:val="APVMATableText"/>
            </w:pPr>
            <w:r>
              <w:t>NESTI</w:t>
            </w:r>
          </w:p>
        </w:tc>
        <w:tc>
          <w:tcPr>
            <w:tcW w:w="7560" w:type="dxa"/>
          </w:tcPr>
          <w:p w14:paraId="6B6C4C64" w14:textId="77777777" w:rsidR="00BC1AC8" w:rsidRDefault="00BC1AC8" w:rsidP="00BC1AC8">
            <w:pPr>
              <w:pStyle w:val="APVMATableText"/>
            </w:pPr>
            <w:r>
              <w:t>National Estimated Short Term Intake</w:t>
            </w:r>
          </w:p>
        </w:tc>
      </w:tr>
      <w:tr w:rsidR="00BC1AC8" w14:paraId="752664AC" w14:textId="77777777">
        <w:tc>
          <w:tcPr>
            <w:tcW w:w="2160" w:type="dxa"/>
          </w:tcPr>
          <w:p w14:paraId="171D41AD" w14:textId="77777777" w:rsidR="00BC1AC8" w:rsidRDefault="00BC1AC8" w:rsidP="00BC1AC8">
            <w:pPr>
              <w:pStyle w:val="APVMATableText"/>
            </w:pPr>
            <w:r>
              <w:t>ng</w:t>
            </w:r>
          </w:p>
        </w:tc>
        <w:tc>
          <w:tcPr>
            <w:tcW w:w="7560" w:type="dxa"/>
          </w:tcPr>
          <w:p w14:paraId="586D536D" w14:textId="77777777" w:rsidR="00BC1AC8" w:rsidRDefault="00BC1AC8" w:rsidP="00BC1AC8">
            <w:pPr>
              <w:pStyle w:val="APVMATableText"/>
            </w:pPr>
            <w:r>
              <w:t>nanogram</w:t>
            </w:r>
          </w:p>
        </w:tc>
      </w:tr>
      <w:tr w:rsidR="00BC1AC8" w14:paraId="0467F251" w14:textId="77777777">
        <w:tc>
          <w:tcPr>
            <w:tcW w:w="2160" w:type="dxa"/>
          </w:tcPr>
          <w:p w14:paraId="5CF0FFC9" w14:textId="77777777" w:rsidR="00BC1AC8" w:rsidRDefault="00BC1AC8" w:rsidP="00BC1AC8">
            <w:pPr>
              <w:pStyle w:val="APVMATableText"/>
            </w:pPr>
            <w:r>
              <w:lastRenderedPageBreak/>
              <w:t>NHMRC</w:t>
            </w:r>
          </w:p>
        </w:tc>
        <w:tc>
          <w:tcPr>
            <w:tcW w:w="7560" w:type="dxa"/>
          </w:tcPr>
          <w:p w14:paraId="2491B20A" w14:textId="77777777" w:rsidR="00BC1AC8" w:rsidRDefault="00BC1AC8" w:rsidP="00BC1AC8">
            <w:pPr>
              <w:pStyle w:val="APVMATableText"/>
            </w:pPr>
            <w:r>
              <w:t>National Health and Medical Research Council</w:t>
            </w:r>
          </w:p>
        </w:tc>
      </w:tr>
      <w:tr w:rsidR="00BC1AC8" w14:paraId="5A54AC44" w14:textId="77777777">
        <w:tc>
          <w:tcPr>
            <w:tcW w:w="2160" w:type="dxa"/>
          </w:tcPr>
          <w:p w14:paraId="7C340152" w14:textId="190E024C" w:rsidR="00BC1AC8" w:rsidRDefault="00BC1AC8" w:rsidP="00BC1AC8">
            <w:pPr>
              <w:pStyle w:val="APVMATableText"/>
            </w:pPr>
            <w:r w:rsidRPr="00BC1AC8">
              <w:t>NOAEC/NOAEL</w:t>
            </w:r>
          </w:p>
        </w:tc>
        <w:tc>
          <w:tcPr>
            <w:tcW w:w="7560" w:type="dxa"/>
          </w:tcPr>
          <w:p w14:paraId="72239694" w14:textId="313BE8CB" w:rsidR="00BC1AC8" w:rsidRDefault="00F41B7D" w:rsidP="00BC1AC8">
            <w:pPr>
              <w:pStyle w:val="APVMATableText"/>
            </w:pPr>
            <w:r w:rsidRPr="00F41B7D">
              <w:t>No Observable Adverse Effect Concentration/Level</w:t>
            </w:r>
          </w:p>
        </w:tc>
      </w:tr>
      <w:tr w:rsidR="00BC1AC8" w14:paraId="44631688" w14:textId="77777777">
        <w:tc>
          <w:tcPr>
            <w:tcW w:w="2160" w:type="dxa"/>
          </w:tcPr>
          <w:p w14:paraId="22C7C83F" w14:textId="77777777" w:rsidR="00BC1AC8" w:rsidRDefault="00BC1AC8" w:rsidP="00BC1AC8">
            <w:pPr>
              <w:pStyle w:val="APVMATableText"/>
            </w:pPr>
            <w:r>
              <w:t>NOEC/NOEL</w:t>
            </w:r>
          </w:p>
        </w:tc>
        <w:tc>
          <w:tcPr>
            <w:tcW w:w="7560" w:type="dxa"/>
          </w:tcPr>
          <w:p w14:paraId="6559E2EA" w14:textId="77777777" w:rsidR="00BC1AC8" w:rsidRDefault="00BC1AC8" w:rsidP="00BC1AC8">
            <w:pPr>
              <w:pStyle w:val="APVMATableText"/>
            </w:pPr>
            <w:r>
              <w:t>No Observable Effect Concentration Level</w:t>
            </w:r>
          </w:p>
        </w:tc>
      </w:tr>
      <w:tr w:rsidR="00F41B7D" w14:paraId="20EEEB96" w14:textId="77777777">
        <w:tc>
          <w:tcPr>
            <w:tcW w:w="2160" w:type="dxa"/>
          </w:tcPr>
          <w:p w14:paraId="47A686FA" w14:textId="08D09D02" w:rsidR="00F41B7D" w:rsidRDefault="00F41B7D" w:rsidP="00BC1AC8">
            <w:pPr>
              <w:pStyle w:val="APVMATableText"/>
            </w:pPr>
            <w:r>
              <w:t>NOER</w:t>
            </w:r>
          </w:p>
        </w:tc>
        <w:tc>
          <w:tcPr>
            <w:tcW w:w="7560" w:type="dxa"/>
          </w:tcPr>
          <w:p w14:paraId="5A94FE5C" w14:textId="6BB1EBFE" w:rsidR="00F41B7D" w:rsidRDefault="00F41B7D" w:rsidP="00BC1AC8">
            <w:pPr>
              <w:pStyle w:val="APVMATableText"/>
            </w:pPr>
            <w:r w:rsidRPr="00F41B7D">
              <w:t>No Observable Effect Rate</w:t>
            </w:r>
          </w:p>
        </w:tc>
      </w:tr>
      <w:tr w:rsidR="00F41B7D" w14:paraId="5A38FDDE" w14:textId="77777777">
        <w:tc>
          <w:tcPr>
            <w:tcW w:w="2160" w:type="dxa"/>
          </w:tcPr>
          <w:p w14:paraId="0C9E4FAA" w14:textId="57702618" w:rsidR="00F41B7D" w:rsidRDefault="00F41B7D" w:rsidP="00BC1AC8">
            <w:pPr>
              <w:pStyle w:val="APVMATableText"/>
            </w:pPr>
            <w:r>
              <w:t>NZW</w:t>
            </w:r>
          </w:p>
        </w:tc>
        <w:tc>
          <w:tcPr>
            <w:tcW w:w="7560" w:type="dxa"/>
          </w:tcPr>
          <w:p w14:paraId="3062D2AD" w14:textId="6560CEED" w:rsidR="00F41B7D" w:rsidRPr="00F41B7D" w:rsidRDefault="00F41B7D" w:rsidP="00BC1AC8">
            <w:pPr>
              <w:pStyle w:val="APVMATableText"/>
            </w:pPr>
            <w:r w:rsidRPr="00F41B7D">
              <w:t>New Zealand White (rabbits)</w:t>
            </w:r>
          </w:p>
        </w:tc>
      </w:tr>
      <w:tr w:rsidR="00BC1AC8" w14:paraId="3D1ACBB1" w14:textId="77777777">
        <w:tc>
          <w:tcPr>
            <w:tcW w:w="2160" w:type="dxa"/>
          </w:tcPr>
          <w:p w14:paraId="28642BFC" w14:textId="77777777" w:rsidR="00BC1AC8" w:rsidRDefault="00BC1AC8" w:rsidP="00BC1AC8">
            <w:pPr>
              <w:pStyle w:val="APVMATableText"/>
            </w:pPr>
            <w:r>
              <w:t>OC</w:t>
            </w:r>
          </w:p>
        </w:tc>
        <w:tc>
          <w:tcPr>
            <w:tcW w:w="7560" w:type="dxa"/>
          </w:tcPr>
          <w:p w14:paraId="25F82E73" w14:textId="77777777" w:rsidR="00BC1AC8" w:rsidRDefault="00BC1AC8" w:rsidP="00BC1AC8">
            <w:pPr>
              <w:pStyle w:val="APVMATableText"/>
            </w:pPr>
            <w:r>
              <w:t>Organic Carbon</w:t>
            </w:r>
          </w:p>
        </w:tc>
      </w:tr>
      <w:tr w:rsidR="00F844E4" w14:paraId="268525E1" w14:textId="77777777">
        <w:tc>
          <w:tcPr>
            <w:tcW w:w="2160" w:type="dxa"/>
          </w:tcPr>
          <w:p w14:paraId="2A3B5035" w14:textId="5D0B0054" w:rsidR="00F844E4" w:rsidRDefault="00F844E4" w:rsidP="00BC1AC8">
            <w:pPr>
              <w:pStyle w:val="APVMATableText"/>
            </w:pPr>
            <w:r>
              <w:t>OECD</w:t>
            </w:r>
          </w:p>
        </w:tc>
        <w:tc>
          <w:tcPr>
            <w:tcW w:w="7560" w:type="dxa"/>
          </w:tcPr>
          <w:p w14:paraId="4080C151" w14:textId="6E728268" w:rsidR="00F844E4" w:rsidRDefault="00F844E4" w:rsidP="00BC1AC8">
            <w:pPr>
              <w:pStyle w:val="APVMATableText"/>
            </w:pPr>
            <w:r>
              <w:t>Organisation for Economic Cooperation and Development</w:t>
            </w:r>
          </w:p>
        </w:tc>
      </w:tr>
      <w:tr w:rsidR="00F41B7D" w14:paraId="03B9D3C8" w14:textId="77777777">
        <w:tc>
          <w:tcPr>
            <w:tcW w:w="2160" w:type="dxa"/>
          </w:tcPr>
          <w:p w14:paraId="24E96CBF" w14:textId="0AFE5EF9" w:rsidR="00F41B7D" w:rsidRDefault="00F41B7D" w:rsidP="00BC1AC8">
            <w:pPr>
              <w:pStyle w:val="APVMATableText"/>
            </w:pPr>
            <w:r>
              <w:t>OCS</w:t>
            </w:r>
          </w:p>
        </w:tc>
        <w:tc>
          <w:tcPr>
            <w:tcW w:w="7560" w:type="dxa"/>
          </w:tcPr>
          <w:p w14:paraId="29FDABF0" w14:textId="6436EB4D" w:rsidR="00F41B7D" w:rsidRDefault="00F41B7D" w:rsidP="00BC1AC8">
            <w:pPr>
              <w:pStyle w:val="APVMATableText"/>
            </w:pPr>
            <w:r w:rsidRPr="00F41B7D">
              <w:t>Office of Chemical Safety</w:t>
            </w:r>
          </w:p>
        </w:tc>
      </w:tr>
      <w:tr w:rsidR="00BC1AC8" w14:paraId="354CF5E4" w14:textId="77777777">
        <w:tc>
          <w:tcPr>
            <w:tcW w:w="2160" w:type="dxa"/>
          </w:tcPr>
          <w:p w14:paraId="48051DF1" w14:textId="77777777" w:rsidR="00BC1AC8" w:rsidRDefault="00BC1AC8" w:rsidP="00BC1AC8">
            <w:pPr>
              <w:pStyle w:val="APVMATableText"/>
            </w:pPr>
            <w:r>
              <w:t xml:space="preserve">OM </w:t>
            </w:r>
          </w:p>
        </w:tc>
        <w:tc>
          <w:tcPr>
            <w:tcW w:w="7560" w:type="dxa"/>
          </w:tcPr>
          <w:p w14:paraId="075A7BD3" w14:textId="77777777" w:rsidR="00BC1AC8" w:rsidRDefault="00BC1AC8" w:rsidP="00BC1AC8">
            <w:pPr>
              <w:pStyle w:val="APVMATableText"/>
            </w:pPr>
            <w:r>
              <w:t>Organic Matter</w:t>
            </w:r>
          </w:p>
        </w:tc>
      </w:tr>
      <w:tr w:rsidR="001C46C9" w14:paraId="16EF9225" w14:textId="77777777">
        <w:tc>
          <w:tcPr>
            <w:tcW w:w="2160" w:type="dxa"/>
          </w:tcPr>
          <w:p w14:paraId="2E1595B1" w14:textId="7FC651D4" w:rsidR="001C46C9" w:rsidRDefault="001C46C9" w:rsidP="00BC1AC8">
            <w:pPr>
              <w:pStyle w:val="APVMATableText"/>
            </w:pPr>
            <w:r>
              <w:t>PBI</w:t>
            </w:r>
          </w:p>
        </w:tc>
        <w:tc>
          <w:tcPr>
            <w:tcW w:w="7560" w:type="dxa"/>
          </w:tcPr>
          <w:p w14:paraId="0D1C6F89" w14:textId="763E41A6" w:rsidR="001C46C9" w:rsidRDefault="001C46C9" w:rsidP="00BC1AC8">
            <w:pPr>
              <w:pStyle w:val="APVMATableText"/>
            </w:pPr>
            <w:r>
              <w:t>Plant Back Interval</w:t>
            </w:r>
          </w:p>
        </w:tc>
      </w:tr>
      <w:tr w:rsidR="00F41B7D" w14:paraId="52799224" w14:textId="77777777">
        <w:tc>
          <w:tcPr>
            <w:tcW w:w="2160" w:type="dxa"/>
          </w:tcPr>
          <w:p w14:paraId="0B79D096" w14:textId="1CE85CDA" w:rsidR="00F41B7D" w:rsidRDefault="00F41B7D" w:rsidP="00BC1AC8">
            <w:pPr>
              <w:pStyle w:val="APVMATableText"/>
            </w:pPr>
            <w:r>
              <w:t>PET</w:t>
            </w:r>
          </w:p>
        </w:tc>
        <w:tc>
          <w:tcPr>
            <w:tcW w:w="7560" w:type="dxa"/>
          </w:tcPr>
          <w:p w14:paraId="5B43C8C2" w14:textId="4367C048" w:rsidR="00F41B7D" w:rsidRDefault="00F41B7D" w:rsidP="00BC1AC8">
            <w:pPr>
              <w:pStyle w:val="APVMATableText"/>
            </w:pPr>
            <w:r>
              <w:t>polyethylene terephthalate</w:t>
            </w:r>
          </w:p>
        </w:tc>
      </w:tr>
      <w:tr w:rsidR="00C13E8E" w14:paraId="0C92E492" w14:textId="77777777">
        <w:tc>
          <w:tcPr>
            <w:tcW w:w="2160" w:type="dxa"/>
          </w:tcPr>
          <w:p w14:paraId="2F399B84" w14:textId="7A5770D4" w:rsidR="00C13E8E" w:rsidRDefault="00C13E8E" w:rsidP="00BC1AC8">
            <w:pPr>
              <w:pStyle w:val="APVMATableText"/>
            </w:pPr>
            <w:r>
              <w:t>PHED</w:t>
            </w:r>
          </w:p>
        </w:tc>
        <w:tc>
          <w:tcPr>
            <w:tcW w:w="7560" w:type="dxa"/>
          </w:tcPr>
          <w:p w14:paraId="500FE361" w14:textId="4663FA06" w:rsidR="00C13E8E" w:rsidRDefault="00C13E8E" w:rsidP="00BC1AC8">
            <w:pPr>
              <w:pStyle w:val="APVMATableText"/>
            </w:pPr>
            <w:r>
              <w:t>Pesticide Handler Exposure Database</w:t>
            </w:r>
          </w:p>
        </w:tc>
      </w:tr>
      <w:tr w:rsidR="00BC1AC8" w14:paraId="150C0AD5" w14:textId="77777777">
        <w:tc>
          <w:tcPr>
            <w:tcW w:w="2160" w:type="dxa"/>
          </w:tcPr>
          <w:p w14:paraId="6481F40F" w14:textId="77777777" w:rsidR="00BC1AC8" w:rsidRDefault="00BC1AC8" w:rsidP="00BC1AC8">
            <w:pPr>
              <w:pStyle w:val="APVMATableText"/>
            </w:pPr>
            <w:r>
              <w:t>po</w:t>
            </w:r>
          </w:p>
        </w:tc>
        <w:tc>
          <w:tcPr>
            <w:tcW w:w="7560" w:type="dxa"/>
          </w:tcPr>
          <w:p w14:paraId="687CC12F" w14:textId="77777777" w:rsidR="00BC1AC8" w:rsidRDefault="00BC1AC8" w:rsidP="00BC1AC8">
            <w:pPr>
              <w:pStyle w:val="APVMATableText"/>
            </w:pPr>
            <w:r>
              <w:t>oral</w:t>
            </w:r>
          </w:p>
        </w:tc>
      </w:tr>
      <w:tr w:rsidR="00BC1AC8" w14:paraId="353F5D4D" w14:textId="77777777">
        <w:tc>
          <w:tcPr>
            <w:tcW w:w="2160" w:type="dxa"/>
          </w:tcPr>
          <w:p w14:paraId="0A08504B" w14:textId="77777777" w:rsidR="00BC1AC8" w:rsidRDefault="00BC1AC8" w:rsidP="00BC1AC8">
            <w:pPr>
              <w:pStyle w:val="APVMATableText"/>
            </w:pPr>
            <w:r>
              <w:t>ppb</w:t>
            </w:r>
          </w:p>
        </w:tc>
        <w:tc>
          <w:tcPr>
            <w:tcW w:w="7560" w:type="dxa"/>
          </w:tcPr>
          <w:p w14:paraId="7BFD0896" w14:textId="77777777" w:rsidR="00BC1AC8" w:rsidRDefault="00BC1AC8" w:rsidP="00BC1AC8">
            <w:pPr>
              <w:pStyle w:val="APVMATableText"/>
            </w:pPr>
            <w:r>
              <w:t>parts per billion</w:t>
            </w:r>
          </w:p>
        </w:tc>
      </w:tr>
      <w:tr w:rsidR="00BC1AC8" w14:paraId="170B145F" w14:textId="77777777">
        <w:tc>
          <w:tcPr>
            <w:tcW w:w="2160" w:type="dxa"/>
          </w:tcPr>
          <w:p w14:paraId="5AEB21B9" w14:textId="77777777" w:rsidR="00BC1AC8" w:rsidRDefault="00BC1AC8" w:rsidP="00BC1AC8">
            <w:pPr>
              <w:pStyle w:val="APVMATableText"/>
            </w:pPr>
            <w:r>
              <w:t>PPE</w:t>
            </w:r>
          </w:p>
        </w:tc>
        <w:tc>
          <w:tcPr>
            <w:tcW w:w="7560" w:type="dxa"/>
          </w:tcPr>
          <w:p w14:paraId="09798C61" w14:textId="77777777" w:rsidR="00BC1AC8" w:rsidRDefault="00BC1AC8" w:rsidP="00BC1AC8">
            <w:pPr>
              <w:pStyle w:val="APVMATableText"/>
            </w:pPr>
            <w:r>
              <w:t>Personal Protective Equipment</w:t>
            </w:r>
          </w:p>
        </w:tc>
      </w:tr>
      <w:tr w:rsidR="00BC1AC8" w14:paraId="283E836A" w14:textId="77777777">
        <w:tc>
          <w:tcPr>
            <w:tcW w:w="2160" w:type="dxa"/>
          </w:tcPr>
          <w:p w14:paraId="1F193DA8" w14:textId="77777777" w:rsidR="00BC1AC8" w:rsidRDefault="00BC1AC8" w:rsidP="00BC1AC8">
            <w:pPr>
              <w:pStyle w:val="APVMATableText"/>
            </w:pPr>
            <w:r>
              <w:t>ppm</w:t>
            </w:r>
          </w:p>
        </w:tc>
        <w:tc>
          <w:tcPr>
            <w:tcW w:w="7560" w:type="dxa"/>
          </w:tcPr>
          <w:p w14:paraId="265F11E7" w14:textId="77777777" w:rsidR="00BC1AC8" w:rsidRDefault="00BC1AC8" w:rsidP="00BC1AC8">
            <w:pPr>
              <w:pStyle w:val="APVMATableText"/>
            </w:pPr>
            <w:r>
              <w:t>parts per million</w:t>
            </w:r>
          </w:p>
        </w:tc>
      </w:tr>
      <w:tr w:rsidR="00BC1AC8" w14:paraId="385C9929" w14:textId="77777777">
        <w:tc>
          <w:tcPr>
            <w:tcW w:w="2160" w:type="dxa"/>
          </w:tcPr>
          <w:p w14:paraId="014451B4" w14:textId="77777777" w:rsidR="00BC1AC8" w:rsidRDefault="00BC1AC8" w:rsidP="00BC1AC8">
            <w:pPr>
              <w:pStyle w:val="APVMATableText"/>
            </w:pPr>
            <w:r>
              <w:t>Q-value</w:t>
            </w:r>
          </w:p>
        </w:tc>
        <w:tc>
          <w:tcPr>
            <w:tcW w:w="7560" w:type="dxa"/>
          </w:tcPr>
          <w:p w14:paraId="34FF11DA" w14:textId="77777777" w:rsidR="00BC1AC8" w:rsidRDefault="00BC1AC8" w:rsidP="00BC1AC8">
            <w:pPr>
              <w:pStyle w:val="APVMATableText"/>
            </w:pPr>
            <w:r>
              <w:t>Quotient-value</w:t>
            </w:r>
          </w:p>
        </w:tc>
      </w:tr>
      <w:tr w:rsidR="00F41B7D" w14:paraId="19E71910" w14:textId="77777777">
        <w:tc>
          <w:tcPr>
            <w:tcW w:w="2160" w:type="dxa"/>
          </w:tcPr>
          <w:p w14:paraId="098B3F9B" w14:textId="24344491" w:rsidR="00F41B7D" w:rsidRDefault="00F41B7D" w:rsidP="00BC1AC8">
            <w:pPr>
              <w:pStyle w:val="APVMATableText"/>
            </w:pPr>
            <w:r w:rsidRPr="00F41B7D">
              <w:t>RAC/RAL</w:t>
            </w:r>
          </w:p>
        </w:tc>
        <w:tc>
          <w:tcPr>
            <w:tcW w:w="7560" w:type="dxa"/>
          </w:tcPr>
          <w:p w14:paraId="3E13D535" w14:textId="1AF787BE" w:rsidR="00F41B7D" w:rsidRDefault="00F41B7D" w:rsidP="00BC1AC8">
            <w:pPr>
              <w:pStyle w:val="APVMATableText"/>
            </w:pPr>
            <w:r w:rsidRPr="00F41B7D">
              <w:t>Regulatory Acceptable Concentration/Level</w:t>
            </w:r>
          </w:p>
        </w:tc>
      </w:tr>
      <w:tr w:rsidR="00BC1AC8" w14:paraId="5CBDC8BD" w14:textId="77777777">
        <w:tc>
          <w:tcPr>
            <w:tcW w:w="2160" w:type="dxa"/>
          </w:tcPr>
          <w:p w14:paraId="536C8B61" w14:textId="77777777" w:rsidR="00BC1AC8" w:rsidRDefault="00BC1AC8" w:rsidP="00BC1AC8">
            <w:pPr>
              <w:pStyle w:val="APVMATableText"/>
            </w:pPr>
            <w:r>
              <w:t>RBC</w:t>
            </w:r>
          </w:p>
        </w:tc>
        <w:tc>
          <w:tcPr>
            <w:tcW w:w="7560" w:type="dxa"/>
          </w:tcPr>
          <w:p w14:paraId="062BE35B" w14:textId="77777777" w:rsidR="00BC1AC8" w:rsidRDefault="00BC1AC8" w:rsidP="00BC1AC8">
            <w:pPr>
              <w:pStyle w:val="APVMATableText"/>
            </w:pPr>
            <w:r>
              <w:t>Red Blood Cell Count</w:t>
            </w:r>
          </w:p>
        </w:tc>
      </w:tr>
      <w:tr w:rsidR="00BC1AC8" w14:paraId="6F4C3A5F" w14:textId="77777777">
        <w:tc>
          <w:tcPr>
            <w:tcW w:w="2160" w:type="dxa"/>
          </w:tcPr>
          <w:p w14:paraId="77CADAB7" w14:textId="77777777" w:rsidR="00BC1AC8" w:rsidRDefault="00BC1AC8" w:rsidP="00BC1AC8">
            <w:pPr>
              <w:pStyle w:val="APVMATableText"/>
            </w:pPr>
            <w:r>
              <w:t>s</w:t>
            </w:r>
          </w:p>
        </w:tc>
        <w:tc>
          <w:tcPr>
            <w:tcW w:w="7560" w:type="dxa"/>
          </w:tcPr>
          <w:p w14:paraId="3C359970" w14:textId="77777777" w:rsidR="00BC1AC8" w:rsidRDefault="00BC1AC8" w:rsidP="00BC1AC8">
            <w:pPr>
              <w:pStyle w:val="APVMATableText"/>
            </w:pPr>
            <w:r>
              <w:t>second</w:t>
            </w:r>
          </w:p>
        </w:tc>
      </w:tr>
      <w:tr w:rsidR="00BC1AC8" w14:paraId="23A4B0F2" w14:textId="77777777">
        <w:tc>
          <w:tcPr>
            <w:tcW w:w="2160" w:type="dxa"/>
          </w:tcPr>
          <w:p w14:paraId="5A6842CD" w14:textId="77777777" w:rsidR="00BC1AC8" w:rsidRDefault="00BC1AC8" w:rsidP="00BC1AC8">
            <w:pPr>
              <w:pStyle w:val="APVMATableText"/>
            </w:pPr>
            <w:r>
              <w:t>sc</w:t>
            </w:r>
          </w:p>
        </w:tc>
        <w:tc>
          <w:tcPr>
            <w:tcW w:w="7560" w:type="dxa"/>
          </w:tcPr>
          <w:p w14:paraId="6CD788B6" w14:textId="77777777" w:rsidR="00BC1AC8" w:rsidRDefault="00BC1AC8" w:rsidP="00BC1AC8">
            <w:pPr>
              <w:pStyle w:val="APVMATableText"/>
            </w:pPr>
            <w:r>
              <w:t>subcutaneous</w:t>
            </w:r>
          </w:p>
        </w:tc>
      </w:tr>
      <w:tr w:rsidR="00BC1AC8" w14:paraId="06267E16" w14:textId="77777777">
        <w:tc>
          <w:tcPr>
            <w:tcW w:w="2160" w:type="dxa"/>
          </w:tcPr>
          <w:p w14:paraId="0024ED17" w14:textId="77777777" w:rsidR="00BC1AC8" w:rsidRDefault="00BC1AC8" w:rsidP="00BC1AC8">
            <w:pPr>
              <w:pStyle w:val="APVMATableText"/>
            </w:pPr>
            <w:r>
              <w:t>SC</w:t>
            </w:r>
          </w:p>
        </w:tc>
        <w:tc>
          <w:tcPr>
            <w:tcW w:w="7560" w:type="dxa"/>
          </w:tcPr>
          <w:p w14:paraId="23A82F2C" w14:textId="77777777" w:rsidR="00BC1AC8" w:rsidRDefault="00BC1AC8" w:rsidP="00BC1AC8">
            <w:pPr>
              <w:pStyle w:val="APVMATableText"/>
            </w:pPr>
            <w:r>
              <w:t>Suspension Concentrate</w:t>
            </w:r>
          </w:p>
        </w:tc>
      </w:tr>
      <w:tr w:rsidR="00F844E4" w14:paraId="4A4793C1" w14:textId="77777777">
        <w:tc>
          <w:tcPr>
            <w:tcW w:w="2160" w:type="dxa"/>
          </w:tcPr>
          <w:p w14:paraId="61D5D7C1" w14:textId="36FC3917" w:rsidR="00F844E4" w:rsidRDefault="00F844E4" w:rsidP="00BC1AC8">
            <w:pPr>
              <w:pStyle w:val="APVMATableText"/>
            </w:pPr>
            <w:r>
              <w:t>SPE</w:t>
            </w:r>
          </w:p>
        </w:tc>
        <w:tc>
          <w:tcPr>
            <w:tcW w:w="7560" w:type="dxa"/>
          </w:tcPr>
          <w:p w14:paraId="63C2FBED" w14:textId="7F9F7D36" w:rsidR="00F844E4" w:rsidRDefault="00F844E4" w:rsidP="00BC1AC8">
            <w:pPr>
              <w:pStyle w:val="APVMATableText"/>
            </w:pPr>
            <w:r>
              <w:t>Solid Phase Extraction</w:t>
            </w:r>
          </w:p>
        </w:tc>
      </w:tr>
      <w:tr w:rsidR="00F41B7D" w14:paraId="4BBF879F" w14:textId="77777777">
        <w:tc>
          <w:tcPr>
            <w:tcW w:w="2160" w:type="dxa"/>
          </w:tcPr>
          <w:p w14:paraId="54811ADA" w14:textId="0DC2C771" w:rsidR="00F41B7D" w:rsidRDefault="00F41B7D" w:rsidP="00BC1AC8">
            <w:pPr>
              <w:pStyle w:val="APVMATableText"/>
            </w:pPr>
            <w:r>
              <w:t>STMR</w:t>
            </w:r>
          </w:p>
        </w:tc>
        <w:tc>
          <w:tcPr>
            <w:tcW w:w="7560" w:type="dxa"/>
          </w:tcPr>
          <w:p w14:paraId="77EFF60F" w14:textId="27272EC2" w:rsidR="00F41B7D" w:rsidRDefault="00F41B7D" w:rsidP="00BC1AC8">
            <w:pPr>
              <w:pStyle w:val="APVMATableText"/>
            </w:pPr>
            <w:r w:rsidRPr="00F41B7D">
              <w:t>Supervised Trial Median Residue</w:t>
            </w:r>
          </w:p>
        </w:tc>
      </w:tr>
      <w:tr w:rsidR="00F844E4" w14:paraId="76AD9FC4" w14:textId="77777777">
        <w:tc>
          <w:tcPr>
            <w:tcW w:w="2160" w:type="dxa"/>
          </w:tcPr>
          <w:p w14:paraId="1CE41354" w14:textId="7DD70807" w:rsidR="00F844E4" w:rsidRDefault="00F844E4" w:rsidP="00BC1AC8">
            <w:pPr>
              <w:pStyle w:val="APVMATableText"/>
            </w:pPr>
            <w:r>
              <w:t>STMR-P</w:t>
            </w:r>
          </w:p>
        </w:tc>
        <w:tc>
          <w:tcPr>
            <w:tcW w:w="7560" w:type="dxa"/>
          </w:tcPr>
          <w:p w14:paraId="74C64E10" w14:textId="3D5BEF0D" w:rsidR="00F844E4" w:rsidRPr="00F41B7D" w:rsidRDefault="00F844E4" w:rsidP="00BC1AC8">
            <w:pPr>
              <w:pStyle w:val="APVMATableText"/>
            </w:pPr>
            <w:r>
              <w:t>STMR for a processed commodity</w:t>
            </w:r>
          </w:p>
        </w:tc>
      </w:tr>
      <w:tr w:rsidR="00BC1AC8" w14:paraId="7696E47A" w14:textId="77777777">
        <w:tc>
          <w:tcPr>
            <w:tcW w:w="2160" w:type="dxa"/>
          </w:tcPr>
          <w:p w14:paraId="0DBFBE5A" w14:textId="77777777" w:rsidR="00BC1AC8" w:rsidRDefault="00BC1AC8" w:rsidP="00BC1AC8">
            <w:pPr>
              <w:pStyle w:val="APVMATableText"/>
            </w:pPr>
            <w:r>
              <w:t>SUSDP</w:t>
            </w:r>
          </w:p>
        </w:tc>
        <w:tc>
          <w:tcPr>
            <w:tcW w:w="7560" w:type="dxa"/>
          </w:tcPr>
          <w:p w14:paraId="0FF64A8E" w14:textId="77777777" w:rsidR="00BC1AC8" w:rsidRDefault="00BC1AC8" w:rsidP="00BC1AC8">
            <w:pPr>
              <w:pStyle w:val="APVMATableText"/>
            </w:pPr>
            <w:r>
              <w:t>Standard for the Uniform Scheduling of Drugs and Poisons</w:t>
            </w:r>
          </w:p>
        </w:tc>
      </w:tr>
      <w:tr w:rsidR="00BC1AC8" w14:paraId="3E89F0DC" w14:textId="77777777">
        <w:tc>
          <w:tcPr>
            <w:tcW w:w="2160" w:type="dxa"/>
          </w:tcPr>
          <w:p w14:paraId="15C813AF" w14:textId="77777777" w:rsidR="00BC1AC8" w:rsidRDefault="00BC1AC8" w:rsidP="00BC1AC8">
            <w:pPr>
              <w:pStyle w:val="APVMATableText"/>
            </w:pPr>
            <w:r>
              <w:t>TGA</w:t>
            </w:r>
          </w:p>
        </w:tc>
        <w:tc>
          <w:tcPr>
            <w:tcW w:w="7560" w:type="dxa"/>
          </w:tcPr>
          <w:p w14:paraId="37A7E1B0" w14:textId="77777777" w:rsidR="00BC1AC8" w:rsidRDefault="00BC1AC8" w:rsidP="00BC1AC8">
            <w:pPr>
              <w:pStyle w:val="APVMATableText"/>
            </w:pPr>
            <w:r>
              <w:t>Therapeutic Goods Administration</w:t>
            </w:r>
          </w:p>
        </w:tc>
      </w:tr>
      <w:tr w:rsidR="00BC1AC8" w14:paraId="0D22C579" w14:textId="77777777">
        <w:tc>
          <w:tcPr>
            <w:tcW w:w="2160" w:type="dxa"/>
          </w:tcPr>
          <w:p w14:paraId="4CE9EC2E" w14:textId="77777777" w:rsidR="00BC1AC8" w:rsidRDefault="00BC1AC8" w:rsidP="00BC1AC8">
            <w:pPr>
              <w:pStyle w:val="APVMATableText"/>
            </w:pPr>
            <w:r>
              <w:lastRenderedPageBreak/>
              <w:t>TGAC</w:t>
            </w:r>
          </w:p>
        </w:tc>
        <w:tc>
          <w:tcPr>
            <w:tcW w:w="7560" w:type="dxa"/>
          </w:tcPr>
          <w:p w14:paraId="45168CC2" w14:textId="77777777" w:rsidR="00BC1AC8" w:rsidRDefault="00BC1AC8" w:rsidP="00BC1AC8">
            <w:pPr>
              <w:pStyle w:val="APVMATableText"/>
            </w:pPr>
            <w:r>
              <w:t>Technical grade active constituent</w:t>
            </w:r>
          </w:p>
        </w:tc>
      </w:tr>
      <w:tr w:rsidR="00F41B7D" w14:paraId="500B8786" w14:textId="77777777">
        <w:tc>
          <w:tcPr>
            <w:tcW w:w="2160" w:type="dxa"/>
          </w:tcPr>
          <w:p w14:paraId="19E837FD" w14:textId="71425108" w:rsidR="00F41B7D" w:rsidRDefault="00F41B7D" w:rsidP="00BC1AC8">
            <w:pPr>
              <w:pStyle w:val="APVMATableText"/>
            </w:pPr>
            <w:r>
              <w:t>TRR</w:t>
            </w:r>
          </w:p>
        </w:tc>
        <w:tc>
          <w:tcPr>
            <w:tcW w:w="7560" w:type="dxa"/>
          </w:tcPr>
          <w:p w14:paraId="7CB893D0" w14:textId="064EB7C7" w:rsidR="00F41B7D" w:rsidRDefault="00F41B7D" w:rsidP="00BC1AC8">
            <w:pPr>
              <w:pStyle w:val="APVMATableText"/>
            </w:pPr>
            <w:r w:rsidRPr="00F41B7D">
              <w:t>Total Radioactive Residue</w:t>
            </w:r>
          </w:p>
        </w:tc>
      </w:tr>
      <w:tr w:rsidR="00BC1AC8" w14:paraId="2DC9857A" w14:textId="77777777">
        <w:tc>
          <w:tcPr>
            <w:tcW w:w="2160" w:type="dxa"/>
          </w:tcPr>
          <w:p w14:paraId="09FE6204" w14:textId="77777777" w:rsidR="00BC1AC8" w:rsidRDefault="00BC1AC8" w:rsidP="00BC1AC8">
            <w:pPr>
              <w:pStyle w:val="APVMATableText"/>
            </w:pPr>
            <w:r>
              <w:t>T-Value</w:t>
            </w:r>
          </w:p>
        </w:tc>
        <w:tc>
          <w:tcPr>
            <w:tcW w:w="7560" w:type="dxa"/>
          </w:tcPr>
          <w:p w14:paraId="7F02E99F" w14:textId="77777777" w:rsidR="00BC1AC8" w:rsidRDefault="00BC1AC8" w:rsidP="00BC1AC8">
            <w:pPr>
              <w:pStyle w:val="APVMATableText"/>
            </w:pPr>
            <w:r>
              <w:t>A value used to determine the First Aid Instructions for chemical products that contain two or more poisons</w:t>
            </w:r>
          </w:p>
        </w:tc>
      </w:tr>
      <w:tr w:rsidR="00BC1AC8" w14:paraId="6C87B611" w14:textId="77777777">
        <w:tc>
          <w:tcPr>
            <w:tcW w:w="2160" w:type="dxa"/>
          </w:tcPr>
          <w:p w14:paraId="271277F5" w14:textId="77777777" w:rsidR="00BC1AC8" w:rsidRDefault="00BC1AC8" w:rsidP="00BC1AC8">
            <w:pPr>
              <w:pStyle w:val="APVMATableText"/>
            </w:pPr>
            <w:r>
              <w:rPr>
                <w:bCs/>
              </w:rPr>
              <w:t>µ</w:t>
            </w:r>
            <w:r>
              <w:t>g</w:t>
            </w:r>
          </w:p>
        </w:tc>
        <w:tc>
          <w:tcPr>
            <w:tcW w:w="7560" w:type="dxa"/>
          </w:tcPr>
          <w:p w14:paraId="0A90B54B" w14:textId="77777777" w:rsidR="00BC1AC8" w:rsidRDefault="00BC1AC8" w:rsidP="00BC1AC8">
            <w:pPr>
              <w:pStyle w:val="APVMATableText"/>
            </w:pPr>
            <w:r>
              <w:t>microgram</w:t>
            </w:r>
          </w:p>
        </w:tc>
      </w:tr>
      <w:tr w:rsidR="00C13E8E" w14:paraId="66F20B17" w14:textId="77777777">
        <w:tc>
          <w:tcPr>
            <w:tcW w:w="2160" w:type="dxa"/>
          </w:tcPr>
          <w:p w14:paraId="75C39A22" w14:textId="2CB8A1CB" w:rsidR="00C13E8E" w:rsidRDefault="00C13E8E" w:rsidP="00BC1AC8">
            <w:pPr>
              <w:pStyle w:val="APVMATableText"/>
              <w:rPr>
                <w:bCs/>
              </w:rPr>
            </w:pPr>
            <w:r w:rsidRPr="00C13E8E">
              <w:rPr>
                <w:bCs/>
              </w:rPr>
              <w:t>USEPA</w:t>
            </w:r>
          </w:p>
        </w:tc>
        <w:tc>
          <w:tcPr>
            <w:tcW w:w="7560" w:type="dxa"/>
          </w:tcPr>
          <w:p w14:paraId="6BFD13EB" w14:textId="2426DB5A" w:rsidR="00C13E8E" w:rsidRDefault="00C13E8E" w:rsidP="00BC1AC8">
            <w:pPr>
              <w:pStyle w:val="APVMATableText"/>
            </w:pPr>
            <w:r w:rsidRPr="00C13E8E">
              <w:t>United States Environmental Protection Agency</w:t>
            </w:r>
          </w:p>
        </w:tc>
      </w:tr>
      <w:tr w:rsidR="00BC1AC8" w14:paraId="5E7167F9" w14:textId="77777777">
        <w:tc>
          <w:tcPr>
            <w:tcW w:w="2160" w:type="dxa"/>
          </w:tcPr>
          <w:p w14:paraId="2D609061" w14:textId="77777777" w:rsidR="00BC1AC8" w:rsidRDefault="00BC1AC8" w:rsidP="00BC1AC8">
            <w:pPr>
              <w:pStyle w:val="APVMATableText"/>
            </w:pPr>
            <w:r>
              <w:t>vmd</w:t>
            </w:r>
          </w:p>
        </w:tc>
        <w:tc>
          <w:tcPr>
            <w:tcW w:w="7560" w:type="dxa"/>
          </w:tcPr>
          <w:p w14:paraId="6C8FA9C9" w14:textId="77777777" w:rsidR="00BC1AC8" w:rsidRDefault="00BC1AC8" w:rsidP="00BC1AC8">
            <w:pPr>
              <w:pStyle w:val="APVMATableText"/>
            </w:pPr>
            <w:r>
              <w:t>volume median diameter</w:t>
            </w:r>
          </w:p>
        </w:tc>
      </w:tr>
      <w:tr w:rsidR="00BC1AC8" w14:paraId="05D7100E" w14:textId="77777777">
        <w:tc>
          <w:tcPr>
            <w:tcW w:w="2160" w:type="dxa"/>
          </w:tcPr>
          <w:p w14:paraId="3FAEA149" w14:textId="77777777" w:rsidR="00BC1AC8" w:rsidRDefault="00BC1AC8" w:rsidP="00BC1AC8">
            <w:pPr>
              <w:pStyle w:val="APVMATableText"/>
            </w:pPr>
            <w:r>
              <w:t>WG</w:t>
            </w:r>
          </w:p>
        </w:tc>
        <w:tc>
          <w:tcPr>
            <w:tcW w:w="7560" w:type="dxa"/>
          </w:tcPr>
          <w:p w14:paraId="296E4197" w14:textId="77777777" w:rsidR="00BC1AC8" w:rsidRDefault="00BC1AC8" w:rsidP="00BC1AC8">
            <w:pPr>
              <w:pStyle w:val="APVMATableText"/>
            </w:pPr>
            <w:r>
              <w:t>Water Dispersible Granule</w:t>
            </w:r>
          </w:p>
        </w:tc>
      </w:tr>
      <w:tr w:rsidR="00F41B7D" w14:paraId="5B8B44DE" w14:textId="77777777">
        <w:tc>
          <w:tcPr>
            <w:tcW w:w="2160" w:type="dxa"/>
          </w:tcPr>
          <w:p w14:paraId="052A23A8" w14:textId="08DDD470" w:rsidR="00F41B7D" w:rsidRDefault="00F41B7D" w:rsidP="00BC1AC8">
            <w:pPr>
              <w:pStyle w:val="APVMATableText"/>
            </w:pPr>
            <w:r>
              <w:t>WHO</w:t>
            </w:r>
          </w:p>
        </w:tc>
        <w:tc>
          <w:tcPr>
            <w:tcW w:w="7560" w:type="dxa"/>
          </w:tcPr>
          <w:p w14:paraId="3CA686B9" w14:textId="3B918A57" w:rsidR="00F41B7D" w:rsidRDefault="00F41B7D" w:rsidP="00BC1AC8">
            <w:pPr>
              <w:pStyle w:val="APVMATableText"/>
            </w:pPr>
            <w:r w:rsidRPr="00F41B7D">
              <w:t>World Health Organisation</w:t>
            </w:r>
          </w:p>
        </w:tc>
      </w:tr>
      <w:tr w:rsidR="00BC1AC8" w14:paraId="0D31CD66" w14:textId="77777777">
        <w:tc>
          <w:tcPr>
            <w:tcW w:w="2160" w:type="dxa"/>
          </w:tcPr>
          <w:p w14:paraId="268FA687" w14:textId="77777777" w:rsidR="00BC1AC8" w:rsidRDefault="00BC1AC8" w:rsidP="00BC1AC8">
            <w:pPr>
              <w:pStyle w:val="APVMATableText"/>
              <w:rPr>
                <w:lang w:val="en-GB"/>
              </w:rPr>
            </w:pPr>
            <w:r>
              <w:rPr>
                <w:lang w:val="en-GB"/>
              </w:rPr>
              <w:t>WHP</w:t>
            </w:r>
          </w:p>
        </w:tc>
        <w:tc>
          <w:tcPr>
            <w:tcW w:w="7560" w:type="dxa"/>
          </w:tcPr>
          <w:p w14:paraId="6FF460C8" w14:textId="77777777" w:rsidR="00BC1AC8" w:rsidRDefault="00BC1AC8" w:rsidP="00BC1AC8">
            <w:pPr>
              <w:pStyle w:val="APVMATableText"/>
            </w:pPr>
            <w:r>
              <w:rPr>
                <w:lang w:val="en-GB"/>
              </w:rPr>
              <w:t>Withholding Period</w:t>
            </w:r>
          </w:p>
        </w:tc>
      </w:tr>
      <w:tr w:rsidR="00F41B7D" w14:paraId="6D09664D" w14:textId="77777777">
        <w:tc>
          <w:tcPr>
            <w:tcW w:w="2160" w:type="dxa"/>
          </w:tcPr>
          <w:p w14:paraId="4CA6C97D" w14:textId="0AE6D45A" w:rsidR="00F41B7D" w:rsidRDefault="00F41B7D" w:rsidP="00BC1AC8">
            <w:pPr>
              <w:pStyle w:val="APVMATableText"/>
              <w:rPr>
                <w:lang w:val="en-GB"/>
              </w:rPr>
            </w:pPr>
            <w:r>
              <w:rPr>
                <w:lang w:val="en-GB"/>
              </w:rPr>
              <w:t>XME</w:t>
            </w:r>
          </w:p>
        </w:tc>
        <w:tc>
          <w:tcPr>
            <w:tcW w:w="7560" w:type="dxa"/>
          </w:tcPr>
          <w:p w14:paraId="358C93A8" w14:textId="4421B235" w:rsidR="00F41B7D" w:rsidRDefault="00F41B7D" w:rsidP="00BC1AC8">
            <w:pPr>
              <w:pStyle w:val="APVMATableText"/>
              <w:rPr>
                <w:lang w:val="en-GB"/>
              </w:rPr>
            </w:pPr>
            <w:r>
              <w:rPr>
                <w:lang w:val="en-GB"/>
              </w:rPr>
              <w:t xml:space="preserve">Xenobiotic </w:t>
            </w:r>
            <w:r w:rsidR="001C46C9">
              <w:rPr>
                <w:lang w:val="en-GB"/>
              </w:rPr>
              <w:t>Metabolising Enzymes</w:t>
            </w:r>
          </w:p>
        </w:tc>
      </w:tr>
    </w:tbl>
    <w:p w14:paraId="4AA17588" w14:textId="77777777" w:rsidR="00F27E0D" w:rsidRDefault="00F27E0D">
      <w:pPr>
        <w:pStyle w:val="APVMAText"/>
        <w:tabs>
          <w:tab w:val="left" w:pos="1361"/>
        </w:tabs>
      </w:pPr>
    </w:p>
    <w:p w14:paraId="2F26B414" w14:textId="77777777" w:rsidR="00F27E0D" w:rsidRDefault="00F27E0D">
      <w:pPr>
        <w:pStyle w:val="APVMAText"/>
        <w:tabs>
          <w:tab w:val="left" w:pos="1361"/>
        </w:tabs>
      </w:pPr>
    </w:p>
    <w:p w14:paraId="7AD73CA7" w14:textId="77777777" w:rsidR="00F27E0D" w:rsidRDefault="00F27E0D">
      <w:pPr>
        <w:pStyle w:val="APVMAText"/>
        <w:tabs>
          <w:tab w:val="left" w:pos="1361"/>
        </w:tabs>
      </w:pPr>
    </w:p>
    <w:p w14:paraId="2E3EC742" w14:textId="77777777" w:rsidR="00F27E0D" w:rsidRDefault="00F27E0D">
      <w:pPr>
        <w:pStyle w:val="APVMAText"/>
        <w:tabs>
          <w:tab w:val="left" w:pos="1361"/>
        </w:tabs>
        <w:sectPr w:rsidR="00F27E0D">
          <w:headerReference w:type="default" r:id="rId49"/>
          <w:pgSz w:w="11906" w:h="16838" w:code="9"/>
          <w:pgMar w:top="2835" w:right="1134" w:bottom="1134" w:left="1134" w:header="1701" w:footer="680" w:gutter="0"/>
          <w:cols w:space="708"/>
          <w:docGrid w:linePitch="360"/>
        </w:sectPr>
      </w:pPr>
    </w:p>
    <w:p w14:paraId="396EFABB" w14:textId="77777777" w:rsidR="00F27E0D" w:rsidRDefault="00F27E0D">
      <w:pPr>
        <w:pStyle w:val="APVMAAppendices"/>
      </w:pPr>
      <w:bookmarkStart w:id="63" w:name="_Toc507406696"/>
      <w:r>
        <w:rPr>
          <w:lang w:val="en-GB"/>
        </w:rPr>
        <w:lastRenderedPageBreak/>
        <w:t>Glossary</w:t>
      </w:r>
      <w:bookmarkEnd w:id="32"/>
      <w:bookmarkEnd w:id="63"/>
    </w:p>
    <w:p w14:paraId="7195A3E8" w14:textId="01E002A6" w:rsidR="00F27E0D" w:rsidRDefault="00F27E0D">
      <w:pPr>
        <w:pStyle w:val="InstructionalText"/>
      </w:pPr>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14:paraId="6D0B4ED3" w14:textId="77777777">
        <w:tc>
          <w:tcPr>
            <w:tcW w:w="2160" w:type="dxa"/>
          </w:tcPr>
          <w:p w14:paraId="14BE0288" w14:textId="77777777" w:rsidR="00F27E0D" w:rsidRDefault="00F27E0D">
            <w:pPr>
              <w:pStyle w:val="APVMATableText"/>
            </w:pPr>
            <w:r>
              <w:t>Active constituent</w:t>
            </w:r>
          </w:p>
        </w:tc>
        <w:tc>
          <w:tcPr>
            <w:tcW w:w="7380" w:type="dxa"/>
          </w:tcPr>
          <w:p w14:paraId="5873C9A3" w14:textId="77777777" w:rsidR="00F27E0D" w:rsidRDefault="00F27E0D">
            <w:pPr>
              <w:pStyle w:val="APVMATableText"/>
            </w:pPr>
            <w:r>
              <w:t>The substance that is primarily responsible for the effect produced by a chemical product</w:t>
            </w:r>
          </w:p>
        </w:tc>
      </w:tr>
      <w:tr w:rsidR="00F27E0D" w14:paraId="1C651F40" w14:textId="77777777">
        <w:tc>
          <w:tcPr>
            <w:tcW w:w="2160" w:type="dxa"/>
          </w:tcPr>
          <w:p w14:paraId="65DBE1F9" w14:textId="77777777" w:rsidR="00F27E0D" w:rsidRDefault="00F27E0D">
            <w:pPr>
              <w:pStyle w:val="APVMATableText"/>
            </w:pPr>
            <w:r>
              <w:t>Acute</w:t>
            </w:r>
          </w:p>
        </w:tc>
        <w:tc>
          <w:tcPr>
            <w:tcW w:w="7380" w:type="dxa"/>
          </w:tcPr>
          <w:p w14:paraId="3F78E7E5" w14:textId="77777777" w:rsidR="00F27E0D" w:rsidRDefault="00F27E0D">
            <w:pPr>
              <w:pStyle w:val="APVMATableText"/>
            </w:pPr>
            <w:r>
              <w:t>Having rapid onset and of short duration.</w:t>
            </w:r>
          </w:p>
        </w:tc>
      </w:tr>
      <w:tr w:rsidR="00F27E0D" w14:paraId="7B9F72B1" w14:textId="77777777">
        <w:tc>
          <w:tcPr>
            <w:tcW w:w="2160" w:type="dxa"/>
          </w:tcPr>
          <w:p w14:paraId="6E6C92AB" w14:textId="77777777" w:rsidR="00F27E0D" w:rsidRDefault="00F27E0D">
            <w:pPr>
              <w:pStyle w:val="APVMATableText"/>
            </w:pPr>
            <w:r>
              <w:t>Carcinogenicity</w:t>
            </w:r>
          </w:p>
        </w:tc>
        <w:tc>
          <w:tcPr>
            <w:tcW w:w="7380" w:type="dxa"/>
          </w:tcPr>
          <w:p w14:paraId="5643A1B5" w14:textId="77777777" w:rsidR="00F27E0D" w:rsidRDefault="00F27E0D">
            <w:pPr>
              <w:pStyle w:val="APVMATableText"/>
            </w:pPr>
            <w:r>
              <w:t>The ability to cause cancer</w:t>
            </w:r>
          </w:p>
        </w:tc>
      </w:tr>
      <w:tr w:rsidR="00F27E0D" w14:paraId="08BEC1C5" w14:textId="77777777">
        <w:tc>
          <w:tcPr>
            <w:tcW w:w="2160" w:type="dxa"/>
          </w:tcPr>
          <w:p w14:paraId="2EFFFD9E" w14:textId="77777777" w:rsidR="00F27E0D" w:rsidRDefault="00F27E0D">
            <w:pPr>
              <w:pStyle w:val="APVMATableText"/>
            </w:pPr>
            <w:r>
              <w:t>Chronic</w:t>
            </w:r>
          </w:p>
        </w:tc>
        <w:tc>
          <w:tcPr>
            <w:tcW w:w="7380" w:type="dxa"/>
          </w:tcPr>
          <w:p w14:paraId="2DB1600E" w14:textId="77777777" w:rsidR="00F27E0D" w:rsidRDefault="00F27E0D">
            <w:pPr>
              <w:pStyle w:val="APVMATableText"/>
            </w:pPr>
            <w:r>
              <w:t>Of long duration</w:t>
            </w:r>
          </w:p>
        </w:tc>
      </w:tr>
      <w:tr w:rsidR="00F27E0D" w14:paraId="18C3C3CC" w14:textId="77777777">
        <w:tc>
          <w:tcPr>
            <w:tcW w:w="2160" w:type="dxa"/>
          </w:tcPr>
          <w:p w14:paraId="191C5D63" w14:textId="77777777" w:rsidR="00F27E0D" w:rsidRDefault="00F27E0D">
            <w:pPr>
              <w:pStyle w:val="APVMATableText"/>
            </w:pPr>
            <w:r>
              <w:t xml:space="preserve">Codex MRL </w:t>
            </w:r>
          </w:p>
        </w:tc>
        <w:tc>
          <w:tcPr>
            <w:tcW w:w="7380" w:type="dxa"/>
          </w:tcPr>
          <w:p w14:paraId="703768FE" w14:textId="77777777" w:rsidR="00F27E0D" w:rsidRDefault="00F27E0D">
            <w:pPr>
              <w:pStyle w:val="APVMATableText"/>
            </w:pPr>
            <w:r>
              <w:t>Internationally published standard maximum residue limit</w:t>
            </w:r>
          </w:p>
        </w:tc>
      </w:tr>
      <w:tr w:rsidR="00C13E8E" w14:paraId="397DD059" w14:textId="77777777">
        <w:tc>
          <w:tcPr>
            <w:tcW w:w="2160" w:type="dxa"/>
          </w:tcPr>
          <w:p w14:paraId="6E7F3ADB" w14:textId="2AAEC531" w:rsidR="00C13E8E" w:rsidRDefault="00C13E8E">
            <w:pPr>
              <w:pStyle w:val="APVMATableText"/>
            </w:pPr>
            <w:r>
              <w:t>Degradation</w:t>
            </w:r>
          </w:p>
        </w:tc>
        <w:tc>
          <w:tcPr>
            <w:tcW w:w="7380" w:type="dxa"/>
          </w:tcPr>
          <w:p w14:paraId="2201C8B7" w14:textId="1930FEFA" w:rsidR="00C13E8E" w:rsidRDefault="00C13E8E" w:rsidP="00360133">
            <w:pPr>
              <w:pStyle w:val="APVMATableText"/>
            </w:pPr>
            <w:r>
              <w:t>Decomposition of a chemical compound</w:t>
            </w:r>
            <w:r w:rsidR="00360133">
              <w:t>.</w:t>
            </w:r>
            <w:r w:rsidR="006346F7">
              <w:t xml:space="preserve"> </w:t>
            </w:r>
            <w:r w:rsidR="00360133">
              <w:t>L</w:t>
            </w:r>
            <w:r w:rsidR="006346F7" w:rsidRPr="006346F7">
              <w:t xml:space="preserve">oss process by which a substance is physically transformed from one chemical </w:t>
            </w:r>
            <w:r w:rsidR="00360133">
              <w:t xml:space="preserve">entity </w:t>
            </w:r>
            <w:r w:rsidR="006346F7" w:rsidRPr="006346F7">
              <w:t>to another. This can ultimately result in the formation of unextracted residues and CO2, but not necessarily in all cases</w:t>
            </w:r>
          </w:p>
        </w:tc>
      </w:tr>
      <w:tr w:rsidR="00F27E0D" w14:paraId="57ADB7E9" w14:textId="77777777">
        <w:tc>
          <w:tcPr>
            <w:tcW w:w="2160" w:type="dxa"/>
          </w:tcPr>
          <w:p w14:paraId="293B35C3" w14:textId="77777777" w:rsidR="00F27E0D" w:rsidRDefault="00F27E0D">
            <w:pPr>
              <w:pStyle w:val="APVMATableText"/>
            </w:pPr>
            <w:r>
              <w:t>Desorption</w:t>
            </w:r>
          </w:p>
        </w:tc>
        <w:tc>
          <w:tcPr>
            <w:tcW w:w="7380" w:type="dxa"/>
          </w:tcPr>
          <w:p w14:paraId="5F8A4CB5" w14:textId="77777777" w:rsidR="00F27E0D" w:rsidRDefault="00F27E0D">
            <w:pPr>
              <w:pStyle w:val="APVMATableText"/>
            </w:pPr>
            <w:r>
              <w:t>Removal of a material from or through a surface</w:t>
            </w:r>
          </w:p>
        </w:tc>
      </w:tr>
      <w:tr w:rsidR="00C13E8E" w14:paraId="72F29057" w14:textId="77777777">
        <w:tc>
          <w:tcPr>
            <w:tcW w:w="2160" w:type="dxa"/>
          </w:tcPr>
          <w:p w14:paraId="02F65A0D" w14:textId="5E9857C8" w:rsidR="00C13E8E" w:rsidRDefault="00C13E8E">
            <w:pPr>
              <w:pStyle w:val="APVMATableText"/>
            </w:pPr>
            <w:r>
              <w:t>Dissipation</w:t>
            </w:r>
          </w:p>
        </w:tc>
        <w:tc>
          <w:tcPr>
            <w:tcW w:w="7380" w:type="dxa"/>
          </w:tcPr>
          <w:p w14:paraId="3FE9446B" w14:textId="4B80A86A" w:rsidR="00C13E8E" w:rsidRDefault="006346F7">
            <w:pPr>
              <w:pStyle w:val="APVMATableText"/>
            </w:pPr>
            <w:r w:rsidRPr="006346F7">
              <w:t xml:space="preserve">The result of one or more loss processes leading to the disappearance of a substance from an environmental matrix, </w:t>
            </w:r>
            <w:r w:rsidR="007114A9">
              <w:t>eg</w:t>
            </w:r>
            <w:r w:rsidRPr="006346F7">
              <w:t xml:space="preserve"> soil. Loss processes contributing to dissipation include degradation within the soil matrix by biotic and/or abiotic processes, soil surface photolysis, volatilisation, plant uptake and leaching</w:t>
            </w:r>
          </w:p>
        </w:tc>
      </w:tr>
      <w:tr w:rsidR="00F27E0D" w14:paraId="7C3F646F" w14:textId="77777777">
        <w:tc>
          <w:tcPr>
            <w:tcW w:w="2160" w:type="dxa"/>
          </w:tcPr>
          <w:p w14:paraId="3E753EA9" w14:textId="77777777" w:rsidR="00F27E0D" w:rsidRDefault="00F27E0D">
            <w:pPr>
              <w:pStyle w:val="APVMATableText"/>
            </w:pPr>
            <w:r>
              <w:t>Efficacy</w:t>
            </w:r>
          </w:p>
        </w:tc>
        <w:tc>
          <w:tcPr>
            <w:tcW w:w="7380" w:type="dxa"/>
          </w:tcPr>
          <w:p w14:paraId="32F1AB24" w14:textId="77777777" w:rsidR="00F27E0D" w:rsidRDefault="00F27E0D">
            <w:pPr>
              <w:pStyle w:val="APVMATableText"/>
            </w:pPr>
            <w:r>
              <w:t>Production of the desired effect</w:t>
            </w:r>
          </w:p>
        </w:tc>
      </w:tr>
      <w:tr w:rsidR="00F27E0D" w14:paraId="506CCAB3" w14:textId="77777777">
        <w:tc>
          <w:tcPr>
            <w:tcW w:w="2160" w:type="dxa"/>
          </w:tcPr>
          <w:p w14:paraId="26FCE6CB" w14:textId="77777777" w:rsidR="00F27E0D" w:rsidRDefault="00F27E0D">
            <w:pPr>
              <w:pStyle w:val="APVMATableText"/>
            </w:pPr>
            <w:r>
              <w:t>Formulation</w:t>
            </w:r>
          </w:p>
        </w:tc>
        <w:tc>
          <w:tcPr>
            <w:tcW w:w="7380" w:type="dxa"/>
          </w:tcPr>
          <w:p w14:paraId="4F2EC5F3" w14:textId="77777777" w:rsidR="00F27E0D" w:rsidRDefault="00F27E0D">
            <w:pPr>
              <w:pStyle w:val="APVMATableText"/>
            </w:pPr>
            <w:r>
              <w:t>A combination of both active and inactive constituents to form the end use product</w:t>
            </w:r>
          </w:p>
        </w:tc>
      </w:tr>
      <w:tr w:rsidR="00F27E0D" w14:paraId="34174927" w14:textId="77777777">
        <w:tc>
          <w:tcPr>
            <w:tcW w:w="2160" w:type="dxa"/>
          </w:tcPr>
          <w:p w14:paraId="78A9238B" w14:textId="77777777" w:rsidR="00F27E0D" w:rsidRDefault="00F27E0D">
            <w:pPr>
              <w:pStyle w:val="APVMATableText"/>
            </w:pPr>
            <w:r>
              <w:t>Genotoxicity</w:t>
            </w:r>
          </w:p>
        </w:tc>
        <w:tc>
          <w:tcPr>
            <w:tcW w:w="7380" w:type="dxa"/>
          </w:tcPr>
          <w:p w14:paraId="0BC588A1" w14:textId="77777777" w:rsidR="00F27E0D" w:rsidRDefault="00F27E0D">
            <w:pPr>
              <w:pStyle w:val="APVMATableText"/>
            </w:pPr>
            <w:r>
              <w:t>The ability to damage genetic material</w:t>
            </w:r>
          </w:p>
        </w:tc>
      </w:tr>
      <w:tr w:rsidR="00F27E0D" w14:paraId="46868330" w14:textId="77777777">
        <w:tc>
          <w:tcPr>
            <w:tcW w:w="2160" w:type="dxa"/>
          </w:tcPr>
          <w:p w14:paraId="7C5E2DA3" w14:textId="77777777" w:rsidR="00F27E0D" w:rsidRDefault="00F27E0D">
            <w:pPr>
              <w:pStyle w:val="APVMATableText"/>
            </w:pPr>
            <w:r>
              <w:t>Hydrophobic</w:t>
            </w:r>
          </w:p>
        </w:tc>
        <w:tc>
          <w:tcPr>
            <w:tcW w:w="7380" w:type="dxa"/>
          </w:tcPr>
          <w:p w14:paraId="4409C990" w14:textId="77777777" w:rsidR="00F27E0D" w:rsidRDefault="00F27E0D">
            <w:pPr>
              <w:pStyle w:val="APVMATableText"/>
            </w:pPr>
            <w:r>
              <w:t>repels water</w:t>
            </w:r>
          </w:p>
        </w:tc>
      </w:tr>
      <w:tr w:rsidR="00F27E0D" w14:paraId="3FB3FEC1" w14:textId="77777777">
        <w:tc>
          <w:tcPr>
            <w:tcW w:w="2160" w:type="dxa"/>
          </w:tcPr>
          <w:p w14:paraId="3163952A" w14:textId="77777777" w:rsidR="00F27E0D" w:rsidRDefault="00F27E0D">
            <w:pPr>
              <w:pStyle w:val="APVMATableText"/>
            </w:pPr>
            <w:r>
              <w:t>Leaching</w:t>
            </w:r>
          </w:p>
        </w:tc>
        <w:tc>
          <w:tcPr>
            <w:tcW w:w="7380" w:type="dxa"/>
          </w:tcPr>
          <w:p w14:paraId="545E4619" w14:textId="77777777" w:rsidR="00F27E0D" w:rsidRDefault="00F27E0D">
            <w:pPr>
              <w:pStyle w:val="APVMATableText"/>
            </w:pPr>
            <w:r>
              <w:t>Removal of a compound by use of a solvent</w:t>
            </w:r>
          </w:p>
        </w:tc>
      </w:tr>
      <w:tr w:rsidR="00F27E0D" w14:paraId="171F981C" w14:textId="77777777">
        <w:tc>
          <w:tcPr>
            <w:tcW w:w="2160" w:type="dxa"/>
          </w:tcPr>
          <w:p w14:paraId="77410B80" w14:textId="77777777" w:rsidR="00F27E0D" w:rsidRDefault="00F27E0D">
            <w:pPr>
              <w:pStyle w:val="APVMATableText"/>
            </w:pPr>
            <w:r>
              <w:t>Log Pow</w:t>
            </w:r>
          </w:p>
        </w:tc>
        <w:tc>
          <w:tcPr>
            <w:tcW w:w="7380" w:type="dxa"/>
          </w:tcPr>
          <w:p w14:paraId="15632217" w14:textId="77777777" w:rsidR="00F27E0D" w:rsidRDefault="00F27E0D">
            <w:pPr>
              <w:pStyle w:val="APVMATableText"/>
            </w:pPr>
            <w:r>
              <w:t>Log to base 10 of octanol water partitioning co-efficient, synonym KOW</w:t>
            </w:r>
          </w:p>
        </w:tc>
      </w:tr>
      <w:tr w:rsidR="00F27E0D" w14:paraId="6ACDA474" w14:textId="77777777">
        <w:tc>
          <w:tcPr>
            <w:tcW w:w="2160" w:type="dxa"/>
          </w:tcPr>
          <w:p w14:paraId="321B3626" w14:textId="77777777" w:rsidR="00F27E0D" w:rsidRDefault="00F27E0D">
            <w:pPr>
              <w:pStyle w:val="APVMATableText"/>
            </w:pPr>
            <w:r>
              <w:t>Metabolism</w:t>
            </w:r>
          </w:p>
        </w:tc>
        <w:tc>
          <w:tcPr>
            <w:tcW w:w="7380" w:type="dxa"/>
          </w:tcPr>
          <w:p w14:paraId="58F930B0" w14:textId="77777777" w:rsidR="00F27E0D" w:rsidRDefault="00F27E0D">
            <w:pPr>
              <w:pStyle w:val="APVMATableText"/>
            </w:pPr>
            <w:r>
              <w:t>The chemical processes that maintain living organisms</w:t>
            </w:r>
          </w:p>
        </w:tc>
      </w:tr>
      <w:tr w:rsidR="00F41B7D" w14:paraId="55396012" w14:textId="77777777">
        <w:tc>
          <w:tcPr>
            <w:tcW w:w="2160" w:type="dxa"/>
          </w:tcPr>
          <w:p w14:paraId="2DB4160B" w14:textId="152778AB" w:rsidR="00F41B7D" w:rsidRDefault="00F41B7D">
            <w:pPr>
              <w:pStyle w:val="APVMATableText"/>
            </w:pPr>
            <w:r>
              <w:t>Percutaneous</w:t>
            </w:r>
          </w:p>
        </w:tc>
        <w:tc>
          <w:tcPr>
            <w:tcW w:w="7380" w:type="dxa"/>
          </w:tcPr>
          <w:p w14:paraId="70BE7272" w14:textId="264D01B4" w:rsidR="00F41B7D" w:rsidRDefault="00F41B7D">
            <w:pPr>
              <w:pStyle w:val="APVMATableText"/>
            </w:pPr>
            <w:r>
              <w:t>Through the skin</w:t>
            </w:r>
          </w:p>
        </w:tc>
      </w:tr>
      <w:tr w:rsidR="00326B29" w14:paraId="490C874F" w14:textId="77777777">
        <w:tc>
          <w:tcPr>
            <w:tcW w:w="2160" w:type="dxa"/>
          </w:tcPr>
          <w:p w14:paraId="256E8137" w14:textId="00AFBD31" w:rsidR="00326B29" w:rsidRDefault="00326B29">
            <w:pPr>
              <w:pStyle w:val="APVMATableText"/>
            </w:pPr>
            <w:r>
              <w:t>Phenology</w:t>
            </w:r>
          </w:p>
        </w:tc>
        <w:tc>
          <w:tcPr>
            <w:tcW w:w="7380" w:type="dxa"/>
          </w:tcPr>
          <w:p w14:paraId="1B5FE623" w14:textId="0CFDC8C3" w:rsidR="00326B29" w:rsidRDefault="00326B29" w:rsidP="00326B29">
            <w:pPr>
              <w:pStyle w:val="APVMATableText"/>
            </w:pPr>
            <w:r>
              <w:t>Study of cyclical biological events such as flowering of plants</w:t>
            </w:r>
          </w:p>
        </w:tc>
      </w:tr>
      <w:tr w:rsidR="00F27E0D" w14:paraId="71B2A609" w14:textId="77777777">
        <w:tc>
          <w:tcPr>
            <w:tcW w:w="2160" w:type="dxa"/>
          </w:tcPr>
          <w:p w14:paraId="6E2AF225" w14:textId="77777777" w:rsidR="00F27E0D" w:rsidRDefault="00F27E0D">
            <w:pPr>
              <w:pStyle w:val="APVMATableText"/>
            </w:pPr>
            <w:r>
              <w:t>Photodegradation</w:t>
            </w:r>
          </w:p>
        </w:tc>
        <w:tc>
          <w:tcPr>
            <w:tcW w:w="7380" w:type="dxa"/>
          </w:tcPr>
          <w:p w14:paraId="009866F6" w14:textId="77777777" w:rsidR="00F27E0D" w:rsidRDefault="00F27E0D">
            <w:pPr>
              <w:pStyle w:val="APVMATableText"/>
            </w:pPr>
            <w:r>
              <w:t>Breakdown of chemicals due to the action of light</w:t>
            </w:r>
          </w:p>
        </w:tc>
      </w:tr>
      <w:tr w:rsidR="00F27E0D" w14:paraId="6523D571" w14:textId="77777777">
        <w:tc>
          <w:tcPr>
            <w:tcW w:w="2160" w:type="dxa"/>
          </w:tcPr>
          <w:p w14:paraId="6D9889B9" w14:textId="77777777" w:rsidR="00F27E0D" w:rsidRDefault="00F27E0D">
            <w:pPr>
              <w:pStyle w:val="APVMATableText"/>
            </w:pPr>
            <w:r>
              <w:t>Photolysis</w:t>
            </w:r>
          </w:p>
        </w:tc>
        <w:tc>
          <w:tcPr>
            <w:tcW w:w="7380" w:type="dxa"/>
          </w:tcPr>
          <w:p w14:paraId="0FE87D83" w14:textId="77777777" w:rsidR="00F27E0D" w:rsidRDefault="00F27E0D">
            <w:pPr>
              <w:pStyle w:val="APVMATableText"/>
            </w:pPr>
            <w:r>
              <w:t>Breakdown of chemicals due to the action of light</w:t>
            </w:r>
          </w:p>
        </w:tc>
      </w:tr>
      <w:tr w:rsidR="00F27E0D" w14:paraId="3561F932" w14:textId="77777777">
        <w:tc>
          <w:tcPr>
            <w:tcW w:w="2160" w:type="dxa"/>
          </w:tcPr>
          <w:p w14:paraId="2AC03B80" w14:textId="77777777" w:rsidR="00F27E0D" w:rsidRDefault="00F27E0D">
            <w:pPr>
              <w:pStyle w:val="APVMATableText"/>
            </w:pPr>
            <w:r>
              <w:t>Subcutaneous</w:t>
            </w:r>
          </w:p>
        </w:tc>
        <w:tc>
          <w:tcPr>
            <w:tcW w:w="7380" w:type="dxa"/>
          </w:tcPr>
          <w:p w14:paraId="2BB7631C" w14:textId="77777777" w:rsidR="00F27E0D" w:rsidRDefault="00F27E0D">
            <w:pPr>
              <w:pStyle w:val="APVMATableText"/>
            </w:pPr>
            <w:r>
              <w:t>Under the skin</w:t>
            </w:r>
          </w:p>
        </w:tc>
      </w:tr>
      <w:tr w:rsidR="00F27E0D" w14:paraId="62DD9818" w14:textId="77777777">
        <w:tc>
          <w:tcPr>
            <w:tcW w:w="2160" w:type="dxa"/>
          </w:tcPr>
          <w:p w14:paraId="0AA1CCB5" w14:textId="77777777" w:rsidR="00F27E0D" w:rsidRDefault="00F27E0D">
            <w:pPr>
              <w:pStyle w:val="APVMATableText"/>
            </w:pPr>
            <w:r>
              <w:t>Toxicokinetics</w:t>
            </w:r>
          </w:p>
        </w:tc>
        <w:tc>
          <w:tcPr>
            <w:tcW w:w="7380" w:type="dxa"/>
          </w:tcPr>
          <w:p w14:paraId="7C36F18D" w14:textId="77777777" w:rsidR="00F27E0D" w:rsidRDefault="00F27E0D">
            <w:pPr>
              <w:pStyle w:val="APVMATableText"/>
            </w:pPr>
            <w:r>
              <w:t>The study of the movement of toxins through the body</w:t>
            </w:r>
          </w:p>
        </w:tc>
      </w:tr>
      <w:tr w:rsidR="00F27E0D" w14:paraId="6C0ED931" w14:textId="77777777">
        <w:tc>
          <w:tcPr>
            <w:tcW w:w="2160" w:type="dxa"/>
          </w:tcPr>
          <w:p w14:paraId="6A20C3E2" w14:textId="77777777" w:rsidR="00F27E0D" w:rsidRDefault="00F27E0D">
            <w:pPr>
              <w:pStyle w:val="APVMATableText"/>
            </w:pPr>
            <w:r>
              <w:t>Toxicology</w:t>
            </w:r>
          </w:p>
        </w:tc>
        <w:tc>
          <w:tcPr>
            <w:tcW w:w="7380" w:type="dxa"/>
          </w:tcPr>
          <w:p w14:paraId="060795EA" w14:textId="77777777" w:rsidR="00F27E0D" w:rsidRDefault="00F27E0D">
            <w:pPr>
              <w:pStyle w:val="APVMATableText"/>
            </w:pPr>
            <w:r>
              <w:t>The study of the nature and effects of poisons</w:t>
            </w:r>
          </w:p>
        </w:tc>
      </w:tr>
    </w:tbl>
    <w:p w14:paraId="01D56834" w14:textId="77777777" w:rsidR="00F27E0D" w:rsidRDefault="00F27E0D">
      <w:pPr>
        <w:pStyle w:val="APVMAText"/>
        <w:tabs>
          <w:tab w:val="left" w:pos="1980"/>
        </w:tabs>
        <w:ind w:left="1980" w:hanging="1980"/>
        <w:sectPr w:rsidR="00F27E0D">
          <w:headerReference w:type="default" r:id="rId50"/>
          <w:pgSz w:w="11906" w:h="16838" w:code="9"/>
          <w:pgMar w:top="2835" w:right="1134" w:bottom="1134" w:left="1134" w:header="1701" w:footer="680" w:gutter="0"/>
          <w:cols w:space="708"/>
          <w:docGrid w:linePitch="360"/>
        </w:sectPr>
      </w:pPr>
    </w:p>
    <w:p w14:paraId="730B3C9F" w14:textId="77777777" w:rsidR="00F27E0D" w:rsidRDefault="00F27E0D">
      <w:pPr>
        <w:pStyle w:val="APVMAAppendices"/>
      </w:pPr>
      <w:bookmarkStart w:id="64" w:name="_Toc231963196"/>
      <w:bookmarkStart w:id="65" w:name="_Toc507406697"/>
      <w:r>
        <w:lastRenderedPageBreak/>
        <w:t>References</w:t>
      </w:r>
      <w:bookmarkEnd w:id="64"/>
      <w:bookmarkEnd w:id="65"/>
    </w:p>
    <w:p w14:paraId="7F11ADF6" w14:textId="77777777" w:rsidR="0043416B" w:rsidRPr="0043416B" w:rsidRDefault="0043416B" w:rsidP="0043416B">
      <w:pPr>
        <w:pStyle w:val="APVMAText"/>
        <w:rPr>
          <w:lang w:val="en-US"/>
        </w:rPr>
      </w:pPr>
      <w:r w:rsidRPr="0043416B">
        <w:rPr>
          <w:lang w:val="en-US"/>
        </w:rPr>
        <w:fldChar w:fldCharType="begin"/>
      </w:r>
      <w:r w:rsidRPr="0043416B">
        <w:rPr>
          <w:lang w:val="en-US"/>
        </w:rPr>
        <w:instrText xml:space="preserve"> ADDIN EN.REFLIST </w:instrText>
      </w:r>
      <w:r w:rsidRPr="0043416B">
        <w:rPr>
          <w:lang w:val="en-US"/>
        </w:rPr>
        <w:fldChar w:fldCharType="separate"/>
      </w:r>
      <w:r w:rsidRPr="0043416B">
        <w:rPr>
          <w:lang w:val="en-US"/>
        </w:rPr>
        <w:t xml:space="preserve">EPHC (2009). </w:t>
      </w:r>
      <w:r w:rsidRPr="0043416B">
        <w:rPr>
          <w:u w:val="single"/>
          <w:lang w:val="en-US"/>
        </w:rPr>
        <w:t>Environmental Risk Assessment Guidance Manual: For Agricultural and Veterinary Chemicals / prepared by Chris Lee-Steere of Australian Environment Agency Pty Ltd.</w:t>
      </w:r>
      <w:r w:rsidRPr="0043416B">
        <w:rPr>
          <w:lang w:val="en-US"/>
        </w:rPr>
        <w:t xml:space="preserve"> Canberra, ACT, Environment Protection and Heritage Council.</w:t>
      </w:r>
    </w:p>
    <w:p w14:paraId="644BB24C" w14:textId="77777777" w:rsidR="0043416B" w:rsidRPr="0043416B" w:rsidRDefault="0043416B" w:rsidP="0043416B">
      <w:pPr>
        <w:pStyle w:val="APVMAText"/>
        <w:rPr>
          <w:lang w:val="en-US"/>
        </w:rPr>
      </w:pPr>
      <w:r w:rsidRPr="0043416B">
        <w:rPr>
          <w:lang w:val="en-US"/>
        </w:rPr>
        <w:t xml:space="preserve">McCall, P. J., R. L. Swann, D. A. Laskowski, S. M. Unger, S. A. Vrana and H. J. Dishburger (1980). "Estimation of Chemical Mobility in Soil from Liquid Chromatographic Retention Times." </w:t>
      </w:r>
      <w:r w:rsidRPr="0043416B">
        <w:rPr>
          <w:u w:val="single"/>
          <w:lang w:val="en-US"/>
        </w:rPr>
        <w:t>Bulletin of Environmental Contamination and Toxicology</w:t>
      </w:r>
      <w:r w:rsidRPr="0043416B">
        <w:rPr>
          <w:lang w:val="en-US"/>
        </w:rPr>
        <w:t xml:space="preserve"> </w:t>
      </w:r>
      <w:r w:rsidRPr="0043416B">
        <w:rPr>
          <w:b/>
          <w:lang w:val="en-US"/>
        </w:rPr>
        <w:t>24</w:t>
      </w:r>
      <w:r w:rsidRPr="0043416B">
        <w:rPr>
          <w:lang w:val="en-US"/>
        </w:rPr>
        <w:t>(1): 190-195.</w:t>
      </w:r>
    </w:p>
    <w:p w14:paraId="4703F83B" w14:textId="6072B15E" w:rsidR="0043416B" w:rsidRPr="0043416B" w:rsidRDefault="0043416B" w:rsidP="0043416B">
      <w:pPr>
        <w:pStyle w:val="APVMAText"/>
        <w:rPr>
          <w:lang w:val="en-US"/>
        </w:rPr>
      </w:pPr>
      <w:r w:rsidRPr="0043416B">
        <w:rPr>
          <w:lang w:val="en-US"/>
        </w:rPr>
        <w:t>Mensink, B., M. Montforts, L. Wijkhuizen-Maslankiewicz, H. Tibosch and J. Linders (1995). Manual for summarising and evaluating the environmental aspects of pesticides. Bilthoven, Netherlands, National I</w:t>
      </w:r>
      <w:r>
        <w:rPr>
          <w:lang w:val="en-US"/>
        </w:rPr>
        <w:t>n</w:t>
      </w:r>
      <w:r w:rsidRPr="0043416B">
        <w:rPr>
          <w:lang w:val="en-US"/>
        </w:rPr>
        <w:t>stitute of Public Health and Environmental Protection.</w:t>
      </w:r>
    </w:p>
    <w:p w14:paraId="530283F8" w14:textId="2B0B4A7A" w:rsidR="00F27E0D" w:rsidRDefault="0043416B">
      <w:pPr>
        <w:pStyle w:val="APVMAText"/>
      </w:pPr>
      <w:r w:rsidRPr="0043416B">
        <w:fldChar w:fldCharType="end"/>
      </w:r>
      <w:r w:rsidR="00F27E0D">
        <w:t xml:space="preserve">Australian Pesticides and Veterinary Medicines Authority 2008, </w:t>
      </w:r>
      <w:r w:rsidR="00F27E0D">
        <w:rPr>
          <w:i/>
        </w:rPr>
        <w:t>Ag MORAG: Manual of Requirements and Guidelines</w:t>
      </w:r>
      <w:r w:rsidR="00F27E0D">
        <w:t xml:space="preserve">, APVMA, Canberra. </w:t>
      </w:r>
    </w:p>
    <w:p w14:paraId="228DA93F" w14:textId="77777777" w:rsidR="00F27E0D" w:rsidRDefault="00F27E0D">
      <w:pPr>
        <w:pStyle w:val="APVMAText"/>
      </w:pPr>
      <w:r>
        <w:t xml:space="preserve">Australian Pesticides and Veterinary Medicines Authority 2008, </w:t>
      </w:r>
      <w:r>
        <w:rPr>
          <w:i/>
        </w:rPr>
        <w:t>Vet MORAG: Manual of Requirements and Guidelines</w:t>
      </w:r>
      <w:r>
        <w:t>, APVMA, Canberra.</w:t>
      </w:r>
    </w:p>
    <w:p w14:paraId="2FA29BCC" w14:textId="77777777" w:rsidR="00F27E0D" w:rsidRDefault="00F27E0D">
      <w:pPr>
        <w:pStyle w:val="APVMAText"/>
      </w:pPr>
    </w:p>
    <w:sectPr w:rsidR="00F27E0D">
      <w:headerReference w:type="default" r:id="rId5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31932" w14:textId="77777777" w:rsidR="00125529" w:rsidRDefault="00125529">
      <w:r>
        <w:separator/>
      </w:r>
    </w:p>
    <w:p w14:paraId="0A7A67E9" w14:textId="77777777" w:rsidR="00125529" w:rsidRDefault="00125529"/>
    <w:p w14:paraId="14F119D5" w14:textId="77777777" w:rsidR="00125529" w:rsidRDefault="00125529"/>
    <w:p w14:paraId="0078BF19" w14:textId="77777777" w:rsidR="00125529" w:rsidRDefault="00125529"/>
    <w:p w14:paraId="3347D6D5" w14:textId="77777777" w:rsidR="00125529" w:rsidRDefault="00125529"/>
  </w:endnote>
  <w:endnote w:type="continuationSeparator" w:id="0">
    <w:p w14:paraId="1543E0CC" w14:textId="77777777" w:rsidR="00125529" w:rsidRDefault="00125529">
      <w:r>
        <w:continuationSeparator/>
      </w:r>
    </w:p>
    <w:p w14:paraId="6813AEF3" w14:textId="77777777" w:rsidR="00125529" w:rsidRDefault="00125529"/>
    <w:p w14:paraId="562B8CFF" w14:textId="77777777" w:rsidR="00125529" w:rsidRDefault="00125529"/>
    <w:p w14:paraId="5FCD01FB" w14:textId="77777777" w:rsidR="00125529" w:rsidRDefault="00125529"/>
    <w:p w14:paraId="56D1D0E0" w14:textId="77777777" w:rsidR="00125529" w:rsidRDefault="00125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PSMT">
    <w:altName w:val="Arial"/>
    <w:panose1 w:val="00000000000000000000"/>
    <w:charset w:val="00"/>
    <w:family w:val="roman"/>
    <w:notTrueType/>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01938" w14:textId="48D8FAA2" w:rsidR="006719DB" w:rsidRDefault="006719DB">
    <w:pPr>
      <w:pStyle w:val="APVMATitle3"/>
    </w:pPr>
    <w:r>
      <w:t>FEBRUARY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BA69" w14:textId="48A12B6E" w:rsidR="006719DB" w:rsidRPr="006719DB" w:rsidRDefault="006719DB" w:rsidP="006719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7ABCE" w14:textId="77777777" w:rsidR="006719DB" w:rsidRDefault="006719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F3422" w14:textId="77777777" w:rsidR="00125529" w:rsidRDefault="00125529">
      <w:r>
        <w:separator/>
      </w:r>
    </w:p>
  </w:footnote>
  <w:footnote w:type="continuationSeparator" w:id="0">
    <w:p w14:paraId="3DE67994" w14:textId="77777777" w:rsidR="00125529" w:rsidRDefault="00125529">
      <w:pPr>
        <w:spacing w:line="180" w:lineRule="exact"/>
        <w:rPr>
          <w:sz w:val="16"/>
        </w:rPr>
      </w:pPr>
      <w:r>
        <w:rPr>
          <w:sz w:val="16"/>
        </w:rPr>
        <w:continuationSeparator/>
      </w:r>
    </w:p>
    <w:p w14:paraId="4DD2FDA7" w14:textId="77777777" w:rsidR="00125529" w:rsidRDefault="00125529"/>
    <w:p w14:paraId="3259D62C" w14:textId="77777777" w:rsidR="00125529" w:rsidRDefault="00125529"/>
    <w:p w14:paraId="3B7A1C0B" w14:textId="77777777" w:rsidR="00125529" w:rsidRDefault="00125529"/>
    <w:p w14:paraId="5692A577" w14:textId="77777777" w:rsidR="00125529" w:rsidRDefault="00125529"/>
  </w:footnote>
  <w:footnote w:type="continuationNotice" w:id="1">
    <w:p w14:paraId="5D234D30" w14:textId="77777777" w:rsidR="00125529" w:rsidRDefault="00125529"/>
    <w:p w14:paraId="2E55258C" w14:textId="77777777" w:rsidR="00125529" w:rsidRDefault="00125529"/>
    <w:p w14:paraId="138E300C" w14:textId="77777777" w:rsidR="00125529" w:rsidRDefault="00125529"/>
    <w:p w14:paraId="50D5FB13" w14:textId="77777777" w:rsidR="00125529" w:rsidRDefault="00125529"/>
    <w:p w14:paraId="3C0DE304" w14:textId="77777777" w:rsidR="00125529" w:rsidRDefault="00125529"/>
  </w:footnote>
  <w:footnote w:id="2">
    <w:p w14:paraId="2B5697BD" w14:textId="341C0D39" w:rsidR="006719DB" w:rsidRDefault="006719DB">
      <w:pPr>
        <w:pStyle w:val="FootnoteText"/>
      </w:pPr>
      <w:r>
        <w:rPr>
          <w:rStyle w:val="FootnoteReference"/>
        </w:rPr>
        <w:footnoteRef/>
      </w:r>
      <w:r>
        <w:t xml:space="preserve"> A full definition of </w:t>
      </w:r>
      <w:r>
        <w:rPr>
          <w:bCs/>
          <w:iCs/>
        </w:rPr>
        <w:t>‘confidential commercial information’ is contained in the Agvet Code.</w:t>
      </w:r>
    </w:p>
  </w:footnote>
  <w:footnote w:id="3">
    <w:p w14:paraId="3407E987" w14:textId="6313D718" w:rsidR="006719DB" w:rsidRDefault="006719DB" w:rsidP="002E355A">
      <w:pPr>
        <w:pStyle w:val="BODYTEXT"/>
        <w:rPr>
          <w:sz w:val="18"/>
        </w:rPr>
      </w:pPr>
      <w:r>
        <w:rPr>
          <w:sz w:val="18"/>
        </w:rPr>
        <w:footnoteRef/>
      </w:r>
      <w:r>
        <w:rPr>
          <w:sz w:val="18"/>
        </w:rPr>
        <w:t xml:space="preserve"> WHO (2008). Consultations and workshops: Dietary Exposure Assessment of Chemicals in Food: Report of a joint FAO/WHO Consultation, Annapolis, Maryland, USA, 2–6 May 2005.</w:t>
      </w:r>
    </w:p>
  </w:footnote>
  <w:footnote w:id="4">
    <w:p w14:paraId="2E96BEE7" w14:textId="7165E1B6" w:rsidR="006719DB" w:rsidRDefault="006719DB" w:rsidP="00D641E2">
      <w:pPr>
        <w:pStyle w:val="FootnoteText"/>
      </w:pPr>
      <w:r>
        <w:rPr>
          <w:rStyle w:val="FootnoteReference"/>
        </w:rPr>
        <w:footnoteRef/>
      </w:r>
      <w:r>
        <w:t xml:space="preserve"> APVMA Regulatory Guidelines—Data Guidelines: Agricultural—Overseas trade (Part 5B)</w:t>
      </w:r>
    </w:p>
  </w:footnote>
  <w:footnote w:id="5">
    <w:p w14:paraId="68267C1B" w14:textId="77777777" w:rsidR="006719DB" w:rsidRDefault="006719DB" w:rsidP="00D641E2">
      <w:pPr>
        <w:pStyle w:val="FootnoteText"/>
      </w:pPr>
      <w:r>
        <w:rPr>
          <w:rStyle w:val="FootnoteReference"/>
        </w:rPr>
        <w:footnoteRef/>
      </w:r>
      <w:r>
        <w:t xml:space="preserve"> Australian Commodity Statistics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5E1D5" w14:textId="77777777" w:rsidR="006719DB" w:rsidRDefault="006719DB">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A2A94" w14:textId="77777777" w:rsidR="006719DB" w:rsidRDefault="006719DB">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35</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A6D4" w14:textId="77777777" w:rsidR="006719DB" w:rsidRDefault="006719DB">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06978" w14:textId="77777777" w:rsidR="006719DB" w:rsidRDefault="006719DB">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39</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1F7D" w14:textId="77777777" w:rsidR="006719DB" w:rsidRDefault="006719DB">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45</w:t>
    </w:r>
    <w:r>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47683" w14:textId="77777777" w:rsidR="006719DB" w:rsidRDefault="006719DB">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49</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F8AB9" w14:textId="77777777" w:rsidR="006719DB" w:rsidRDefault="006719DB">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53</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CBE4" w14:textId="77777777" w:rsidR="006719DB" w:rsidRDefault="006719DB">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313E1">
      <w:rPr>
        <w:rStyle w:val="PageNumber"/>
        <w:rFonts w:cs="Times New Roman"/>
        <w:b/>
        <w:bCs w:val="0"/>
        <w:caps w:val="0"/>
        <w:noProof/>
        <w:szCs w:val="24"/>
      </w:rPr>
      <w:t>57</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E4F" w14:textId="77777777" w:rsidR="006719DB" w:rsidRDefault="006719DB">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57</w:t>
    </w:r>
    <w:r>
      <w:rPr>
        <w:rStyle w:val="PageNumber"/>
        <w:rFonts w:cs="Times New Roman"/>
        <w:b/>
        <w:bCs w:val="0"/>
        <w:caps w:val="0"/>
        <w:szCs w:val="24"/>
      </w:rPr>
      <w:fldChar w:fldCharType="end"/>
    </w:r>
  </w:p>
  <w:p w14:paraId="19BD4052" w14:textId="77777777" w:rsidR="006719DB" w:rsidRDefault="006719DB"/>
  <w:p w14:paraId="0C59588B" w14:textId="77777777" w:rsidR="006719DB" w:rsidRDefault="006719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026FB" w14:textId="77777777" w:rsidR="006719DB" w:rsidRDefault="006719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9E51" w14:textId="77777777" w:rsidR="006719DB" w:rsidRDefault="006719D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CFCF4" w14:textId="0B67C6EB" w:rsidR="006719DB" w:rsidRDefault="006719DB">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D4E6" w14:textId="103D2C99" w:rsidR="006719DB" w:rsidRDefault="006719DB">
    <w:pPr>
      <w:pStyle w:val="APVMAOddHeader"/>
      <w:tabs>
        <w:tab w:val="right" w:pos="8640"/>
      </w:tabs>
    </w:pPr>
    <w:r>
      <w:tab/>
    </w:r>
    <w:r>
      <w:rPr>
        <w:lang w:val="en-GB"/>
      </w:rPr>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A383D" w14:textId="13BF1B05" w:rsidR="006719DB" w:rsidRDefault="006719DB">
    <w:pPr>
      <w:pStyle w:val="APVMAOddHeader"/>
      <w:tabs>
        <w:tab w:val="right" w:pos="8640"/>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CA0CE" w14:textId="77777777" w:rsidR="006719DB" w:rsidRDefault="006719DB">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15</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3D72A" w14:textId="77777777" w:rsidR="006719DB" w:rsidRDefault="006719DB">
    <w:pPr>
      <w:pStyle w:val="APVMAOddHeader"/>
      <w:tabs>
        <w:tab w:val="right" w:pos="8640"/>
      </w:tabs>
    </w:pPr>
    <w:r>
      <w:tab/>
    </w:r>
    <w:r>
      <w:rPr>
        <w:lang w:val="en-GB"/>
      </w:rPr>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066006">
      <w:rPr>
        <w:rStyle w:val="PageNumber"/>
        <w:rFonts w:cs="Times New Roman"/>
        <w:b/>
        <w:bCs w:val="0"/>
        <w:caps w:val="0"/>
        <w:noProof/>
        <w:szCs w:val="24"/>
      </w:rPr>
      <w:t>21</w:t>
    </w:r>
    <w:r>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0DF6" w14:textId="07614579" w:rsidR="006719DB" w:rsidRDefault="006719DB">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066006">
      <w:rPr>
        <w:rStyle w:val="PageNumber"/>
        <w:b/>
        <w:caps w:val="0"/>
        <w:noProof/>
        <w:szCs w:val="24"/>
      </w:rPr>
      <w:t>38</w:t>
    </w:r>
    <w:r>
      <w:rPr>
        <w:rStyle w:val="PageNumber"/>
        <w:b/>
        <w:caps w:val="0"/>
        <w:szCs w:val="24"/>
      </w:rPr>
      <w:fldChar w:fldCharType="end"/>
    </w:r>
    <w:r>
      <w:tab/>
      <w:t>Public Release Summary – miravis fungicide</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5B6B9D"/>
    <w:multiLevelType w:val="hybridMultilevel"/>
    <w:tmpl w:val="FE48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70048"/>
    <w:multiLevelType w:val="hybridMultilevel"/>
    <w:tmpl w:val="E480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CE560D"/>
    <w:multiLevelType w:val="hybridMultilevel"/>
    <w:tmpl w:val="15E2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772A9"/>
    <w:multiLevelType w:val="hybridMultilevel"/>
    <w:tmpl w:val="757E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C67F74"/>
    <w:multiLevelType w:val="hybridMultilevel"/>
    <w:tmpl w:val="5D54C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2" w15:restartNumberingAfterBreak="0">
    <w:nsid w:val="5E97223F"/>
    <w:multiLevelType w:val="hybridMultilevel"/>
    <w:tmpl w:val="87A40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19066A"/>
    <w:multiLevelType w:val="hybridMultilevel"/>
    <w:tmpl w:val="6346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1233F0"/>
    <w:multiLevelType w:val="hybridMultilevel"/>
    <w:tmpl w:val="46606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1"/>
  </w:num>
  <w:num w:numId="4">
    <w:abstractNumId w:val="4"/>
  </w:num>
  <w:num w:numId="5">
    <w:abstractNumId w:val="1"/>
  </w:num>
  <w:num w:numId="6">
    <w:abstractNumId w:val="0"/>
  </w:num>
  <w:num w:numId="7">
    <w:abstractNumId w:val="2"/>
  </w:num>
  <w:num w:numId="8">
    <w:abstractNumId w:val="6"/>
  </w:num>
  <w:num w:numId="9">
    <w:abstractNumId w:val="5"/>
  </w:num>
  <w:num w:numId="10">
    <w:abstractNumId w:val="13"/>
  </w:num>
  <w:num w:numId="11">
    <w:abstractNumId w:val="9"/>
  </w:num>
  <w:num w:numId="12">
    <w:abstractNumId w:val="7"/>
  </w:num>
  <w:num w:numId="13">
    <w:abstractNumId w:val="10"/>
  </w:num>
  <w:num w:numId="14">
    <w:abstractNumId w:val="8"/>
  </w:num>
  <w:num w:numId="15">
    <w:abstractNumId w:val="14"/>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AU" w:vendorID="6" w:dllVersion="2" w:checkStyle="1"/>
  <w:defaultTabStop w:val="567"/>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24E1E"/>
    <w:rsid w:val="0002532E"/>
    <w:rsid w:val="00034505"/>
    <w:rsid w:val="00041C48"/>
    <w:rsid w:val="000508DC"/>
    <w:rsid w:val="00055197"/>
    <w:rsid w:val="00056EC9"/>
    <w:rsid w:val="00066006"/>
    <w:rsid w:val="00067378"/>
    <w:rsid w:val="000850C2"/>
    <w:rsid w:val="000B0958"/>
    <w:rsid w:val="000B113B"/>
    <w:rsid w:val="000B4A67"/>
    <w:rsid w:val="000E4795"/>
    <w:rsid w:val="000F38E4"/>
    <w:rsid w:val="000F7625"/>
    <w:rsid w:val="00105A99"/>
    <w:rsid w:val="00125529"/>
    <w:rsid w:val="00126AFF"/>
    <w:rsid w:val="001325C9"/>
    <w:rsid w:val="00135CFC"/>
    <w:rsid w:val="00136243"/>
    <w:rsid w:val="00141CE8"/>
    <w:rsid w:val="001442E6"/>
    <w:rsid w:val="001547E7"/>
    <w:rsid w:val="0017252F"/>
    <w:rsid w:val="001735AD"/>
    <w:rsid w:val="001805DF"/>
    <w:rsid w:val="0018547C"/>
    <w:rsid w:val="00190261"/>
    <w:rsid w:val="001936D7"/>
    <w:rsid w:val="001A6EC7"/>
    <w:rsid w:val="001B7D45"/>
    <w:rsid w:val="001C46C9"/>
    <w:rsid w:val="001C70F6"/>
    <w:rsid w:val="001E18EB"/>
    <w:rsid w:val="00207473"/>
    <w:rsid w:val="00222197"/>
    <w:rsid w:val="00235666"/>
    <w:rsid w:val="002541CD"/>
    <w:rsid w:val="002745B7"/>
    <w:rsid w:val="002A45E8"/>
    <w:rsid w:val="002A69C2"/>
    <w:rsid w:val="002A7FB1"/>
    <w:rsid w:val="002D5EC2"/>
    <w:rsid w:val="002E355A"/>
    <w:rsid w:val="002F4445"/>
    <w:rsid w:val="00300064"/>
    <w:rsid w:val="00312426"/>
    <w:rsid w:val="00320FFA"/>
    <w:rsid w:val="0032309D"/>
    <w:rsid w:val="0032635D"/>
    <w:rsid w:val="00326B29"/>
    <w:rsid w:val="00331850"/>
    <w:rsid w:val="00341488"/>
    <w:rsid w:val="00360133"/>
    <w:rsid w:val="003609D2"/>
    <w:rsid w:val="00361808"/>
    <w:rsid w:val="003B415C"/>
    <w:rsid w:val="003E1A48"/>
    <w:rsid w:val="003E2974"/>
    <w:rsid w:val="003E5A48"/>
    <w:rsid w:val="0043416B"/>
    <w:rsid w:val="00440BE9"/>
    <w:rsid w:val="00441D11"/>
    <w:rsid w:val="00446293"/>
    <w:rsid w:val="004523A3"/>
    <w:rsid w:val="00460911"/>
    <w:rsid w:val="00461E4B"/>
    <w:rsid w:val="00482574"/>
    <w:rsid w:val="004944BF"/>
    <w:rsid w:val="004A312D"/>
    <w:rsid w:val="004E0298"/>
    <w:rsid w:val="004E6F40"/>
    <w:rsid w:val="004F253E"/>
    <w:rsid w:val="00500D63"/>
    <w:rsid w:val="00521F3F"/>
    <w:rsid w:val="00563319"/>
    <w:rsid w:val="0056358D"/>
    <w:rsid w:val="0056463B"/>
    <w:rsid w:val="00566EA6"/>
    <w:rsid w:val="00572765"/>
    <w:rsid w:val="005767C8"/>
    <w:rsid w:val="00577910"/>
    <w:rsid w:val="005919F3"/>
    <w:rsid w:val="005938D6"/>
    <w:rsid w:val="005A1811"/>
    <w:rsid w:val="005B3157"/>
    <w:rsid w:val="005B777A"/>
    <w:rsid w:val="005D24BB"/>
    <w:rsid w:val="005E75D5"/>
    <w:rsid w:val="005F3696"/>
    <w:rsid w:val="006065E2"/>
    <w:rsid w:val="00615CBD"/>
    <w:rsid w:val="00623D02"/>
    <w:rsid w:val="0062712F"/>
    <w:rsid w:val="006346F7"/>
    <w:rsid w:val="0064427B"/>
    <w:rsid w:val="006719DB"/>
    <w:rsid w:val="00680EBB"/>
    <w:rsid w:val="00681F48"/>
    <w:rsid w:val="006932FB"/>
    <w:rsid w:val="00694383"/>
    <w:rsid w:val="006A438E"/>
    <w:rsid w:val="006C41FB"/>
    <w:rsid w:val="006E320A"/>
    <w:rsid w:val="006E411C"/>
    <w:rsid w:val="006E5782"/>
    <w:rsid w:val="007111A0"/>
    <w:rsid w:val="007114A9"/>
    <w:rsid w:val="0073622E"/>
    <w:rsid w:val="00761C3B"/>
    <w:rsid w:val="00762B4F"/>
    <w:rsid w:val="0077194E"/>
    <w:rsid w:val="00775468"/>
    <w:rsid w:val="00790235"/>
    <w:rsid w:val="007921F8"/>
    <w:rsid w:val="00792FDD"/>
    <w:rsid w:val="00794D83"/>
    <w:rsid w:val="007A42F0"/>
    <w:rsid w:val="007B1810"/>
    <w:rsid w:val="007B23AC"/>
    <w:rsid w:val="007B49B3"/>
    <w:rsid w:val="007D443D"/>
    <w:rsid w:val="007D5E72"/>
    <w:rsid w:val="00802838"/>
    <w:rsid w:val="00804345"/>
    <w:rsid w:val="008204DA"/>
    <w:rsid w:val="0082303A"/>
    <w:rsid w:val="008237E5"/>
    <w:rsid w:val="00826439"/>
    <w:rsid w:val="008271DC"/>
    <w:rsid w:val="0083535A"/>
    <w:rsid w:val="008369BE"/>
    <w:rsid w:val="008522F0"/>
    <w:rsid w:val="008546A4"/>
    <w:rsid w:val="00857E4B"/>
    <w:rsid w:val="008626BC"/>
    <w:rsid w:val="00865B09"/>
    <w:rsid w:val="008700DC"/>
    <w:rsid w:val="0087142F"/>
    <w:rsid w:val="00873317"/>
    <w:rsid w:val="00880E66"/>
    <w:rsid w:val="008B330A"/>
    <w:rsid w:val="008D3A04"/>
    <w:rsid w:val="008E06AD"/>
    <w:rsid w:val="00906838"/>
    <w:rsid w:val="00907378"/>
    <w:rsid w:val="00911DDA"/>
    <w:rsid w:val="009159A0"/>
    <w:rsid w:val="00930803"/>
    <w:rsid w:val="00932916"/>
    <w:rsid w:val="00936A5C"/>
    <w:rsid w:val="009511F8"/>
    <w:rsid w:val="00951FD8"/>
    <w:rsid w:val="009547E4"/>
    <w:rsid w:val="009635C1"/>
    <w:rsid w:val="009674AE"/>
    <w:rsid w:val="00973F25"/>
    <w:rsid w:val="00991FF4"/>
    <w:rsid w:val="00996B83"/>
    <w:rsid w:val="009C3776"/>
    <w:rsid w:val="009C72E8"/>
    <w:rsid w:val="009E156A"/>
    <w:rsid w:val="009F2828"/>
    <w:rsid w:val="009F4C23"/>
    <w:rsid w:val="009F5E02"/>
    <w:rsid w:val="00A04351"/>
    <w:rsid w:val="00A1088C"/>
    <w:rsid w:val="00A109D4"/>
    <w:rsid w:val="00A1366A"/>
    <w:rsid w:val="00A2172B"/>
    <w:rsid w:val="00A2254A"/>
    <w:rsid w:val="00A62431"/>
    <w:rsid w:val="00A66C24"/>
    <w:rsid w:val="00A828BE"/>
    <w:rsid w:val="00A97BDB"/>
    <w:rsid w:val="00AA0986"/>
    <w:rsid w:val="00AA4C96"/>
    <w:rsid w:val="00AB1E60"/>
    <w:rsid w:val="00AB361A"/>
    <w:rsid w:val="00AC7340"/>
    <w:rsid w:val="00AD04C2"/>
    <w:rsid w:val="00AD46CA"/>
    <w:rsid w:val="00AF3A1F"/>
    <w:rsid w:val="00B1644F"/>
    <w:rsid w:val="00B6794C"/>
    <w:rsid w:val="00B81459"/>
    <w:rsid w:val="00B91D9C"/>
    <w:rsid w:val="00BA13EB"/>
    <w:rsid w:val="00BB245D"/>
    <w:rsid w:val="00BB6781"/>
    <w:rsid w:val="00BB7DB9"/>
    <w:rsid w:val="00BC0121"/>
    <w:rsid w:val="00BC1AC8"/>
    <w:rsid w:val="00BC349F"/>
    <w:rsid w:val="00BE1AD4"/>
    <w:rsid w:val="00C011F9"/>
    <w:rsid w:val="00C015B2"/>
    <w:rsid w:val="00C05C2D"/>
    <w:rsid w:val="00C13E8E"/>
    <w:rsid w:val="00C324C8"/>
    <w:rsid w:val="00C32C4B"/>
    <w:rsid w:val="00C50EDF"/>
    <w:rsid w:val="00C81CBA"/>
    <w:rsid w:val="00C94E32"/>
    <w:rsid w:val="00CA2DA9"/>
    <w:rsid w:val="00CA5C10"/>
    <w:rsid w:val="00CA5C2E"/>
    <w:rsid w:val="00CA62DB"/>
    <w:rsid w:val="00CD1AC0"/>
    <w:rsid w:val="00CE3482"/>
    <w:rsid w:val="00CE5A33"/>
    <w:rsid w:val="00D00A9C"/>
    <w:rsid w:val="00D303FF"/>
    <w:rsid w:val="00D313E1"/>
    <w:rsid w:val="00D3199D"/>
    <w:rsid w:val="00D36EDA"/>
    <w:rsid w:val="00D44A5E"/>
    <w:rsid w:val="00D630B2"/>
    <w:rsid w:val="00D641E2"/>
    <w:rsid w:val="00D90021"/>
    <w:rsid w:val="00D913B1"/>
    <w:rsid w:val="00DD5B79"/>
    <w:rsid w:val="00DE0A65"/>
    <w:rsid w:val="00DE7532"/>
    <w:rsid w:val="00DF073B"/>
    <w:rsid w:val="00E0037A"/>
    <w:rsid w:val="00E151CF"/>
    <w:rsid w:val="00E1601B"/>
    <w:rsid w:val="00E20FD7"/>
    <w:rsid w:val="00E240A5"/>
    <w:rsid w:val="00E25999"/>
    <w:rsid w:val="00E616D6"/>
    <w:rsid w:val="00E80832"/>
    <w:rsid w:val="00E809FE"/>
    <w:rsid w:val="00E97109"/>
    <w:rsid w:val="00EA7F05"/>
    <w:rsid w:val="00EB0F3F"/>
    <w:rsid w:val="00EC40E6"/>
    <w:rsid w:val="00EE0FF3"/>
    <w:rsid w:val="00EE3374"/>
    <w:rsid w:val="00EF4DEA"/>
    <w:rsid w:val="00F142E8"/>
    <w:rsid w:val="00F22E31"/>
    <w:rsid w:val="00F27E0D"/>
    <w:rsid w:val="00F41B7D"/>
    <w:rsid w:val="00F46CA6"/>
    <w:rsid w:val="00F51521"/>
    <w:rsid w:val="00F624E0"/>
    <w:rsid w:val="00F73F76"/>
    <w:rsid w:val="00F77F8F"/>
    <w:rsid w:val="00F844E4"/>
    <w:rsid w:val="00F85012"/>
    <w:rsid w:val="00F940C7"/>
    <w:rsid w:val="00FA39F4"/>
    <w:rsid w:val="00FB26B2"/>
    <w:rsid w:val="00FD10E7"/>
    <w:rsid w:val="00FD4649"/>
    <w:rsid w:val="00FD76FB"/>
    <w:rsid w:val="00FE3A67"/>
    <w:rsid w:val="00FF0655"/>
    <w:rsid w:val="00FF3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845BED"/>
  <w15:docId w15:val="{9AA81643-26E8-4948-9003-92AA945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qFormat/>
    <w:pPr>
      <w:keepNext/>
      <w:keepLines/>
      <w:pageBreakBefore/>
      <w:numPr>
        <w:numId w:val="2"/>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3"/>
      </w:numPr>
      <w:tabs>
        <w:tab w:val="clear" w:pos="680"/>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link w:val="Heading3Char"/>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link w:val="APVMATextChar"/>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8"/>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7"/>
      </w:numPr>
      <w:spacing w:before="120" w:after="120"/>
    </w:pPr>
  </w:style>
  <w:style w:type="paragraph" w:styleId="Header">
    <w:name w:val="header"/>
    <w:basedOn w:val="Normal"/>
    <w:link w:val="HeaderChar"/>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4"/>
      </w:numPr>
      <w:spacing w:before="120" w:after="120"/>
    </w:pPr>
  </w:style>
  <w:style w:type="paragraph" w:customStyle="1" w:styleId="APVMABullet2">
    <w:name w:val="APVMA_Bullet2"/>
    <w:basedOn w:val="APVMABullet1"/>
    <w:pPr>
      <w:numPr>
        <w:numId w:val="5"/>
      </w:numPr>
      <w:spacing w:before="60"/>
    </w:pPr>
  </w:style>
  <w:style w:type="character" w:styleId="FootnoteReference">
    <w:name w:val="footnote reference"/>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semiHidden/>
    <w:pPr>
      <w:ind w:left="851" w:hanging="851"/>
    </w:pPr>
  </w:style>
  <w:style w:type="paragraph" w:customStyle="1" w:styleId="APVMABullet3">
    <w:name w:val="APVMA_Bullet3"/>
    <w:basedOn w:val="APVMABullet2"/>
    <w:pPr>
      <w:numPr>
        <w:numId w:val="9"/>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6"/>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paragraph" w:customStyle="1" w:styleId="BODYTEXT">
    <w:name w:val="BODYTEXT"/>
    <w:rsid w:val="004E0298"/>
    <w:rPr>
      <w:sz w:val="24"/>
      <w:lang w:eastAsia="en-US"/>
    </w:rPr>
  </w:style>
  <w:style w:type="paragraph" w:styleId="ListParagraph">
    <w:name w:val="List Paragraph"/>
    <w:basedOn w:val="Normal"/>
    <w:uiPriority w:val="34"/>
    <w:qFormat/>
    <w:rsid w:val="004E0298"/>
    <w:pPr>
      <w:spacing w:after="120"/>
      <w:ind w:left="720"/>
      <w:contextualSpacing/>
    </w:pPr>
    <w:rPr>
      <w:rFonts w:ascii="Times New Roman" w:hAnsi="Times New Roman"/>
      <w:sz w:val="24"/>
    </w:rPr>
  </w:style>
  <w:style w:type="character" w:customStyle="1" w:styleId="HeaderChar">
    <w:name w:val="Header Char"/>
    <w:basedOn w:val="DefaultParagraphFont"/>
    <w:link w:val="Header"/>
    <w:rsid w:val="009159A0"/>
    <w:rPr>
      <w:rFonts w:ascii="Arial" w:hAnsi="Arial"/>
      <w:szCs w:val="24"/>
      <w:lang w:eastAsia="en-US"/>
    </w:rPr>
  </w:style>
  <w:style w:type="paragraph" w:customStyle="1" w:styleId="MRLTableCaption">
    <w:name w:val="MRL Table Caption"/>
    <w:basedOn w:val="Normal"/>
    <w:next w:val="BodyText0"/>
    <w:rsid w:val="00D641E2"/>
    <w:pPr>
      <w:keepNext/>
      <w:spacing w:before="120" w:after="120" w:line="280" w:lineRule="atLeast"/>
      <w:ind w:left="1134" w:hanging="1134"/>
    </w:pPr>
    <w:rPr>
      <w:rFonts w:ascii="Times New Roman" w:hAnsi="Times New Roman"/>
      <w:b/>
      <w:spacing w:val="6"/>
      <w:sz w:val="24"/>
    </w:rPr>
  </w:style>
  <w:style w:type="paragraph" w:styleId="BodyText0">
    <w:name w:val="Body Text"/>
    <w:basedOn w:val="Normal"/>
    <w:link w:val="BodyTextChar"/>
    <w:semiHidden/>
    <w:rsid w:val="00D641E2"/>
    <w:pPr>
      <w:spacing w:after="120"/>
    </w:pPr>
    <w:rPr>
      <w:rFonts w:ascii="Times New Roman" w:hAnsi="Times New Roman"/>
      <w:sz w:val="24"/>
    </w:rPr>
  </w:style>
  <w:style w:type="character" w:customStyle="1" w:styleId="BodyTextChar">
    <w:name w:val="Body Text Char"/>
    <w:basedOn w:val="DefaultParagraphFont"/>
    <w:link w:val="BodyText0"/>
    <w:semiHidden/>
    <w:rsid w:val="00D641E2"/>
    <w:rPr>
      <w:sz w:val="24"/>
      <w:szCs w:val="24"/>
      <w:lang w:eastAsia="en-US"/>
    </w:rPr>
  </w:style>
  <w:style w:type="character" w:customStyle="1" w:styleId="FootnoteTextChar">
    <w:name w:val="Footnote Text Char"/>
    <w:aliases w:val="APVMA_Footnote Char,DAR001 Char"/>
    <w:basedOn w:val="DefaultParagraphFont"/>
    <w:link w:val="FootnoteText"/>
    <w:uiPriority w:val="99"/>
    <w:rsid w:val="00D641E2"/>
    <w:rPr>
      <w:rFonts w:ascii="Arial" w:hAnsi="Arial" w:cs="Arial"/>
      <w:spacing w:val="6"/>
      <w:sz w:val="16"/>
      <w:u w:color="000000"/>
      <w:lang w:eastAsia="en-US"/>
    </w:rPr>
  </w:style>
  <w:style w:type="paragraph" w:styleId="CommentSubject">
    <w:name w:val="annotation subject"/>
    <w:basedOn w:val="CommentText"/>
    <w:next w:val="CommentText"/>
    <w:link w:val="CommentSubjectChar"/>
    <w:uiPriority w:val="99"/>
    <w:semiHidden/>
    <w:unhideWhenUsed/>
    <w:rsid w:val="00A1088C"/>
    <w:pPr>
      <w:spacing w:before="0" w:line="240" w:lineRule="auto"/>
    </w:pPr>
    <w:rPr>
      <w:b/>
      <w:bCs/>
    </w:rPr>
  </w:style>
  <w:style w:type="character" w:customStyle="1" w:styleId="CommentTextChar">
    <w:name w:val="Comment Text Char"/>
    <w:basedOn w:val="DefaultParagraphFont"/>
    <w:link w:val="CommentText"/>
    <w:semiHidden/>
    <w:rsid w:val="00A1088C"/>
    <w:rPr>
      <w:rFonts w:ascii="Arial" w:hAnsi="Arial"/>
      <w:lang w:eastAsia="en-US"/>
    </w:rPr>
  </w:style>
  <w:style w:type="character" w:customStyle="1" w:styleId="CommentSubjectChar">
    <w:name w:val="Comment Subject Char"/>
    <w:basedOn w:val="CommentTextChar"/>
    <w:link w:val="CommentSubject"/>
    <w:uiPriority w:val="99"/>
    <w:semiHidden/>
    <w:rsid w:val="00A1088C"/>
    <w:rPr>
      <w:rFonts w:ascii="Arial" w:hAnsi="Arial"/>
      <w:b/>
      <w:bCs/>
      <w:lang w:eastAsia="en-US"/>
    </w:rPr>
  </w:style>
  <w:style w:type="paragraph" w:customStyle="1" w:styleId="Default">
    <w:name w:val="Default"/>
    <w:rsid w:val="00D90021"/>
    <w:pPr>
      <w:autoSpaceDE w:val="0"/>
      <w:autoSpaceDN w:val="0"/>
      <w:adjustRightInd w:val="0"/>
    </w:pPr>
    <w:rPr>
      <w:rFonts w:ascii="Arial" w:hAnsi="Arial" w:cs="Arial"/>
      <w:color w:val="000000"/>
      <w:sz w:val="24"/>
      <w:szCs w:val="24"/>
    </w:rPr>
  </w:style>
  <w:style w:type="character" w:customStyle="1" w:styleId="Heading3Char">
    <w:name w:val="Heading 3 Char"/>
    <w:aliases w:val="APVMA_H3 Char"/>
    <w:link w:val="Heading3"/>
    <w:rsid w:val="00D90021"/>
    <w:rPr>
      <w:rFonts w:ascii="Trebuchet MS" w:hAnsi="Trebuchet MS" w:cs="Arial"/>
      <w:b/>
      <w:color w:val="365860"/>
      <w:sz w:val="24"/>
      <w:szCs w:val="26"/>
      <w:u w:color="000000"/>
      <w:lang w:eastAsia="en-US"/>
    </w:rPr>
  </w:style>
  <w:style w:type="character" w:customStyle="1" w:styleId="APVMATextChar">
    <w:name w:val="APVMA_Text Char"/>
    <w:basedOn w:val="DefaultParagraphFont"/>
    <w:link w:val="APVMAText"/>
    <w:rsid w:val="00D90021"/>
    <w:rPr>
      <w:rFonts w:ascii="Arial" w:hAnsi="Arial" w:cs="Arial"/>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hyperlink" Target="http://www.apvma.gov.au"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3.xml"/><Relationship Id="rId34" Type="http://schemas.openxmlformats.org/officeDocument/2006/relationships/image" Target="media/image10.emf"/><Relationship Id="rId42" Type="http://schemas.openxmlformats.org/officeDocument/2006/relationships/header" Target="header13.xml"/><Relationship Id="rId47" Type="http://schemas.openxmlformats.org/officeDocument/2006/relationships/image" Target="media/image14.emf"/><Relationship Id="rId50"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reativecommons.org/licenses/by/3.0/au/legalcode" TargetMode="External"/><Relationship Id="rId25" Type="http://schemas.openxmlformats.org/officeDocument/2006/relationships/hyperlink" Target="mailto:enquiries@apvma.gov.au" TargetMode="External"/><Relationship Id="rId33" Type="http://schemas.openxmlformats.org/officeDocument/2006/relationships/image" Target="media/image9.emf"/><Relationship Id="rId38" Type="http://schemas.openxmlformats.org/officeDocument/2006/relationships/header" Target="header10.xml"/><Relationship Id="rId46"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hyperlink" Target="http://www.creativecommons.org/licenses/by/3.0/au/deed.en" TargetMode="External"/><Relationship Id="rId20" Type="http://schemas.openxmlformats.org/officeDocument/2006/relationships/header" Target="header2.xml"/><Relationship Id="rId29" Type="http://schemas.openxmlformats.org/officeDocument/2006/relationships/image" Target="media/image7.png"/><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greencast.com.a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image" Target="media/image6.png"/><Relationship Id="rId36" Type="http://schemas.openxmlformats.org/officeDocument/2006/relationships/header" Target="header8.xml"/><Relationship Id="rId49" Type="http://schemas.openxmlformats.org/officeDocument/2006/relationships/header" Target="header15.xml"/><Relationship Id="rId10" Type="http://schemas.openxmlformats.org/officeDocument/2006/relationships/image" Target="media/image2.jpeg"/><Relationship Id="rId19" Type="http://schemas.openxmlformats.org/officeDocument/2006/relationships/hyperlink" Target="mailto:communications@apvma.gov.au" TargetMode="External"/><Relationship Id="rId31" Type="http://schemas.openxmlformats.org/officeDocument/2006/relationships/header" Target="header6.xml"/><Relationship Id="rId44" Type="http://schemas.openxmlformats.org/officeDocument/2006/relationships/oleObject" Target="embeddings/oleObject1.bin"/><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apvma.gov.au" TargetMode="External"/><Relationship Id="rId27" Type="http://schemas.openxmlformats.org/officeDocument/2006/relationships/header" Target="header5.xml"/><Relationship Id="rId30" Type="http://schemas.openxmlformats.org/officeDocument/2006/relationships/image" Target="media/image8.png"/><Relationship Id="rId35" Type="http://schemas.openxmlformats.org/officeDocument/2006/relationships/image" Target="media/image11.emf"/><Relationship Id="rId43" Type="http://schemas.openxmlformats.org/officeDocument/2006/relationships/image" Target="media/image12.emf"/><Relationship Id="rId48"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A1098803</value>
    </field>
    <field name="Objective-Title">
      <value order="0">Pydiflumetofen Draft PRS-kb</value>
    </field>
    <field name="Objective-Description">
      <value order="0"/>
    </field>
    <field name="Objective-CreationStamp">
      <value order="0">2018-02-20T22:54:36Z</value>
    </field>
    <field name="Objective-IsApproved">
      <value order="0">false</value>
    </field>
    <field name="Objective-IsPublished">
      <value order="0">false</value>
    </field>
    <field name="Objective-DatePublished">
      <value order="0"/>
    </field>
    <field name="Objective-ModificationStamp">
      <value order="0">2018-02-22T23:15:22Z</value>
    </field>
    <field name="Objective-Owner">
      <value order="0">Kylie Blakers</value>
    </field>
    <field name="Objective-Path">
      <value order="0">APVMA:PUBLIC AFFAIRS AND COMMUNICATION:Public Affairs and Communication - Publications:Public Affairs and Communication - Publications - Gazette:Public Affairs and Communication - Publications - Gazette - 2018:Public Affairs and Communication - Publications - Gazette - 2018 - 04:Gazette 4 - Compiled:PRS 'S</value>
    </field>
    <field name="Objective-Parent">
      <value order="0">PRS 'S</value>
    </field>
    <field name="Objective-State">
      <value order="0">Being Edited</value>
    </field>
    <field name="Objective-VersionId">
      <value order="0">vA1691051</value>
    </field>
    <field name="Objective-Version">
      <value order="0">2.1</value>
    </field>
    <field name="Objective-VersionNumber">
      <value order="0">3</value>
    </field>
    <field name="Objective-VersionComment">
      <value order="0"/>
    </field>
    <field name="Objective-FileNumber">
      <value order="0">qA147460</value>
    </field>
    <field name="Objective-Classification">
      <value order="0">For Official Use Only (FOUO)</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C01301CE-E6BC-4D61-9A75-9603B1EC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35DBFEC9.dotm</Template>
  <TotalTime>5</TotalTime>
  <Pages>57</Pages>
  <Words>15526</Words>
  <Characters>92674</Characters>
  <Application>Microsoft Office Word</Application>
  <DocSecurity>0</DocSecurity>
  <Lines>2059</Lines>
  <Paragraphs>1272</Paragraphs>
  <ScaleCrop>false</ScaleCrop>
  <HeadingPairs>
    <vt:vector size="2" baseType="variant">
      <vt:variant>
        <vt:lpstr>Title</vt:lpstr>
      </vt:variant>
      <vt:variant>
        <vt:i4>1</vt:i4>
      </vt:variant>
    </vt:vector>
  </HeadingPairs>
  <TitlesOfParts>
    <vt:vector size="1" baseType="lpstr">
      <vt:lpstr>Public Release Summary - on the evaluation of pydiflumetofen in the product Miravis Fungicide</vt:lpstr>
    </vt:vector>
  </TitlesOfParts>
  <Company>Australian Pesticides and Veterinary Medicines Authority</Company>
  <LinksUpToDate>false</LinksUpToDate>
  <CharactersWithSpaces>106928</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 on the evaluation of pydiflumetofen in the product Miravis Fungicide</dc:title>
  <dc:creator>APVMA</dc:creator>
  <cp:keywords>APVMA, template</cp:keywords>
  <cp:lastModifiedBy>BLAKERS, Kylie</cp:lastModifiedBy>
  <cp:revision>6</cp:revision>
  <cp:lastPrinted>2018-02-18T22:15:00Z</cp:lastPrinted>
  <dcterms:created xsi:type="dcterms:W3CDTF">2018-02-22T23:15:00Z</dcterms:created>
  <dcterms:modified xsi:type="dcterms:W3CDTF">2018-02-26T00:11:00Z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A1098803</vt:lpwstr>
  </property>
  <property fmtid="{D5CDD505-2E9C-101B-9397-08002B2CF9AE}" pid="4" name="Objective-Title">
    <vt:lpwstr>Pydiflumetofen Draft PRS-kb</vt:lpwstr>
  </property>
  <property fmtid="{D5CDD505-2E9C-101B-9397-08002B2CF9AE}" pid="5" name="Objective-Comment">
    <vt:lpwstr/>
  </property>
  <property fmtid="{D5CDD505-2E9C-101B-9397-08002B2CF9AE}" pid="6" name="Objective-CreationStamp">
    <vt:filetime>2018-02-21T00:38:54Z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2018-02-22T23:15:22Z</vt:filetime>
  </property>
  <property fmtid="{D5CDD505-2E9C-101B-9397-08002B2CF9AE}" pid="11" name="Objective-Owner">
    <vt:lpwstr>Kylie Blakers</vt:lpwstr>
  </property>
  <property fmtid="{D5CDD505-2E9C-101B-9397-08002B2CF9AE}" pid="12" name="Objective-Path">
    <vt:lpwstr>APVMA:PUBLIC AFFAIRS AND COMMUNICATION:Public Affairs and Communication - Publications:Public Affairs and Communication - Publications - Gazette:Public Affairs and Communication - Publications - Gazette - 2018:Public Affairs and Communication - Publicatio</vt:lpwstr>
  </property>
  <property fmtid="{D5CDD505-2E9C-101B-9397-08002B2CF9AE}" pid="13" name="Objective-Parent">
    <vt:lpwstr>PRS 'S</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2018\1350</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vA1691051</vt:lpwstr>
  </property>
</Properties>
</file>